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INTUITIVE MACHINES,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54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001-40823</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36-5056189</w:t>
            </w:r>
          </w:p>
        </w:tc>
      </w:tr>
      <w:tr>
        <w:trPr>
          <w:trHeight w:val="148"/>
        </w:trPr>
        <w:tc>
          <w:tcPr>
            <w:tcW w:w="354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13467 Columbia Shuttle Street</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Houston, Texas</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77059</w:t>
            </w:r>
          </w:p>
        </w:tc>
      </w:tr>
      <w:tr>
        <w:trPr>
          <w:trHeight w:val="190"/>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(281) 520-3703</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LUNR</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7"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866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1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Sales Agreement</w:t>
      </w:r>
    </w:p>
    <w:p>
      <w:pPr>
        <w:spacing w:after="0" w:line="119" w:lineRule="exact"/>
        <w:rPr>
          <w:sz w:val="20"/>
          <w:szCs w:val="20"/>
          <w:color w:val="auto"/>
        </w:rPr>
      </w:pPr>
    </w:p>
    <w:p>
      <w:pPr>
        <w:ind w:left="4" w:right="20"/>
        <w:spacing w:after="0" w:line="273" w:lineRule="auto"/>
        <w:rPr>
          <w:sz w:val="20"/>
          <w:szCs w:val="20"/>
          <w:color w:val="auto"/>
        </w:rPr>
      </w:pPr>
      <w:r>
        <w:rPr>
          <w:rFonts w:ascii="Times New Roman" w:cs="Times New Roman" w:eastAsia="Times New Roman" w:hAnsi="Times New Roman"/>
          <w:sz w:val="17"/>
          <w:szCs w:val="17"/>
          <w:color w:val="auto"/>
        </w:rPr>
        <w:t>In connection with Intuitive Machines, Inc.’s (the “Company”) Registration Statement on Form S-3 (File No. 333-296442) (the “Registration Statement”), which became effective on June 2, 2026, which included a base prospectus and a prospectus supplement relating to the offer and sale, from time to time through the Agents (as defined below), of shares of the Company’s Class A common stock, par value $0.0001 per share, for aggregate gross proceeds of up to $500.0 million (the “Shares”) which was filed with the SEC on June 2, 2026 (the “Prospectus”), the Company is hereby filing a copy of the Sales Agreement (the “Sales Agreement”) by and among the Company and Barclays Capital Inc., Cantor Fitzgerald &amp; Co., B. Riley Securities, Inc., Canaccord Genuity LLC, Clear Street LLC, Craig-Hallum Capital Group LLC, Deutsche Bank Securities Inc., KeyBanc Capital Markets Inc., Roth Capital Partners, LLC and Stifel, Nicolaus &amp; Company, Incorporated (collectively, the “Agents”) which is filed herewith as Exhibit 1.1.</w:t>
      </w:r>
    </w:p>
    <w:p>
      <w:pPr>
        <w:spacing w:after="0" w:line="17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The Sales Agreement contains customary representations, warranties and agreements by the Company, and indemnification obligations of the Company and the Agents and other obligations of the parties. Under the terms of the Sales Agreement, the Company has agreed to pay the Agents a commission of up to 3.0% of the sales price per share sold under the Sales Agreement. In addition, the Company has agreed to reimburse certain expenses incurred by the Agents in connection with the Sales Agreement.</w:t>
      </w:r>
    </w:p>
    <w:p>
      <w:pPr>
        <w:spacing w:after="0" w:line="180"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Sales Agreement is not complete and is qualified in its entirety by reference to the full text of such agreement, a copy of which is filed herewith as Exhibit 1.1 to this Current Report on Form 8-K and is incorporated herein by reference.</w:t>
      </w:r>
    </w:p>
    <w:p>
      <w:pPr>
        <w:spacing w:after="0" w:line="162"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The Shares will be sold pursuant to the Registration Statement, and offerings of the Shares will be made only by means of the Prospectus. This Current Report on Form 8-K shall not constitute an offer to sell or a solicitation of an offer to buy any securities, nor shall there be any sale of these securities in any state or jurisdiction in which such an offer, solicitation or sale would be unlawful prior to registration or qualification under the securities laws of any such state or other jurisdiction.</w:t>
      </w:r>
    </w:p>
    <w:p>
      <w:pPr>
        <w:spacing w:after="0" w:line="324"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29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w w:val="99"/>
              </w:rPr>
              <w:t>Financial Statements and Exhibits</w:t>
            </w:r>
          </w:p>
        </w:tc>
      </w:tr>
      <w:tr>
        <w:trPr>
          <w:trHeight w:val="324"/>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r>
      <w:tr>
        <w:trPr>
          <w:trHeight w:val="367"/>
        </w:trPr>
        <w:tc>
          <w:tcPr>
            <w:tcW w:w="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4"/>
        </w:trPr>
        <w:tc>
          <w:tcPr>
            <w:tcW w:w="8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6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1.1</w:t>
            </w:r>
          </w:p>
        </w:tc>
        <w:tc>
          <w:tcPr>
            <w:tcW w:w="12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Sales Agreement</w:t>
            </w:r>
          </w:p>
        </w:tc>
        <w:tc>
          <w:tcPr>
            <w:tcW w:w="1740" w:type="dxa"/>
            <w:vAlign w:val="bottom"/>
          </w:tcPr>
          <w:p>
            <w:pPr>
              <w:spacing w:after="0"/>
              <w:rPr>
                <w:sz w:val="23"/>
                <w:szCs w:val="23"/>
                <w:color w:val="auto"/>
              </w:rPr>
            </w:pPr>
          </w:p>
        </w:tc>
      </w:tr>
    </w:tbl>
    <w:p>
      <w:pPr>
        <w:spacing w:after="0" w:line="117" w:lineRule="exact"/>
        <w:rPr>
          <w:sz w:val="20"/>
          <w:szCs w:val="20"/>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w:t>
      </w:r>
      <w:r>
        <w:rPr>
          <w:rFonts w:ascii="Times New Roman" w:cs="Times New Roman" w:eastAsia="Times New Roman" w:hAnsi="Times New Roman"/>
          <w:sz w:val="17"/>
          <w:szCs w:val="17"/>
          <w:u w:val="single" w:color="auto"/>
          <w:color w:val="0000EE"/>
        </w:rPr>
        <w:t>Opinion of Simpson Thacher &amp; Bartlett LLP</w:t>
      </w:r>
    </w:p>
    <w:p>
      <w:pPr>
        <w:spacing w:after="0" w:line="129"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Simpson Thacher &amp; Bartlett LLP (included in Exhibit 5.1)</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04"/>
          </w:cols>
          <w:pgMar w:left="436"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June 3, 2026</w:t>
            </w:r>
          </w:p>
        </w:tc>
        <w:tc>
          <w:tcPr>
            <w:tcW w:w="75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INTUITIVE MACHINES, INC.</w:t>
            </w:r>
          </w:p>
        </w:tc>
      </w:tr>
      <w:tr>
        <w:trPr>
          <w:trHeight w:val="432"/>
        </w:trPr>
        <w:tc>
          <w:tcPr>
            <w:tcW w:w="3440" w:type="dxa"/>
            <w:vAlign w:val="bottom"/>
          </w:tcPr>
          <w:p>
            <w:pPr>
              <w:spacing w:after="0"/>
              <w:rPr>
                <w:sz w:val="24"/>
                <w:szCs w:val="24"/>
                <w:color w:val="auto"/>
              </w:rPr>
            </w:pPr>
          </w:p>
        </w:tc>
        <w:tc>
          <w:tcPr>
            <w:tcW w:w="27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Altemus</w:t>
            </w:r>
          </w:p>
        </w:tc>
      </w:tr>
      <w:tr>
        <w:trPr>
          <w:trHeight w:val="205"/>
        </w:trPr>
        <w:tc>
          <w:tcPr>
            <w:tcW w:w="3440" w:type="dxa"/>
            <w:vAlign w:val="bottom"/>
          </w:tcPr>
          <w:p>
            <w:pPr>
              <w:spacing w:after="0"/>
              <w:rPr>
                <w:sz w:val="17"/>
                <w:szCs w:val="17"/>
                <w:color w:val="auto"/>
              </w:rPr>
            </w:pPr>
          </w:p>
        </w:tc>
        <w:tc>
          <w:tcPr>
            <w:tcW w:w="2720" w:type="dxa"/>
            <w:vAlign w:val="bottom"/>
          </w:tcPr>
          <w:p>
            <w:pPr>
              <w:ind w:left="20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Stephen Altemus</w:t>
            </w:r>
          </w:p>
        </w:tc>
      </w:tr>
      <w:tr>
        <w:trPr>
          <w:trHeight w:val="234"/>
        </w:trPr>
        <w:tc>
          <w:tcPr>
            <w:tcW w:w="3440" w:type="dxa"/>
            <w:vAlign w:val="bottom"/>
          </w:tcPr>
          <w:p>
            <w:pPr>
              <w:spacing w:after="0"/>
              <w:rPr>
                <w:sz w:val="20"/>
                <w:szCs w:val="20"/>
                <w:color w:val="auto"/>
              </w:rPr>
            </w:pPr>
          </w:p>
        </w:tc>
        <w:tc>
          <w:tcPr>
            <w:tcW w:w="27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INTUITIVE MACHINES,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of Class A Common Stock</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 value $0.0001 per share)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SALES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2,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East 59th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Riley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299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10171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Canaccord Genuity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Post Office Square, Suite 3000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 02109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 Street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World Trade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 Greenwich St. Floor 45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Craig-Hallum Capital Group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323 N Washington Avenue,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 55401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Columbus Circle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KeyBanc Capital Markets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127 Public Square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Cleveland, OH 44114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Roth Capital Partners,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888 San Clemente Drive, Suite 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Newport Beach, CA 92660</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Stifel, Nicolaus &amp; Company,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787 Seventh Avenue, 11th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color w:val="auto"/>
        </w:rPr>
        <w:t>Intuitive Machines,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proposes to sell from time to time to or through Barclays Capital Inc., Cantor Fitzgerald &amp; Co., B. Riley Securities, Inc., Canaccord Genuity, Clear Street LLC, Craig-Hallum Capital Group LLC, Deutsche Bank Securities Inc., KeyBanc Capital Markets Inc., Roth Capital Partners, LLC and Stifel, Nicolaus &amp; Company, Incorporated, each as sales agent and/or principal (in any such capacity, each an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Agents</w:t>
      </w:r>
      <w:r>
        <w:rPr>
          <w:rFonts w:ascii="Times New Roman" w:cs="Times New Roman" w:eastAsia="Times New Roman" w:hAnsi="Times New Roman"/>
          <w:sz w:val="18"/>
          <w:szCs w:val="18"/>
          <w:color w:val="auto"/>
        </w:rPr>
        <w:t>”), shares of the Company’s Class A common stock,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having an aggregate offering price of up to $500,000,000 (the “</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on the terms set forth in Section 2 of this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w:t>
      </w:r>
    </w:p>
    <w:p>
      <w:pPr>
        <w:spacing w:after="0" w:line="76" w:lineRule="exact"/>
        <w:rPr>
          <w:sz w:val="20"/>
          <w:szCs w:val="20"/>
          <w:color w:val="auto"/>
        </w:rPr>
      </w:pPr>
    </w:p>
    <w:p>
      <w:pPr>
        <w:ind w:left="620" w:hanging="184"/>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Warranties and Agreements of the Company</w:t>
      </w:r>
      <w:r>
        <w:rPr>
          <w:rFonts w:ascii="Times New Roman" w:cs="Times New Roman" w:eastAsia="Times New Roman" w:hAnsi="Times New Roman"/>
          <w:sz w:val="18"/>
          <w:szCs w:val="18"/>
          <w:color w:val="auto"/>
        </w:rPr>
        <w:t>. The Company represents, warrants and agrees that:</w:t>
      </w:r>
    </w:p>
    <w:p>
      <w:pPr>
        <w:spacing w:after="0" w:line="133" w:lineRule="exact"/>
        <w:rPr>
          <w:sz w:val="20"/>
          <w:szCs w:val="20"/>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and Prospectus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“automatic shelf registration statement,” as defined under Rule 405 of the Securities Act (as defined below), on Form S-3 (File</w:t>
      </w:r>
    </w:p>
    <w:p>
      <w:pPr>
        <w:spacing w:after="0" w:line="27" w:lineRule="exact"/>
        <w:rPr>
          <w:rFonts w:ascii="Times New Roman" w:cs="Times New Roman" w:eastAsia="Times New Roman" w:hAnsi="Times New Roman"/>
          <w:sz w:val="18"/>
          <w:szCs w:val="18"/>
          <w:color w:val="auto"/>
        </w:rPr>
      </w:pPr>
    </w:p>
    <w:p>
      <w:pPr>
        <w:ind w:left="98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333-296442) relating to the Stock has (i) been prepared by the Company in conformity with the requirements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the rules and regulations of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thereunder; (ii) been filed with the Commission under the Securities Act; and (iii) become effective under the Securities Act. Copies of such registration statement and any amendments thereto have been delivered by the Company to the Agents.</w:t>
      </w:r>
    </w:p>
    <w:p>
      <w:pPr>
        <w:spacing w:after="0" w:line="80"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w:t>
      </w:r>
    </w:p>
    <w:p>
      <w:pPr>
        <w:spacing w:after="0" w:line="127" w:lineRule="exact"/>
        <w:rPr>
          <w:sz w:val="20"/>
          <w:szCs w:val="20"/>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Time</w:t>
      </w:r>
      <w:r>
        <w:rPr>
          <w:rFonts w:ascii="Times New Roman" w:cs="Times New Roman" w:eastAsia="Times New Roman" w:hAnsi="Times New Roman"/>
          <w:sz w:val="18"/>
          <w:szCs w:val="18"/>
          <w:color w:val="auto"/>
        </w:rPr>
        <w:t>” means, with respect to any shares of Stock, each time of sale of such shares pursuant to this Agreement;</w:t>
      </w:r>
    </w:p>
    <w:p>
      <w:pPr>
        <w:spacing w:after="0" w:line="130" w:lineRule="exact"/>
        <w:rPr>
          <w:rFonts w:ascii="Times New Roman" w:cs="Times New Roman" w:eastAsia="Times New Roman" w:hAnsi="Times New Roman"/>
          <w:sz w:val="18"/>
          <w:szCs w:val="18"/>
          <w:color w:val="auto"/>
        </w:rPr>
      </w:pPr>
    </w:p>
    <w:p>
      <w:pPr>
        <w:ind w:left="960" w:right="180" w:hanging="532"/>
        <w:spacing w:after="0" w:line="28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means the base prospectus filed as part of the Registration Statement, in the form in which it has most recently been filed with the Commission on or prior to the date of this Agreement;</w:t>
      </w:r>
    </w:p>
    <w:p>
      <w:pPr>
        <w:spacing w:after="0" w:line="60" w:lineRule="exact"/>
        <w:rPr>
          <w:rFonts w:ascii="Times New Roman" w:cs="Times New Roman" w:eastAsia="Times New Roman" w:hAnsi="Times New Roman"/>
          <w:sz w:val="18"/>
          <w:szCs w:val="18"/>
          <w:color w:val="auto"/>
        </w:rPr>
      </w:pPr>
    </w:p>
    <w:p>
      <w:pPr>
        <w:ind w:left="960" w:right="220" w:hanging="532"/>
        <w:spacing w:after="0" w:line="28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any date as of which any part of such registration statement relating to the Stock became, or is deemed to have become, effective under the Securities Act in accordance with the rules and regulations thereunder ;</w:t>
      </w:r>
    </w:p>
    <w:p>
      <w:pPr>
        <w:spacing w:after="0" w:line="60" w:lineRule="exact"/>
        <w:rPr>
          <w:rFonts w:ascii="Times New Roman" w:cs="Times New Roman" w:eastAsia="Times New Roman" w:hAnsi="Times New Roman"/>
          <w:sz w:val="18"/>
          <w:szCs w:val="18"/>
          <w:color w:val="auto"/>
        </w:rPr>
      </w:pPr>
    </w:p>
    <w:p>
      <w:pPr>
        <w:ind w:left="960" w:right="120" w:hanging="532"/>
        <w:spacing w:after="0" w:line="28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Issuer Free Writing Prospectus</w:t>
      </w:r>
      <w:r>
        <w:rPr>
          <w:rFonts w:ascii="Times New Roman" w:cs="Times New Roman" w:eastAsia="Times New Roman" w:hAnsi="Times New Roman"/>
          <w:sz w:val="18"/>
          <w:szCs w:val="18"/>
          <w:color w:val="auto"/>
        </w:rPr>
        <w:t>” means each “free writing prospectus” (as defined in Rule 433 under the Securities Act) relating to the Stock;</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440" w:top="270" w:right="559" w:bottom="1440" w:gutter="0" w:footer="0" w:header="0"/>
        </w:sectPr>
      </w:pPr>
    </w:p>
    <w:bookmarkStart w:id="5" w:name="page6"/>
    <w:bookmarkEnd w:id="5"/>
    <w:p>
      <w:pPr>
        <w:ind w:left="540" w:hanging="532"/>
        <w:spacing w:after="0" w:line="262"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Pricing Disclosure Package</w:t>
      </w:r>
      <w:r>
        <w:rPr>
          <w:rFonts w:ascii="Times New Roman" w:cs="Times New Roman" w:eastAsia="Times New Roman" w:hAnsi="Times New Roman"/>
          <w:sz w:val="18"/>
          <w:szCs w:val="18"/>
          <w:color w:val="auto"/>
        </w:rPr>
        <w:t>” means, as of each Applicable Time, the Prospectus and each Issuer Free Writing Prospectus filed or used by the Company on or before such Applicable Time, taken together (collectively, and, with respect to any shares of Stock, together with the public offering price of such shares), other than a road show that is an Issuer Free Writing Prospectus, but is not required to be filed under Rule 433 under the Securities Act;</w:t>
      </w:r>
    </w:p>
    <w:p>
      <w:pPr>
        <w:spacing w:after="0" w:line="81" w:lineRule="exact"/>
        <w:rPr>
          <w:rFonts w:ascii="Times New Roman" w:cs="Times New Roman" w:eastAsia="Times New Roman" w:hAnsi="Times New Roman"/>
          <w:sz w:val="18"/>
          <w:szCs w:val="18"/>
          <w:color w:val="auto"/>
        </w:rPr>
      </w:pPr>
    </w:p>
    <w:p>
      <w:pPr>
        <w:jc w:val="both"/>
        <w:ind w:left="540" w:right="240" w:hanging="532"/>
        <w:spacing w:after="0" w:line="268"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means the Base Prospectus, as amended and supplemented by the Prospectus Supplement, in the form in which such Base Prospectus and/or Prospectus Supplement have most recently been filed by the Company with the Commission pursuant to Rule 424(b) under the Securities Act;</w:t>
      </w:r>
    </w:p>
    <w:p>
      <w:pPr>
        <w:spacing w:after="0" w:line="76" w:lineRule="exact"/>
        <w:rPr>
          <w:rFonts w:ascii="Times New Roman" w:cs="Times New Roman" w:eastAsia="Times New Roman" w:hAnsi="Times New Roman"/>
          <w:sz w:val="18"/>
          <w:szCs w:val="18"/>
          <w:color w:val="auto"/>
        </w:rPr>
      </w:pPr>
    </w:p>
    <w:p>
      <w:pPr>
        <w:ind w:left="540" w:right="360" w:hanging="532"/>
        <w:spacing w:after="0" w:line="286"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Prospectus Supplement</w:t>
      </w:r>
      <w:r>
        <w:rPr>
          <w:rFonts w:ascii="Times New Roman" w:cs="Times New Roman" w:eastAsia="Times New Roman" w:hAnsi="Times New Roman"/>
          <w:sz w:val="18"/>
          <w:szCs w:val="18"/>
          <w:color w:val="auto"/>
        </w:rPr>
        <w:t>” means the prospectus supplement specifically relating to the Stock prepared and filed with the Commission pursuant to Rule 424(b) under the Securities Act and in accordance with Section 5(a) hereof;</w:t>
      </w:r>
    </w:p>
    <w:p>
      <w:pPr>
        <w:spacing w:after="0" w:line="60" w:lineRule="exact"/>
        <w:rPr>
          <w:rFonts w:ascii="Times New Roman" w:cs="Times New Roman" w:eastAsia="Times New Roman" w:hAnsi="Times New Roman"/>
          <w:sz w:val="18"/>
          <w:szCs w:val="18"/>
          <w:color w:val="auto"/>
        </w:rPr>
      </w:pPr>
    </w:p>
    <w:p>
      <w:pPr>
        <w:ind w:left="540" w:right="120" w:hanging="532"/>
        <w:spacing w:after="0" w:line="259"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means, collectively, the various parts of such registration statement, each as amended, as of the Effective Date for such part, including any Prospectus and all exhibits to such registration statement, including the information deemed by virtue of Rule 430B under the Securities Act to be part of such registration statement as of the Effective Date. Any reference to the Prospectus shall be deemed to refer to and include any documents incorporated by reference therein pursuant to Form S-3 under the Securities Act as of the date of the Prospectus, as the case may be;</w:t>
      </w:r>
    </w:p>
    <w:p>
      <w:pPr>
        <w:spacing w:after="0" w:line="84" w:lineRule="exact"/>
        <w:rPr>
          <w:rFonts w:ascii="Times New Roman" w:cs="Times New Roman" w:eastAsia="Times New Roman" w:hAnsi="Times New Roman"/>
          <w:sz w:val="18"/>
          <w:szCs w:val="18"/>
          <w:color w:val="auto"/>
        </w:rPr>
      </w:pPr>
    </w:p>
    <w:p>
      <w:pPr>
        <w:ind w:left="540" w:right="580" w:hanging="532"/>
        <w:spacing w:after="0" w:line="286"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Testing-the-Waters Communication</w:t>
      </w:r>
      <w:r>
        <w:rPr>
          <w:rFonts w:ascii="Times New Roman" w:cs="Times New Roman" w:eastAsia="Times New Roman" w:hAnsi="Times New Roman"/>
          <w:sz w:val="18"/>
          <w:szCs w:val="18"/>
          <w:color w:val="auto"/>
        </w:rPr>
        <w:t>” means any oral or written communication with potential investors undertaken in reliance on Section 5(d) of the Securities Act or Rule 163B under the Securities Act; and</w:t>
      </w:r>
    </w:p>
    <w:p>
      <w:pPr>
        <w:spacing w:after="0" w:line="60" w:lineRule="exact"/>
        <w:rPr>
          <w:rFonts w:ascii="Times New Roman" w:cs="Times New Roman" w:eastAsia="Times New Roman" w:hAnsi="Times New Roman"/>
          <w:sz w:val="18"/>
          <w:szCs w:val="18"/>
          <w:color w:val="auto"/>
        </w:rPr>
      </w:pPr>
    </w:p>
    <w:p>
      <w:pPr>
        <w:ind w:left="540" w:right="140" w:hanging="532"/>
        <w:spacing w:after="0" w:line="286"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Written Testing-the-Waters Communication</w:t>
      </w:r>
      <w:r>
        <w:rPr>
          <w:rFonts w:ascii="Times New Roman" w:cs="Times New Roman" w:eastAsia="Times New Roman" w:hAnsi="Times New Roman"/>
          <w:sz w:val="18"/>
          <w:szCs w:val="18"/>
          <w:color w:val="auto"/>
        </w:rPr>
        <w:t>” means any Testing-the-Waters Communication that is a written communication within the meaning of Rule 405 under the Securities Act.</w:t>
      </w:r>
    </w:p>
    <w:p>
      <w:pPr>
        <w:spacing w:after="0" w:line="51" w:lineRule="exact"/>
        <w:rPr>
          <w:sz w:val="20"/>
          <w:szCs w:val="20"/>
          <w:color w:val="auto"/>
        </w:rPr>
      </w:pPr>
    </w:p>
    <w:p>
      <w:pPr>
        <w:ind w:left="20" w:right="80"/>
        <w:spacing w:after="0" w:line="254" w:lineRule="auto"/>
        <w:rPr>
          <w:sz w:val="20"/>
          <w:szCs w:val="20"/>
          <w:color w:val="auto"/>
        </w:rPr>
      </w:pPr>
      <w:r>
        <w:rPr>
          <w:rFonts w:ascii="Times New Roman" w:cs="Times New Roman" w:eastAsia="Times New Roman" w:hAnsi="Times New Roman"/>
          <w:sz w:val="18"/>
          <w:szCs w:val="18"/>
          <w:color w:val="auto"/>
        </w:rPr>
        <w:t>Any reference to any amendment or supplement to the Prospectus shall be deemed to refer to and include any document filed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after the date of the Prospectus, and before the date of such amendment or supplement and incorporated by reference in the Prospectus; and any reference to any amendment to the Registration Statement shall be deemed to include any document filed with the Commission pursuant to Section 13(a), 14 or 15(d) of the Exchange Act after the Effective Date and before the date of such amendment that is incorporated by reference in the Registration Statement. The Commission has not issued any order preventing or suspending the use of the Prospectus or any Issuer Free Writing Prospectus or suspending the effectiveness of the Registration Statement, and no proceeding or examination for such purpose or pursuant to Section 8A of the Securities Act has been instituted or threatened by the Commission. The Commission has not notified the Company of any objection to the use of the form of the Registration Statement or any post-effective amendment thereto. Copies of the Registration Statement, the Prospectus,</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80"/>
          </w:cols>
          <w:pgMar w:left="860" w:top="266" w:right="459" w:bottom="1440" w:gutter="0" w:footer="0" w:header="0"/>
        </w:sectPr>
      </w:pPr>
    </w:p>
    <w:bookmarkStart w:id="6" w:name="page7"/>
    <w:bookmarkEnd w:id="6"/>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any such amendments or supplements and all documents incorporated by reference therein that were filed with the Commission on or prior to the date of this Agreement have been delivered, or are available through EDGAR, to the Agents and their counsel. The Company has not distributed and, prior to the later to occur of each Delivery Date (as defined below) and completion of the distribution of the Stock, will not distribute any offering material in connection with the offering or sale of the Stock other than the Registration Statement and the Prospectus and any Issuer Free Writing Prospectus to which the Agents have consented. The Common Stock is registered pursuant to Section 12(b) of the Exchange Act and is currently listed on the Nasdaq Global Market (the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under the trading symbol “LUNR.” The Company has taken no action designed to, or which to its knowledge is likely to have the effect of, terminating the registration of the Common Stock under the Exchange Act, delisting the Common Stock from the Exchange, nor has the Company received any notification that the Commission or the Exchange is contemplating terminating such registration or listing. To the Company’s knowledge, it is in compliance with all applicable listing requirements of the Exchange.</w:t>
      </w:r>
    </w:p>
    <w:p>
      <w:pPr>
        <w:spacing w:after="0" w:line="86" w:lineRule="exact"/>
        <w:rPr>
          <w:sz w:val="20"/>
          <w:szCs w:val="20"/>
          <w:color w:val="auto"/>
        </w:rPr>
      </w:pPr>
    </w:p>
    <w:p>
      <w:pPr>
        <w:ind w:firstLine="419"/>
        <w:spacing w:after="0" w:line="261" w:lineRule="auto"/>
        <w:tabs>
          <w:tab w:leader="none" w:pos="67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WKSI Status</w:t>
      </w:r>
      <w:r>
        <w:rPr>
          <w:rFonts w:ascii="Times New Roman" w:cs="Times New Roman" w:eastAsia="Times New Roman" w:hAnsi="Times New Roman"/>
          <w:sz w:val="18"/>
          <w:szCs w:val="18"/>
          <w:color w:val="auto"/>
        </w:rPr>
        <w:t>. Since the time of the initial filing of the Registration Statement the Company has been, and continues to be, a “well-known seasoned issuer” (as defined in Rule 405) eligible to use Form S-3 for the offering of the Stock. The Company was not an “ineligible issuer” (as defined in Rule 405) at any such time or date. The Registration Statement is an “automatic shelf registration statement” (as defined in Rule 405) and was filed not earlier than the date that is three years prior to the applicable Delivery Date (as defined in Section 2).</w:t>
      </w:r>
    </w:p>
    <w:p>
      <w:pPr>
        <w:spacing w:after="0" w:line="71" w:lineRule="exact"/>
        <w:rPr>
          <w:rFonts w:ascii="Times New Roman" w:cs="Times New Roman" w:eastAsia="Times New Roman" w:hAnsi="Times New Roman"/>
          <w:sz w:val="18"/>
          <w:szCs w:val="18"/>
          <w:color w:val="auto"/>
        </w:rPr>
      </w:pPr>
    </w:p>
    <w:p>
      <w:pPr>
        <w:ind w:right="20" w:firstLine="419"/>
        <w:spacing w:after="0" w:line="255" w:lineRule="auto"/>
        <w:tabs>
          <w:tab w:leader="none" w:pos="66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Conformity with Securities Act and Exchange Act</w:t>
      </w:r>
      <w:r>
        <w:rPr>
          <w:rFonts w:ascii="Times New Roman" w:cs="Times New Roman" w:eastAsia="Times New Roman" w:hAnsi="Times New Roman"/>
          <w:sz w:val="18"/>
          <w:szCs w:val="18"/>
          <w:color w:val="auto"/>
        </w:rPr>
        <w:t>. The Registration Statement conformed and will conform in all material respects on each Effective Date and on each Delivery Date, and any amendment to the Registration Statement filed after the date hereof will conform in all material respects when filed, to the requirements of the Securities Act and the rules and regulations thereunder. The Prospectus conformed and will conform, in all material respects when filed with the Commission pursuant to Rule 424(b) under the Securities Act and on each Delivery Date to the requirements of the Securities Act and the rules and regulations thereunder. The documents incorporated by reference in the Prospectus conformed, and any further documents so incorporated will conform, when filed with the Commission, in all material respects to the requirements of the Exchange Act or the Securities Act, as applicable, and the rules and regulations of the Commission thereunder.</w:t>
      </w:r>
    </w:p>
    <w:p>
      <w:pPr>
        <w:spacing w:after="0" w:line="80" w:lineRule="exact"/>
        <w:rPr>
          <w:rFonts w:ascii="Times New Roman" w:cs="Times New Roman" w:eastAsia="Times New Roman" w:hAnsi="Times New Roman"/>
          <w:sz w:val="18"/>
          <w:szCs w:val="18"/>
          <w:color w:val="auto"/>
        </w:rPr>
      </w:pPr>
    </w:p>
    <w:p>
      <w:pPr>
        <w:ind w:right="20" w:firstLine="419"/>
        <w:spacing w:after="0" w:line="255" w:lineRule="auto"/>
        <w:tabs>
          <w:tab w:leader="none" w:pos="67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Omission</w:t>
      </w:r>
      <w:r>
        <w:rPr>
          <w:rFonts w:ascii="Times New Roman" w:cs="Times New Roman" w:eastAsia="Times New Roman" w:hAnsi="Times New Roman"/>
          <w:sz w:val="18"/>
          <w:szCs w:val="18"/>
          <w:color w:val="auto"/>
        </w:rPr>
        <w:t>. The Registration Statement did not, as of any Effective Date, contain an untrue statement of a material fact or omit to state a material fact required to be stated therein or necessary to make the statements therein not misleading; provided that no representation or warranty is made as to information contained in or omitted from the Registration Statement in reliance upon and in conformity with written information furnished to the Company by the Agents specifically for inclusion therein, which information is specified in Section 6(e). The Prospectus did not and will not, as of its date or as of any Delivery Date, contain an untrue statement of a material fact or omit to state a material fact necessary in order to make the statements therein, in the light of the circumstances under which they were made, not misleading; provided that no</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60"/>
          </w:cols>
          <w:pgMar w:left="880" w:top="270" w:right="459" w:bottom="1440" w:gutter="0" w:footer="0" w:header="0"/>
        </w:sectPr>
      </w:pPr>
    </w:p>
    <w:bookmarkStart w:id="7" w:name="page8"/>
    <w:bookmarkEnd w:id="7"/>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 or warranty is made as to information contained in or omitted from the Prospectus in reliance upon and in conformity with written information furnished to the Company by the Agents specifically for inclusion therein, which information is specified in Section 6(e). The documents incorporated by reference in the Prospectus did not, and any further documents filed and incorporated by reference therein will not, when filed with the Commission contain an untrue statement of a material fact or omit to state a material fact necessary to make the statements therein, in the light of the circumstances under which they were made, not misleading. The Pricing Disclosure Package did not, as of the Applicable Time, contain an untrue statement of a material fact or omit to state a material fact necessary in order to make the statements therein, in the light of the circumstances under which they were made, not misleading; provided that no representation or warranty is made as to information contained in or omitted from the Pricing Disclosure Package in reliance upon and in conformity with written information furnished to the Company by the Agents specifically for inclusion therein, which information is specified in Section 6(e).</w:t>
      </w:r>
    </w:p>
    <w:p>
      <w:pPr>
        <w:spacing w:after="0" w:line="80" w:lineRule="exact"/>
        <w:rPr>
          <w:sz w:val="20"/>
          <w:szCs w:val="20"/>
          <w:color w:val="auto"/>
        </w:rPr>
      </w:pPr>
    </w:p>
    <w:p>
      <w:pPr>
        <w:ind w:right="40" w:firstLine="419"/>
        <w:spacing w:after="0" w:line="274" w:lineRule="auto"/>
        <w:tabs>
          <w:tab w:leader="none" w:pos="667"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Issuer Free Writing Prospectus</w:t>
      </w:r>
      <w:r>
        <w:rPr>
          <w:rFonts w:ascii="Times New Roman" w:cs="Times New Roman" w:eastAsia="Times New Roman" w:hAnsi="Times New Roman"/>
          <w:sz w:val="17"/>
          <w:szCs w:val="17"/>
          <w:color w:val="auto"/>
        </w:rPr>
        <w:t>. Each Issuer Free Writing Prospectus conformed or will conform in all material respects to the requirements of the Securities Act and the rules and regulations thereunder on the date of first use, and the Company has complied with all prospectus delivery and any filing requirements applicable to such Issuer Free Writing Prospectus pursuant to the Securities Act and rules and regulations thereunder. The Company has not made any offer relating to the Stock that would constitute an Issuer Free Writing Prospectus without the prior written consent of the Agents. The Company has retained in accordance with the Securities Act and the rules and regulations thereunder all Issuer Free Writing Prospectuses that were not required to be filed pursuant to the Securities Act and the rules and regulations thereunder.</w:t>
      </w:r>
    </w:p>
    <w:p>
      <w:pPr>
        <w:spacing w:after="0" w:line="64" w:lineRule="exact"/>
        <w:rPr>
          <w:rFonts w:ascii="Times New Roman" w:cs="Times New Roman" w:eastAsia="Times New Roman" w:hAnsi="Times New Roman"/>
          <w:sz w:val="17"/>
          <w:szCs w:val="17"/>
          <w:color w:val="auto"/>
        </w:rPr>
      </w:pPr>
    </w:p>
    <w:p>
      <w:pPr>
        <w:ind w:firstLine="419"/>
        <w:spacing w:after="0" w:line="253" w:lineRule="auto"/>
        <w:tabs>
          <w:tab w:leader="none" w:pos="6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Information</w:t>
      </w:r>
      <w:r>
        <w:rPr>
          <w:rFonts w:ascii="Times New Roman" w:cs="Times New Roman" w:eastAsia="Times New Roman" w:hAnsi="Times New Roman"/>
          <w:sz w:val="18"/>
          <w:szCs w:val="18"/>
          <w:color w:val="auto"/>
        </w:rPr>
        <w:t>. The consolidated financial statements of the Company included or incorporated by reference in the Registration Statement, the Prospectus and the Issuer Free Writing Prospectuses, if any, together with the related notes and schedules, present fairly, in all material respects, the consolidated financial position of the Company and its then consolidated Subsidiaries (as defined below) as of the dates indicated, and the consolidated results of operations, cash flows and changes in stockholders’ equity of the Company and its then consolidated Subsidiaries for the periods specified (subject, in the case of unaudited statements, to normal year-end audit adjustments which will not be material, either individually or in the aggregate) and have been prepared in compliance with the requirements of the Securities Act and the Exchange Act, as applicable, and in conformity with U.S. Generally Accepted Accounting Principles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applied on a consistent basis during the periods involved; the other financial and statistical data with respect to the Company and each of its significant subsidiaries (as such term is defined in Rule 1-02 of Regulation S-X promulgated by the Commission) (collectively, the “</w:t>
      </w:r>
      <w:r>
        <w:rPr>
          <w:rFonts w:ascii="Times New Roman" w:cs="Times New Roman" w:eastAsia="Times New Roman" w:hAnsi="Times New Roman"/>
          <w:sz w:val="18"/>
          <w:szCs w:val="18"/>
          <w:b w:val="1"/>
          <w:bCs w:val="1"/>
          <w:i w:val="1"/>
          <w:iCs w:val="1"/>
          <w:color w:val="auto"/>
        </w:rPr>
        <w:t>Subsidiaries</w:t>
      </w:r>
      <w:r>
        <w:rPr>
          <w:rFonts w:ascii="Times New Roman" w:cs="Times New Roman" w:eastAsia="Times New Roman" w:hAnsi="Times New Roman"/>
          <w:sz w:val="18"/>
          <w:szCs w:val="18"/>
          <w:color w:val="auto"/>
        </w:rPr>
        <w:t>”) contained or incorporated by reference in the Registration Statement, the Prospectus and the Issuer Free Writing Prospectuses, if any, are accurately and fairly presented and prepared on a basis consistent with the financial statements and books and records of the Company. There are no financial statements (historical or pro forma) that are required to be included or incorporated by reference in the Registration Statement or the Prospectus that are not included or incorporated by reference as required; the Company and the Subsidiaries (as defined below) do not have any material</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60"/>
          </w:cols>
          <w:pgMar w:left="880" w:top="270" w:right="459" w:bottom="1440" w:gutter="0" w:footer="0" w:header="0"/>
        </w:sectPr>
      </w:pPr>
    </w:p>
    <w:bookmarkStart w:id="8" w:name="page9"/>
    <w:bookmarkEnd w:id="8"/>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liabilities or obligations, direct or contingent (including any off-balance sheet obligations or any “variable interest entities” as that term is used in Accounting Standards Codification Paragraph 810-10-25-20), required to be described in the Registration Statement (excluding the exhibits thereto), or the Prospectus that are not described as required; and all disclosures contained or incorporated by reference in the Registration Statement, the Prospectus and the Issuer Free Writing Prospectuses, if any, regarding “non-GAAP financial measures” (as such term is defined by the rules and regulations of the Commission) comply in all material respects with Regulation G of the Exchange Act and Item 10 of Regulation S-K under the Securities Act, to the extent applicable. The interactive data in eXtensible Business Reporting Language included or incorporated by reference in the Registration Statement and the Prospectus fairly presents the information called for in all material respects and has been prepared in accordance with the Commission’s rules and guidelines applicable thereto.</w:t>
      </w:r>
    </w:p>
    <w:p>
      <w:pPr>
        <w:spacing w:after="0" w:line="84" w:lineRule="exact"/>
        <w:rPr>
          <w:sz w:val="20"/>
          <w:szCs w:val="20"/>
          <w:color w:val="auto"/>
        </w:rPr>
      </w:pPr>
    </w:p>
    <w:p>
      <w:pPr>
        <w:ind w:right="100" w:firstLine="419"/>
        <w:spacing w:after="0" w:line="255" w:lineRule="auto"/>
        <w:tabs>
          <w:tab w:leader="none" w:pos="67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Forma Financial Statements</w:t>
      </w:r>
      <w:r>
        <w:rPr>
          <w:rFonts w:ascii="Times New Roman" w:cs="Times New Roman" w:eastAsia="Times New Roman" w:hAnsi="Times New Roman"/>
          <w:sz w:val="18"/>
          <w:szCs w:val="18"/>
          <w:color w:val="auto"/>
        </w:rPr>
        <w:t>. Any pro forma financial statements included or incorporated by reference in the Prospectus and the Pricing Disclosure Package include assumptions that, in the reasonable judgment of the Company’s management and subject to the qualifications therein, provide a reasonable basis for presenting the significant effects of the transactions and events described therein, the related pro forma adjustments give appropriate effect to those assumptions in all material respects, and the related pro forma adjustments reflect the proper application of those adjustments to the corresponding historical financial statement amounts in all material respects. Any pro forma financial statements included or incorporated by reference in the Prospectus and the Pricing Disclosure Package comply as to form in all material respects with the applicable requirements of Regulation S-X under the Securities Act.</w:t>
      </w:r>
    </w:p>
    <w:p>
      <w:pPr>
        <w:spacing w:after="0" w:line="80" w:lineRule="exact"/>
        <w:rPr>
          <w:rFonts w:ascii="Times New Roman" w:cs="Times New Roman" w:eastAsia="Times New Roman" w:hAnsi="Times New Roman"/>
          <w:sz w:val="18"/>
          <w:szCs w:val="18"/>
          <w:color w:val="auto"/>
        </w:rPr>
      </w:pPr>
    </w:p>
    <w:p>
      <w:pPr>
        <w:ind w:right="40" w:firstLine="419"/>
        <w:spacing w:after="0" w:line="266" w:lineRule="auto"/>
        <w:tabs>
          <w:tab w:leader="none" w:pos="67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Conformity with EDGAR Filing</w:t>
      </w:r>
      <w:r>
        <w:rPr>
          <w:rFonts w:ascii="Times New Roman" w:cs="Times New Roman" w:eastAsia="Times New Roman" w:hAnsi="Times New Roman"/>
          <w:sz w:val="18"/>
          <w:szCs w:val="18"/>
          <w:color w:val="auto"/>
        </w:rPr>
        <w:t>. The Prospectus delivered to the Agents for use in connection with the sale of the Stock pursuant to this Agreement will be identical to the versions of the Prospectus created to be transmitted to the Commission for filing via EDGAR, except to the extent permitted by Regulation S-T.</w:t>
      </w:r>
    </w:p>
    <w:p>
      <w:pPr>
        <w:spacing w:after="0" w:line="67" w:lineRule="exact"/>
        <w:rPr>
          <w:rFonts w:ascii="Times New Roman" w:cs="Times New Roman" w:eastAsia="Times New Roman" w:hAnsi="Times New Roman"/>
          <w:sz w:val="18"/>
          <w:szCs w:val="18"/>
          <w:color w:val="auto"/>
        </w:rPr>
      </w:pPr>
    </w:p>
    <w:p>
      <w:pPr>
        <w:ind w:firstLine="419"/>
        <w:spacing w:after="0" w:line="253" w:lineRule="auto"/>
        <w:tabs>
          <w:tab w:leader="none" w:pos="63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The Company and each of the Subsidiaries are duly organized, validly existing as a corporation and in good standing under the laws of their respective jurisdictions of organization. The Company and each of its Subsidiaries are duly licensed or qualified as a foreign corporation (or other entity, if applicable) for transaction of business and in good standing under the laws of each other jurisdiction in which their respective ownership or lease of property or the conduct of their respective businesses requires such license or qualification, and have all entity power and authority necessary to own or hold their respective properties and to conduct their respective businesses as described in the Registration Statement and the Pricing Disclosure Package, except where the failure to be so qualified or in good standing or have such power or authority would not, individually or in the aggregate, have, or reasonably be expected to have, a material adverse effect on or affecting the assets, business, operations, earnings, properties, condition (financial or otherwise), prospects, stockholders’ equity or results of operations of the Company and the Subsidiaries taken as a whole, or prevent or materially interfere with consummation of the transactions contemplated hereby (a “</w:t>
      </w:r>
      <w:r>
        <w:rPr>
          <w:rFonts w:ascii="Times New Roman" w:cs="Times New Roman" w:eastAsia="Times New Roman" w:hAnsi="Times New Roman"/>
          <w:sz w:val="18"/>
          <w:szCs w:val="18"/>
          <w:b w:val="1"/>
          <w:bCs w:val="1"/>
          <w:i w:val="1"/>
          <w:iCs w:val="1"/>
          <w:color w:val="auto"/>
        </w:rPr>
        <w:t>Material Adverse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Effect</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0"/>
          </w:cols>
          <w:pgMar w:left="880" w:top="270" w:right="459" w:bottom="1440" w:gutter="0" w:footer="0" w:header="0"/>
        </w:sectPr>
      </w:pPr>
    </w:p>
    <w:bookmarkStart w:id="9" w:name="page10"/>
    <w:bookmarkEnd w:id="9"/>
    <w:p>
      <w:pPr>
        <w:ind w:right="200" w:firstLine="419"/>
        <w:spacing w:after="0" w:line="255" w:lineRule="auto"/>
        <w:tabs>
          <w:tab w:leader="none" w:pos="63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Subsidiaries</w:t>
      </w:r>
      <w:r>
        <w:rPr>
          <w:rFonts w:ascii="Times New Roman" w:cs="Times New Roman" w:eastAsia="Times New Roman" w:hAnsi="Times New Roman"/>
          <w:sz w:val="18"/>
          <w:szCs w:val="18"/>
          <w:color w:val="auto"/>
        </w:rPr>
        <w:t>. The Subsidiaries are the Company’s only significant subsidiaries (as such term is defined in Rule 1-02 of Regulation S-X promulgated by the Commission). Except as set forth in the Registration Statement and the Pricing Disclosure Package, the Company owns, directly or indirectly, all of the equity interests of the Subsidiaries free and clear of any lien, charge, security interest, encumbrance, right of first refusal or other restriction, and all the equity interests of the Subsidiaries are validly issued and are fully paid, non-assessable and free of preemptive and similar rights. No Subsidiary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w:t>
      </w:r>
    </w:p>
    <w:p>
      <w:pPr>
        <w:spacing w:after="0" w:line="80" w:lineRule="exact"/>
        <w:rPr>
          <w:rFonts w:ascii="Times New Roman" w:cs="Times New Roman" w:eastAsia="Times New Roman" w:hAnsi="Times New Roman"/>
          <w:sz w:val="18"/>
          <w:szCs w:val="18"/>
          <w:color w:val="auto"/>
        </w:rPr>
      </w:pPr>
    </w:p>
    <w:p>
      <w:pPr>
        <w:ind w:firstLine="419"/>
        <w:spacing w:after="0" w:line="255" w:lineRule="auto"/>
        <w:tabs>
          <w:tab w:leader="none" w:pos="67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Violation or Default</w:t>
      </w:r>
      <w:r>
        <w:rPr>
          <w:rFonts w:ascii="Times New Roman" w:cs="Times New Roman" w:eastAsia="Times New Roman" w:hAnsi="Times New Roman"/>
          <w:sz w:val="18"/>
          <w:szCs w:val="18"/>
          <w:color w:val="auto"/>
        </w:rPr>
        <w:t>. Neither the Company nor any of its Subsidiaries is (i) in violation of its charter or by-laws, in each case as currently in effect,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are subject; or (iii) in violation of any law or statute or any judgment, order, rule or regulation of any Governmental Authority, except, in the case of each of clauses (ii) and (iii) above, for any such violation or default that would not, individually or in the aggregate, have a Material Adverse Effect.</w:t>
      </w:r>
    </w:p>
    <w:p>
      <w:pPr>
        <w:spacing w:after="0" w:line="80" w:lineRule="exact"/>
        <w:rPr>
          <w:rFonts w:ascii="Times New Roman" w:cs="Times New Roman" w:eastAsia="Times New Roman" w:hAnsi="Times New Roman"/>
          <w:sz w:val="18"/>
          <w:szCs w:val="18"/>
          <w:color w:val="auto"/>
        </w:rPr>
      </w:pPr>
    </w:p>
    <w:p>
      <w:pPr>
        <w:ind w:right="40" w:firstLine="419"/>
        <w:spacing w:after="0" w:line="254" w:lineRule="auto"/>
        <w:tabs>
          <w:tab w:leader="none" w:pos="63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Subsequent to the respective dates as of which information is given in the Registration Statement and the Pricing Disclosure Package, there has not been (i) any Material Adverse Effect, (ii) any transaction that is material to the Company and the Subsidiaries taken as a whole, (iii) any obligation or liability, direct or contingent (including any off-balance sheet obligations), incurred by the Company or any Subsidiary, that is material to the Company and the Subsidiaries taken as a whole, (iv) any material change in the capital stock or outstanding long-term indebtedness of the Company or any of its Subsidiaries or (v) any dividend or distribution of any kind declared, paid or made on the capital stock of the Company or any Subsidiary (other than dividends or distributions paid solely to the Company or another Subsidiary), other than in each case above in the ordinary course of business or as otherwise disclosed in Registration Statement and the the Pricing Disclosure Package. Except as disclosed in the Registration Statement and the Pricing Disclosure Package, the Company and its Subsidiaries have conducted their respective businesses in the ordinary course of business consistent with past practice in all material respects.</w:t>
      </w:r>
    </w:p>
    <w:p>
      <w:pPr>
        <w:spacing w:after="0" w:line="80" w:lineRule="exact"/>
        <w:rPr>
          <w:rFonts w:ascii="Times New Roman" w:cs="Times New Roman" w:eastAsia="Times New Roman" w:hAnsi="Times New Roman"/>
          <w:sz w:val="18"/>
          <w:szCs w:val="18"/>
          <w:color w:val="auto"/>
        </w:rPr>
      </w:pPr>
    </w:p>
    <w:p>
      <w:pPr>
        <w:ind w:firstLine="419"/>
        <w:spacing w:after="0" w:line="289" w:lineRule="auto"/>
        <w:tabs>
          <w:tab w:leader="none" w:pos="728"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Capitalization</w:t>
      </w:r>
      <w:r>
        <w:rPr>
          <w:rFonts w:ascii="Times New Roman" w:cs="Times New Roman" w:eastAsia="Times New Roman" w:hAnsi="Times New Roman"/>
          <w:sz w:val="17"/>
          <w:szCs w:val="17"/>
          <w:color w:val="auto"/>
        </w:rPr>
        <w:t>. The authorized capital stock of the Company and the shares thereof issued and outstanding were as set forth in the Registration Statement and the Prospectus as of the dates reflected therein. All of the outstanding shares of capital stock have been duly authorized and validly issued and are fully paid and non-assessable. Except as set forth in the Registration Statement, the Pricing Disclosure Package and this</w:t>
      </w:r>
    </w:p>
    <w:p>
      <w:pPr>
        <w:spacing w:after="0" w:line="9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80" w:top="270" w:right="459" w:bottom="1440" w:gutter="0" w:footer="0" w:header="0"/>
        </w:sectPr>
      </w:pPr>
    </w:p>
    <w:bookmarkStart w:id="10" w:name="page11"/>
    <w:bookmarkEnd w:id="10"/>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there are no agreements or arrangements under which the Company is obligated to register the sale of any securities under the Securities Act. Except as set forth in the Registration Statement and the Pricing Disclosure Package, no shares of capital stock are entitled to preemptive rights and there are no outstanding debt securities and no contracts, commitments, understandings, or arrangements by which the Company is or may become bound to issue additional shares of the capital stock of the Company or options, warrants, scrip, rights to subscribe to, calls or commitments of any character whatsoever relating to, or securities or rights convertible into or exchangeable for, any shares of capital stock of the Company other than those issued or granted in the ordinary course of business pursuant to the Company’s equity incentive and/or compensatory plans or arrangements. Except for customary transfer restrictions contained in agreements entered into by the Company to sell restricted securities or as set forth in the Registration Statement and the Pricing Disclosure Package, the Company is not a party to, and it has no knowledge of, any agreement restricting the voting or transfer of any shares of the capital stock of the Company. Except as set forth in the Registration Statement and the Pricing Disclosure Package, there are no securities or instruments containing anti-dilution or similar provisions that will be triggered by this Agreement or the consummation of the transactions described herein.</w:t>
      </w:r>
    </w:p>
    <w:p>
      <w:pPr>
        <w:spacing w:after="0" w:line="84" w:lineRule="exact"/>
        <w:rPr>
          <w:sz w:val="20"/>
          <w:szCs w:val="20"/>
          <w:color w:val="auto"/>
        </w:rPr>
      </w:pPr>
    </w:p>
    <w:p>
      <w:pPr>
        <w:ind w:right="180" w:firstLine="419"/>
        <w:spacing w:after="0" w:line="266" w:lineRule="auto"/>
        <w:tabs>
          <w:tab w:leader="none" w:pos="6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The Company has the requisite corporate power and authority to enter into this Agreement and perform the transactions contemplated hereby. This Agreement has been duly authorized, executed and delivered by the Company and is a legal, valid and binding agreement of the Company.</w:t>
      </w:r>
    </w:p>
    <w:p>
      <w:pPr>
        <w:spacing w:after="0" w:line="67" w:lineRule="exact"/>
        <w:rPr>
          <w:rFonts w:ascii="Times New Roman" w:cs="Times New Roman" w:eastAsia="Times New Roman" w:hAnsi="Times New Roman"/>
          <w:sz w:val="18"/>
          <w:szCs w:val="18"/>
          <w:color w:val="auto"/>
        </w:rPr>
      </w:pPr>
    </w:p>
    <w:p>
      <w:pPr>
        <w:ind w:firstLine="419"/>
        <w:spacing w:after="0" w:line="277" w:lineRule="auto"/>
        <w:tabs>
          <w:tab w:leader="none" w:pos="678"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Authorization of Stock</w:t>
      </w:r>
      <w:r>
        <w:rPr>
          <w:rFonts w:ascii="Times New Roman" w:cs="Times New Roman" w:eastAsia="Times New Roman" w:hAnsi="Times New Roman"/>
          <w:sz w:val="17"/>
          <w:szCs w:val="17"/>
          <w:color w:val="auto"/>
        </w:rPr>
        <w:t>. The Stock, when issued and delivered pursuant to the terms approved by the board of directors of the Company or a duly authorized committee thereof, or a duly authorized executive committee, against payment therefor as provided herein, will be duly and validly authorized and issued and fully paid and nonassessable, free and clear of any pledge, lien, encumbrance, security interest or other claim, including any statutory or contractual preemptive rights, resale rights, rights of first refusal or other similar rights, and will be registered pursuant to Section 12 of the Exchange Act. The Stock, when issued, will conform to the description thereof set forth in or incorporated into the Prospectus.</w:t>
      </w:r>
    </w:p>
    <w:p>
      <w:pPr>
        <w:spacing w:after="0" w:line="59" w:lineRule="exact"/>
        <w:rPr>
          <w:rFonts w:ascii="Times New Roman" w:cs="Times New Roman" w:eastAsia="Times New Roman" w:hAnsi="Times New Roman"/>
          <w:sz w:val="17"/>
          <w:szCs w:val="17"/>
          <w:color w:val="auto"/>
        </w:rPr>
      </w:pPr>
    </w:p>
    <w:p>
      <w:pPr>
        <w:ind w:right="20" w:firstLine="419"/>
        <w:spacing w:after="0" w:line="258" w:lineRule="auto"/>
        <w:tabs>
          <w:tab w:leader="none" w:pos="6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Consents Required</w:t>
      </w:r>
      <w:r>
        <w:rPr>
          <w:rFonts w:ascii="Times New Roman" w:cs="Times New Roman" w:eastAsia="Times New Roman" w:hAnsi="Times New Roman"/>
          <w:sz w:val="18"/>
          <w:szCs w:val="18"/>
          <w:color w:val="auto"/>
        </w:rPr>
        <w:t>. No consent, approval, authorization, order, registration or qualification of or with any Governmental Authority is required for the execution, delivery and performance by the Company of this Agreement, the issuance and sale by the Company of the Stock, except for such consents, approvals, authorizations, orders and registrations or qualifications as may be required under applicable state securities laws or by the by-laws and rules of the Financial Industry Regulatory Authority (“</w:t>
      </w:r>
      <w:r>
        <w:rPr>
          <w:rFonts w:ascii="Times New Roman" w:cs="Times New Roman" w:eastAsia="Times New Roman" w:hAnsi="Times New Roman"/>
          <w:sz w:val="18"/>
          <w:szCs w:val="18"/>
          <w:b w:val="1"/>
          <w:bCs w:val="1"/>
          <w:i w:val="1"/>
          <w:iCs w:val="1"/>
          <w:color w:val="auto"/>
        </w:rPr>
        <w:t>FINRA</w:t>
      </w:r>
      <w:r>
        <w:rPr>
          <w:rFonts w:ascii="Times New Roman" w:cs="Times New Roman" w:eastAsia="Times New Roman" w:hAnsi="Times New Roman"/>
          <w:sz w:val="18"/>
          <w:szCs w:val="18"/>
          <w:color w:val="auto"/>
        </w:rPr>
        <w:t>”) or the Exchange in connection with the sale of the Stock by the Agents.</w:t>
      </w:r>
    </w:p>
    <w:p>
      <w:pPr>
        <w:spacing w:after="0" w:line="75" w:lineRule="exact"/>
        <w:rPr>
          <w:rFonts w:ascii="Times New Roman" w:cs="Times New Roman" w:eastAsia="Times New Roman" w:hAnsi="Times New Roman"/>
          <w:sz w:val="18"/>
          <w:szCs w:val="18"/>
          <w:color w:val="auto"/>
        </w:rPr>
      </w:pPr>
    </w:p>
    <w:p>
      <w:pPr>
        <w:ind w:firstLine="419"/>
        <w:spacing w:after="0" w:line="261" w:lineRule="auto"/>
        <w:tabs>
          <w:tab w:leader="none" w:pos="6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Preferential Rights</w:t>
      </w:r>
      <w:r>
        <w:rPr>
          <w:rFonts w:ascii="Times New Roman" w:cs="Times New Roman" w:eastAsia="Times New Roman" w:hAnsi="Times New Roman"/>
          <w:sz w:val="18"/>
          <w:szCs w:val="18"/>
          <w:color w:val="auto"/>
        </w:rPr>
        <w:t>. Except as set forth in the Registration Statement and the Pricing Disclosure Package, (i) no person, as such term is defined in Rule 1-02 of Regulation S-X promulgated under the Securities Act (each, a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has the right, contractual or otherwise, to cause the Company to issue or sell to such Person any Common Stock or shares of any other capital stock or other securities of the Company, (ii) no Person</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70" w:right="459" w:bottom="1440" w:gutter="0" w:footer="0" w:header="0"/>
        </w:sectPr>
      </w:pPr>
    </w:p>
    <w:bookmarkStart w:id="11" w:name="page12"/>
    <w:bookmarkEnd w:id="11"/>
    <w:p>
      <w:pPr>
        <w:ind w:left="444" w:right="1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has any preemptive rights, resale rights, rights of first refusal, rights of co-sale, or any other rights (whether pursuant to a “poison pill” provision or otherwise) to purchase any Common Stock or shares of any other capital stock or other securities of the Company, (iii) no Person has the right to act as an underwriter or as a financial advisor to the Company in connection with the offer and sale of the Common Stock, and (iv) no Person has the right, contractual or otherwise, to require the Company to register under the Securities Act any Common Stock or shares of any other capital stock or other securities of the Company, or to include any such shares or other securities in the Registration Statement or the offering contemplated thereby, whether as a result of the filing or effectiveness of the Registration Statement or the sale of the Stock as contemplated thereby or otherwise.</w:t>
      </w:r>
    </w:p>
    <w:p>
      <w:pPr>
        <w:spacing w:after="0" w:line="90" w:lineRule="exact"/>
        <w:rPr>
          <w:sz w:val="20"/>
          <w:szCs w:val="20"/>
          <w:color w:val="auto"/>
        </w:rPr>
      </w:pPr>
    </w:p>
    <w:p>
      <w:pPr>
        <w:ind w:left="424" w:right="180" w:hanging="424"/>
        <w:spacing w:after="0" w:line="259"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Public Accounting Firm</w:t>
      </w:r>
      <w:r>
        <w:rPr>
          <w:rFonts w:ascii="Times New Roman" w:cs="Times New Roman" w:eastAsia="Times New Roman" w:hAnsi="Times New Roman"/>
          <w:sz w:val="18"/>
          <w:szCs w:val="18"/>
          <w:color w:val="auto"/>
        </w:rPr>
        <w:t>. Grant Thornton LLP (the “</w:t>
      </w:r>
      <w:r>
        <w:rPr>
          <w:rFonts w:ascii="Times New Roman" w:cs="Times New Roman" w:eastAsia="Times New Roman" w:hAnsi="Times New Roman"/>
          <w:sz w:val="18"/>
          <w:szCs w:val="18"/>
          <w:b w:val="1"/>
          <w:bCs w:val="1"/>
          <w:i w:val="1"/>
          <w:iCs w:val="1"/>
          <w:color w:val="auto"/>
        </w:rPr>
        <w:t>Accountant</w:t>
      </w:r>
      <w:r>
        <w:rPr>
          <w:rFonts w:ascii="Times New Roman" w:cs="Times New Roman" w:eastAsia="Times New Roman" w:hAnsi="Times New Roman"/>
          <w:sz w:val="18"/>
          <w:szCs w:val="18"/>
          <w:color w:val="auto"/>
        </w:rPr>
        <w:t>”), and any other independent accountants whose report is included or incorporated by reference in the Registration Statement and the Pricing Disclosure Package, is and, during the periods covered by its report, was an independent registered public accounting firm within the meaning of the Securities Act and the rules and regulations of the Public Company Accounting Oversight Board (United States). To the Company’s knowledge, the Accountant is not in violation of the auditor independence requirements of the Sarbanes-Oxley Act of 2002 (the “</w:t>
      </w:r>
      <w:r>
        <w:rPr>
          <w:rFonts w:ascii="Times New Roman" w:cs="Times New Roman" w:eastAsia="Times New Roman" w:hAnsi="Times New Roman"/>
          <w:sz w:val="18"/>
          <w:szCs w:val="18"/>
          <w:b w:val="1"/>
          <w:bCs w:val="1"/>
          <w:i w:val="1"/>
          <w:iCs w:val="1"/>
          <w:color w:val="auto"/>
        </w:rPr>
        <w:t>Sarbanes-Oxley Act</w:t>
      </w:r>
      <w:r>
        <w:rPr>
          <w:rFonts w:ascii="Times New Roman" w:cs="Times New Roman" w:eastAsia="Times New Roman" w:hAnsi="Times New Roman"/>
          <w:sz w:val="18"/>
          <w:szCs w:val="18"/>
          <w:color w:val="auto"/>
        </w:rPr>
        <w:t>”) with respect to the Company.</w:t>
      </w:r>
    </w:p>
    <w:p>
      <w:pPr>
        <w:spacing w:after="0" w:line="75" w:lineRule="exact"/>
        <w:rPr>
          <w:rFonts w:ascii="Times New Roman" w:cs="Times New Roman" w:eastAsia="Times New Roman" w:hAnsi="Times New Roman"/>
          <w:sz w:val="18"/>
          <w:szCs w:val="18"/>
          <w:color w:val="auto"/>
        </w:rPr>
      </w:pPr>
    </w:p>
    <w:p>
      <w:pPr>
        <w:ind w:left="444" w:firstLine="419"/>
        <w:spacing w:after="0" w:line="258" w:lineRule="auto"/>
        <w:tabs>
          <w:tab w:leader="none" w:pos="110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Enforceability of Agreements</w:t>
      </w:r>
      <w:r>
        <w:rPr>
          <w:rFonts w:ascii="Times New Roman" w:cs="Times New Roman" w:eastAsia="Times New Roman" w:hAnsi="Times New Roman"/>
          <w:sz w:val="18"/>
          <w:szCs w:val="18"/>
          <w:color w:val="auto"/>
        </w:rPr>
        <w:t>. All agreements between the Company and third parties expressly referenced in the Prospectus are legal, valid and binding obligations of the Company enforceable in accordance with their respective terms, except to the extent that (i) enforceability may be limited by bankruptcy, insolvency, reorganization, moratorium or similar laws affecting creditors’ rights generally and by general equitable principles and (ii) the indemnification provisions of certain agreements may be limited by federal or state securities laws or public policy considerations in respect thereof.</w:t>
      </w:r>
    </w:p>
    <w:p>
      <w:pPr>
        <w:spacing w:after="0" w:line="75" w:lineRule="exact"/>
        <w:rPr>
          <w:rFonts w:ascii="Times New Roman" w:cs="Times New Roman" w:eastAsia="Times New Roman" w:hAnsi="Times New Roman"/>
          <w:sz w:val="18"/>
          <w:szCs w:val="18"/>
          <w:color w:val="auto"/>
        </w:rPr>
      </w:pPr>
    </w:p>
    <w:p>
      <w:pPr>
        <w:ind w:left="444" w:right="20" w:firstLine="419"/>
        <w:spacing w:after="0" w:line="254" w:lineRule="auto"/>
        <w:tabs>
          <w:tab w:leader="none" w:pos="108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Litigation</w:t>
      </w:r>
      <w:r>
        <w:rPr>
          <w:rFonts w:ascii="Times New Roman" w:cs="Times New Roman" w:eastAsia="Times New Roman" w:hAnsi="Times New Roman"/>
          <w:sz w:val="18"/>
          <w:szCs w:val="18"/>
          <w:color w:val="auto"/>
        </w:rPr>
        <w:t>. Except as set forth in the Registration Statement and the Pricing Disclosure Package, there are no actions, suits or proceedings by or before any Governmental Authority pending, nor, to the Company’s knowledge, any audits or investigations by or before any Governmental Authority to which the Company or a Subsidiary is a party or to which any property of the Company or any of its Subsidiaries is the subject that would, individually or in the aggregate, have a Material Adverse Effect and, to the Company’s knowledge, no such actions, suits, proceedings, audits or investigations are threatened or contemplated by any Governmental Authority or threatened by others; and (i) there are no current or pending audits or investigations, actions, suits or proceedings by or before any Governmental Authority that are required under the Securities Act to be described in the Prospectus that are not so described; and (ii) there are no contracts or other documents that are required under the Securities Act to be filed as exhibits to the Registration Statement that are not so filed.</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12" w:name="page13"/>
    <w:bookmarkEnd w:id="12"/>
    <w:p>
      <w:pPr>
        <w:ind w:left="4" w:right="60" w:firstLine="419"/>
        <w:spacing w:after="0" w:line="258" w:lineRule="auto"/>
        <w:tabs>
          <w:tab w:leader="none" w:pos="68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Consents and Permits</w:t>
      </w:r>
      <w:r>
        <w:rPr>
          <w:rFonts w:ascii="Times New Roman" w:cs="Times New Roman" w:eastAsia="Times New Roman" w:hAnsi="Times New Roman"/>
          <w:sz w:val="18"/>
          <w:szCs w:val="18"/>
          <w:color w:val="auto"/>
        </w:rPr>
        <w:t>. The Company and each Subsidiary possess such valid and current certificates, authorizations or permits issued by the appropriate state, federal or foreign regulatory agencies or bodies necessary to conduct their respective businesses, and neither the Company nor any Subsidiary has received, or has any reason to believe that it will receive, any notice of proceedings relating to the revocation or modification of, or non-compliance with, any such certificate, authorization or permit which, if the subject of an unfavorable decision, ruling or finding, would, individually or in the aggregate, have a Material Adverse Effect.</w:t>
      </w:r>
    </w:p>
    <w:p>
      <w:pPr>
        <w:spacing w:after="0" w:line="75" w:lineRule="exact"/>
        <w:rPr>
          <w:rFonts w:ascii="Times New Roman" w:cs="Times New Roman" w:eastAsia="Times New Roman" w:hAnsi="Times New Roman"/>
          <w:sz w:val="18"/>
          <w:szCs w:val="18"/>
          <w:color w:val="auto"/>
        </w:rPr>
      </w:pPr>
    </w:p>
    <w:p>
      <w:pPr>
        <w:ind w:left="4" w:firstLine="419"/>
        <w:spacing w:after="0" w:line="252" w:lineRule="auto"/>
        <w:tabs>
          <w:tab w:leader="none" w:pos="68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Except as disclosed in the Registration Statement and the Pricing Disclosure Package, the Company and its Subsidiaries own, possess, license or have other rights to use all foreign and domestic patents, patent applications, trade and service marks, trade and service mark registrations, trade names, copyrights, licenses, inventions, trade secrets, technology, Internet domain names, know-how and other intellectual property (collectively, the “</w:t>
      </w:r>
      <w:r>
        <w:rPr>
          <w:rFonts w:ascii="Times New Roman" w:cs="Times New Roman" w:eastAsia="Times New Roman" w:hAnsi="Times New Roman"/>
          <w:sz w:val="18"/>
          <w:szCs w:val="18"/>
          <w:b w:val="1"/>
          <w:bCs w:val="1"/>
          <w:i w:val="1"/>
          <w:iCs w:val="1"/>
          <w:color w:val="auto"/>
        </w:rPr>
        <w:t>Intellectual Property</w:t>
      </w:r>
      <w:r>
        <w:rPr>
          <w:rFonts w:ascii="Times New Roman" w:cs="Times New Roman" w:eastAsia="Times New Roman" w:hAnsi="Times New Roman"/>
          <w:sz w:val="18"/>
          <w:szCs w:val="18"/>
          <w:color w:val="auto"/>
        </w:rPr>
        <w:t>”), necessary for the conduct of their respective businesses as now conducted except to the extent that the failure to own, possess, license or otherwise hold adequate rights to use such Intellectual Property would not, individually or in the aggregate, have a Material Adverse Effect. Except as disclosed in the Registration Statement and the Pricing Disclosure Package, (i) there are no rights of third parties to any such Intellectual Property owned by the Company and its Subsidiaries; (ii) to the Company’s knowledge, there is no infringement by third parties of any such Intellectual Property; (iii) there is no pending or, to the Company’s knowledge, threatened action, suit, proceeding or claim by others challenging the Company’s and its Subsidiaries’ rights in or to any such Intellectual Property, and the Company is unaware of any facts which could form a reasonable basis for any such action, suit, proceeding or claim; (iv) there is no pending or, to the Company’s knowledge, threatened action, suit, proceeding or claim by others challenging the validity or scope of any such Intellectual Property; (v) there is no pending or, to the Company’s knowledge, threatened action, suit, proceeding or claim by others that the Company and its Subsidiaries infringe or otherwise violate any patent, trademark, copyright, trade secret or other proprietary rights of others;</w:t>
      </w:r>
    </w:p>
    <w:p>
      <w:pPr>
        <w:spacing w:after="0" w:line="1" w:lineRule="exact"/>
        <w:rPr>
          <w:rFonts w:ascii="Times New Roman" w:cs="Times New Roman" w:eastAsia="Times New Roman" w:hAnsi="Times New Roman"/>
          <w:sz w:val="18"/>
          <w:szCs w:val="18"/>
          <w:color w:val="auto"/>
        </w:rPr>
      </w:pPr>
    </w:p>
    <w:p>
      <w:pPr>
        <w:ind w:left="4" w:right="100" w:hanging="4"/>
        <w:spacing w:after="0" w:line="251" w:lineRule="auto"/>
        <w:tabs>
          <w:tab w:leader="none" w:pos="30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there is no third-party U.S. patent or published U.S. patent application which contains claims for which an Interference Proceeding (as defined in 35 U.S.C. § 135) has been commenced against any patent or patent application described in the Prospectus as being owned by or licensed to the Company; and (vii) the Company and its Subsidiaries have complied with the terms of each agreement pursuant to which Intellectual Property has been licensed to the Company or such Subsidiary, and all such agreements are in full force and effect, except, in the case of any of clauses (i)-(vii) above, for any such infringement by third parties or any such pending or threatened suit, action, proceeding or claim as would not, individually or in the aggregate, result in a Material Adverse Effect. The Company and its Subsidiaries have taken reasonable best efforts to maintain the confidentiality of all material trade secrets and other material confidential information of the Company and its Subsidiaries and any confidential information owned by any Person to whom the Company or any of its Subsidiaries has a written confidentiality obligation.</w:t>
      </w:r>
    </w:p>
    <w:p>
      <w:pPr>
        <w:spacing w:after="0" w:line="85" w:lineRule="exact"/>
        <w:rPr>
          <w:rFonts w:ascii="Times New Roman" w:cs="Times New Roman" w:eastAsia="Times New Roman" w:hAnsi="Times New Roman"/>
          <w:sz w:val="18"/>
          <w:szCs w:val="18"/>
          <w:color w:val="auto"/>
        </w:rPr>
      </w:pPr>
    </w:p>
    <w:p>
      <w:pPr>
        <w:ind w:left="4" w:firstLine="419"/>
        <w:spacing w:after="0" w:line="261" w:lineRule="auto"/>
        <w:tabs>
          <w:tab w:leader="none" w:pos="72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Capitalization</w:t>
      </w:r>
      <w:r>
        <w:rPr>
          <w:rFonts w:ascii="Times New Roman" w:cs="Times New Roman" w:eastAsia="Times New Roman" w:hAnsi="Times New Roman"/>
          <w:sz w:val="18"/>
          <w:szCs w:val="18"/>
          <w:color w:val="auto"/>
        </w:rPr>
        <w:t>. At the time the Registration Statement was or will be originally declared effective, and at the time the Company’s most recent Annual Report on Form 10-K was filed with the Commission, the Company met or will meet the then applicable requirements for the use of Form S-3 under the Securities Act, including, but not limited to, General Instruction I.B.1 of Form S-3. The aggregate market value of the outstanding voting and non-voting common equity (as defined in Securities Act Rule 405)</w:t>
      </w:r>
    </w:p>
    <w:p>
      <w:pPr>
        <w:spacing w:after="0" w:line="11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4"/>
          </w:cols>
          <w:pgMar w:left="876" w:top="270" w:right="459" w:bottom="1440" w:gutter="0" w:footer="0" w:header="0"/>
        </w:sectPr>
      </w:pPr>
    </w:p>
    <w:bookmarkStart w:id="13" w:name="page14"/>
    <w:bookmarkEnd w:id="13"/>
    <w:p>
      <w:pPr>
        <w:ind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Company held by persons other than affiliates of the Company (pursuant to Securities Act Rule 144, those that directly, or indirectly through one or more intermediaries, control, or are controlled by, or are under common control with, the Company) (the “</w:t>
      </w:r>
      <w:r>
        <w:rPr>
          <w:rFonts w:ascii="Times New Roman" w:cs="Times New Roman" w:eastAsia="Times New Roman" w:hAnsi="Times New Roman"/>
          <w:sz w:val="18"/>
          <w:szCs w:val="18"/>
          <w:b w:val="1"/>
          <w:bCs w:val="1"/>
          <w:i w:val="1"/>
          <w:iCs w:val="1"/>
          <w:color w:val="auto"/>
        </w:rPr>
        <w:t>Non-Affiliate Shares</w:t>
      </w:r>
      <w:r>
        <w:rPr>
          <w:rFonts w:ascii="Times New Roman" w:cs="Times New Roman" w:eastAsia="Times New Roman" w:hAnsi="Times New Roman"/>
          <w:sz w:val="18"/>
          <w:szCs w:val="18"/>
          <w:color w:val="auto"/>
        </w:rPr>
        <w:t>”), was equal to or greater than $75 million (calculated by multiplying (x) the highest price at which the common equity of the Company closed on the Exchange within 60 days of the date of this Agreement times (y) the number of Non-Affiliate Shares). The Company is not a shell company (as defined in Rule 405 under the Securities Act) and has not been a shell company for at least 12 calendar months previously and if it has been a shell company at any time previously, has filed current Form 10 information (as defined in Instruction I.B.6 of Form S-3) with the Commission at least 12 calendar months previously reflecting its status as an entity that is not a shell company.</w:t>
      </w:r>
    </w:p>
    <w:p>
      <w:pPr>
        <w:spacing w:after="0" w:line="81" w:lineRule="exact"/>
        <w:rPr>
          <w:sz w:val="20"/>
          <w:szCs w:val="20"/>
          <w:color w:val="auto"/>
        </w:rPr>
      </w:pPr>
    </w:p>
    <w:p>
      <w:pPr>
        <w:jc w:val="both"/>
        <w:ind w:right="180" w:firstLine="419"/>
        <w:spacing w:after="0" w:line="266" w:lineRule="auto"/>
        <w:tabs>
          <w:tab w:leader="none" w:pos="67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 Matters</w:t>
      </w:r>
      <w:r>
        <w:rPr>
          <w:rFonts w:ascii="Times New Roman" w:cs="Times New Roman" w:eastAsia="Times New Roman" w:hAnsi="Times New Roman"/>
          <w:sz w:val="18"/>
          <w:szCs w:val="18"/>
          <w:color w:val="auto"/>
        </w:rPr>
        <w:t>. The information provided to the Agents by the Company, its counsel, and its officers and directors for purposes of the Agents’ compliance with applicable FINRA rules in connection with the offering of the Stock is true, complete, and correct and compliant with FINRA’s rules. The Company meets the definition of the term “experienced issuer” specified in FINRA Rule 5110(j)(6).</w:t>
      </w:r>
    </w:p>
    <w:p>
      <w:pPr>
        <w:spacing w:after="0" w:line="67" w:lineRule="exact"/>
        <w:rPr>
          <w:rFonts w:ascii="Times New Roman" w:cs="Times New Roman" w:eastAsia="Times New Roman" w:hAnsi="Times New Roman"/>
          <w:sz w:val="18"/>
          <w:szCs w:val="18"/>
          <w:color w:val="auto"/>
        </w:rPr>
      </w:pPr>
    </w:p>
    <w:p>
      <w:pPr>
        <w:ind w:right="160" w:firstLine="419"/>
        <w:spacing w:after="0" w:line="272" w:lineRule="auto"/>
        <w:tabs>
          <w:tab w:leader="none" w:pos="678"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Material Defaults</w:t>
      </w:r>
      <w:r>
        <w:rPr>
          <w:rFonts w:ascii="Times New Roman" w:cs="Times New Roman" w:eastAsia="Times New Roman" w:hAnsi="Times New Roman"/>
          <w:sz w:val="17"/>
          <w:szCs w:val="17"/>
          <w:color w:val="auto"/>
        </w:rPr>
        <w:t>. Neither the Company nor any of its Subsidiaries has defaulted on any installment on indebtedness for borrowed money or on any rental on one or more long-term leases, which defaults would, individually or in the aggregate, have a Material Adverse Effect. The Company has not filed a report pursuant to Section 13(a) or 15(d) of the Exchange Act since the filing of its last Annual Report on Form</w:t>
      </w:r>
    </w:p>
    <w:p>
      <w:pPr>
        <w:spacing w:after="0" w:line="1" w:lineRule="exact"/>
        <w:rPr>
          <w:rFonts w:ascii="Times New Roman" w:cs="Times New Roman" w:eastAsia="Times New Roman" w:hAnsi="Times New Roman"/>
          <w:sz w:val="17"/>
          <w:szCs w:val="17"/>
          <w:color w:val="auto"/>
        </w:rPr>
      </w:pPr>
    </w:p>
    <w:p>
      <w:pPr>
        <w:ind w:right="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10-K, indicating that it (i) has failed to pay any dividend or sinking fund installment on preferred stock or (ii) has defaulted on any installment on indebtedness for borrowed money or on any rental on one or more long-term leases, which defaults would, individually or in the aggregate, have a Material Adverse Effect.</w:t>
      </w:r>
    </w:p>
    <w:p>
      <w:pPr>
        <w:spacing w:after="0" w:line="77" w:lineRule="exact"/>
        <w:rPr>
          <w:rFonts w:ascii="Times New Roman" w:cs="Times New Roman" w:eastAsia="Times New Roman" w:hAnsi="Times New Roman"/>
          <w:sz w:val="17"/>
          <w:szCs w:val="17"/>
          <w:color w:val="auto"/>
        </w:rPr>
      </w:pPr>
    </w:p>
    <w:p>
      <w:pPr>
        <w:ind w:firstLine="419"/>
        <w:spacing w:after="0" w:line="255" w:lineRule="auto"/>
        <w:tabs>
          <w:tab w:leader="none" w:pos="66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Market Activities</w:t>
      </w:r>
      <w:r>
        <w:rPr>
          <w:rFonts w:ascii="Times New Roman" w:cs="Times New Roman" w:eastAsia="Times New Roman" w:hAnsi="Times New Roman"/>
          <w:sz w:val="18"/>
          <w:szCs w:val="18"/>
          <w:color w:val="auto"/>
        </w:rPr>
        <w:t>. Neither the Company, nor any of its officers, directors or affiliates has, and, to the knowledge of the Company, no Person acting on their behalf has, taken, directly or indirectly, any action designed or intended to cause or to result in the unlawful stabilization or manipulation of the price of any security of the Company, or which caused or resulted in, or which would in the future reasonably be expected to cause or result in, the unlawful stabilization or manipulation of the price of any security of the Company, in each case to facilitate the sale or resale of the Stock, except as would not, individually or in the aggregate, have a Material Adverse Effect. Neither the Company nor any of its officers, directors or affiliates will during the term of this Agreement, and, to the knowledge of the Company, no Person acting on their behalf will during the term of this Agreement, take any of the actions referred to in the immediately preceding sentence.</w:t>
      </w:r>
    </w:p>
    <w:p>
      <w:pPr>
        <w:spacing w:after="0" w:line="81" w:lineRule="exact"/>
        <w:rPr>
          <w:sz w:val="20"/>
          <w:szCs w:val="20"/>
          <w:color w:val="auto"/>
        </w:rPr>
      </w:pPr>
    </w:p>
    <w:p>
      <w:pPr>
        <w:ind w:right="340" w:firstLine="419"/>
        <w:spacing w:after="0" w:line="266" w:lineRule="auto"/>
        <w:tabs>
          <w:tab w:leader="none" w:pos="74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Broker/Dealer Relationships</w:t>
      </w:r>
      <w:r>
        <w:rPr>
          <w:rFonts w:ascii="Times New Roman" w:cs="Times New Roman" w:eastAsia="Times New Roman" w:hAnsi="Times New Roman"/>
          <w:sz w:val="18"/>
          <w:szCs w:val="18"/>
          <w:color w:val="auto"/>
        </w:rPr>
        <w:t>. Neither the Company nor any of the Subsidiaries (i) is required to register as a “broker” or “dealer” in accordance with the provisions of the Exchange Act or (ii) directly or indirectly through one or more intermediaries, controls or is a “person associated with a member” or “associated person of a member” (within the meaning set forth in the FINRA Manual).</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0"/>
          </w:cols>
          <w:pgMar w:left="880" w:top="270" w:right="459" w:bottom="1440" w:gutter="0" w:footer="0" w:header="0"/>
        </w:sectPr>
      </w:pPr>
    </w:p>
    <w:bookmarkStart w:id="14" w:name="page15"/>
    <w:bookmarkEnd w:id="14"/>
    <w:p>
      <w:pPr>
        <w:ind w:right="280" w:firstLine="419"/>
        <w:spacing w:after="0" w:line="282" w:lineRule="auto"/>
        <w:tabs>
          <w:tab w:leader="none" w:pos="76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Reliance</w:t>
      </w:r>
      <w:r>
        <w:rPr>
          <w:rFonts w:ascii="Times New Roman" w:cs="Times New Roman" w:eastAsia="Times New Roman" w:hAnsi="Times New Roman"/>
          <w:sz w:val="18"/>
          <w:szCs w:val="18"/>
          <w:color w:val="auto"/>
        </w:rPr>
        <w:t>. The Company has not relied upon the Agents or legal counsel for the Agents for any legal, tax or accounting advice in connection with the offering and sale of the Stock.</w:t>
      </w:r>
    </w:p>
    <w:p>
      <w:pPr>
        <w:spacing w:after="0" w:line="53" w:lineRule="exact"/>
        <w:rPr>
          <w:rFonts w:ascii="Times New Roman" w:cs="Times New Roman" w:eastAsia="Times New Roman" w:hAnsi="Times New Roman"/>
          <w:sz w:val="18"/>
          <w:szCs w:val="18"/>
          <w:color w:val="auto"/>
        </w:rPr>
      </w:pPr>
    </w:p>
    <w:p>
      <w:pPr>
        <w:ind w:firstLine="419"/>
        <w:spacing w:after="0" w:line="255" w:lineRule="auto"/>
        <w:tabs>
          <w:tab w:leader="none" w:pos="74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Company and each of its Subsidiaries have filed all federal, state, local and foreign tax returns which have been required to be filed by them and paid all taxes shown thereon through the date hereof, to the extent that such taxes have become due and are not being contested in good faith, except where the failure to so file or pay would not have a Material Adverse Effect. Except as otherwise disclosed in or contemplated by the Registration Statement or Pricing Disclosure Package, no tax deficiency has been determined adversely to the Company or any of its Subsidiaries which has had, or would have, individually or in the aggregate, a Material Adverse Effect. The Company has no knowledge of any federal, state or other governmental tax deficiency, penalty or assessment which has been or might be asserted or threatened against it which would have a Material Adverse Effect.</w:t>
      </w:r>
    </w:p>
    <w:p>
      <w:pPr>
        <w:spacing w:after="0" w:line="80" w:lineRule="exact"/>
        <w:rPr>
          <w:rFonts w:ascii="Times New Roman" w:cs="Times New Roman" w:eastAsia="Times New Roman" w:hAnsi="Times New Roman"/>
          <w:sz w:val="18"/>
          <w:szCs w:val="18"/>
          <w:color w:val="auto"/>
        </w:rPr>
      </w:pPr>
    </w:p>
    <w:p>
      <w:pPr>
        <w:ind w:firstLine="419"/>
        <w:spacing w:after="0" w:line="252" w:lineRule="auto"/>
        <w:tabs>
          <w:tab w:leader="none" w:pos="76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Real and Personal Property</w:t>
      </w:r>
      <w:r>
        <w:rPr>
          <w:rFonts w:ascii="Times New Roman" w:cs="Times New Roman" w:eastAsia="Times New Roman" w:hAnsi="Times New Roman"/>
          <w:sz w:val="18"/>
          <w:szCs w:val="18"/>
          <w:color w:val="auto"/>
        </w:rPr>
        <w:t>. Except as set forth in the Registration Statement and the Pricing Disclosure Package, the Company and its Subsidiaries have good and marketable title in fee simple to all items of real property owned by them and good and valid title to all personal property described in the Registration Statement and the Pricing Disclosure Package as being owned by them, in each case free and clear of all liens, encumbrances and claims, except those matters that (i) do not materially interfere with the use made and proposed to be made of such property by the Company and any of its Subsidiaries or (ii) would not, individually or in the aggregate, have a Material Adverse Effect. Any real or personal property described in the Registration Statement and the Pricing Disclosure Package as being leased by the Company and any of its Subsidiaries is held by them under valid, existing and enforceable leases, except those that (A) do not materially interfere with the use made or proposed to be made of such property by the Company or any of its Subsidiaries or (B) would not be reasonably expected, individually or in the aggregate, to have a Material Adverse Effect. Each of the properties of the Company and its Subsidiaries complies with all applicable codes, laws and regulations (including, without limitation, building and zoning codes, laws and regulations and laws relating to access to such properties), except if and to the extent disclosed in the Registration Statement and the Pricing Disclosure Package or except for such failures to comply that would not, individually or in the aggregate, reasonably be expected to interfere in any material respect with the use made and proposed to be made of such property by the Company and its Subsidiaries or otherwise have a Material Adverse Effect. None of the Company or its Subsidiaries has received from any Governmental Authorities any notice of any condemnation of, or zoning change affecting, the properties of the Company and its Subsidiaries, and the Company knows of no such condemnation or zoning change which is threatened, except for such that would not reasonably be expected to interfere in any material respect with the use made and proposed to be made of such property by the Company and its Subsidiaries or otherwise have a Material Adverse Effect, individually or in the aggregate.</w:t>
      </w:r>
    </w:p>
    <w:p>
      <w:pPr>
        <w:spacing w:after="0" w:line="12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40"/>
          </w:cols>
          <w:pgMar w:left="880" w:top="270" w:right="479" w:bottom="1440" w:gutter="0" w:footer="0" w:header="0"/>
        </w:sectPr>
      </w:pPr>
    </w:p>
    <w:bookmarkStart w:id="15" w:name="page16"/>
    <w:bookmarkEnd w:id="15"/>
    <w:p>
      <w:pPr>
        <w:ind w:left="4" w:right="40" w:firstLine="419"/>
        <w:spacing w:after="0" w:line="269" w:lineRule="auto"/>
        <w:tabs>
          <w:tab w:leader="none" w:pos="751"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Environmental Laws</w:t>
      </w:r>
      <w:r>
        <w:rPr>
          <w:rFonts w:ascii="Times New Roman" w:cs="Times New Roman" w:eastAsia="Times New Roman" w:hAnsi="Times New Roman"/>
          <w:sz w:val="17"/>
          <w:szCs w:val="17"/>
          <w:color w:val="auto"/>
        </w:rPr>
        <w:t>. Except as set forth in the Registration Statement and the Pricing Disclosure Package, the Company and its Subsidiaries (i) are in compliance with any and all applicable federal, state, local and foreign laws, rules, regulations, decisions and orders relating to the protection of human health and safety, the environment or hazardous or toxic substances or wastes, pollutants or contaminants (collectively, “</w:t>
      </w:r>
      <w:r>
        <w:rPr>
          <w:rFonts w:ascii="Times New Roman" w:cs="Times New Roman" w:eastAsia="Times New Roman" w:hAnsi="Times New Roman"/>
          <w:sz w:val="17"/>
          <w:szCs w:val="17"/>
          <w:b w:val="1"/>
          <w:bCs w:val="1"/>
          <w:i w:val="1"/>
          <w:iCs w:val="1"/>
          <w:color w:val="auto"/>
        </w:rPr>
        <w:t>Environmental Laws</w:t>
      </w:r>
      <w:r>
        <w:rPr>
          <w:rFonts w:ascii="Times New Roman" w:cs="Times New Roman" w:eastAsia="Times New Roman" w:hAnsi="Times New Roman"/>
          <w:sz w:val="17"/>
          <w:szCs w:val="17"/>
          <w:color w:val="auto"/>
        </w:rPr>
        <w:t>”); (ii) have received and are in compliance with all permits, licenses or other approvals required of them under applicable Environmental Laws to conduct their respective businesses as described in the Registration Statement and the Pricing Disclosure Package; and</w:t>
      </w:r>
    </w:p>
    <w:p>
      <w:pPr>
        <w:spacing w:after="0" w:line="2" w:lineRule="exact"/>
        <w:rPr>
          <w:rFonts w:ascii="Times New Roman" w:cs="Times New Roman" w:eastAsia="Times New Roman" w:hAnsi="Times New Roman"/>
          <w:sz w:val="17"/>
          <w:szCs w:val="17"/>
          <w:color w:val="auto"/>
        </w:rPr>
      </w:pPr>
    </w:p>
    <w:p>
      <w:pPr>
        <w:ind w:left="4" w:right="20" w:hanging="4"/>
        <w:spacing w:after="0" w:line="253" w:lineRule="auto"/>
        <w:tabs>
          <w:tab w:leader="none" w:pos="31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not received notice of any actual or potential liability for the investigation or remediation of any disposal or release of hazardous or toxic substances or wastes, pollutants or contaminants, except, in the case of any of clauses (i), (ii) or (iii) above, for any such failure to comply or failure to receive required permits, licenses, other approvals or liability as would not, individually or in the aggregate, have a Material Adverse Effect.</w:t>
      </w:r>
    </w:p>
    <w:p>
      <w:pPr>
        <w:spacing w:after="0" w:line="80" w:lineRule="exact"/>
        <w:rPr>
          <w:rFonts w:ascii="Times New Roman" w:cs="Times New Roman" w:eastAsia="Times New Roman" w:hAnsi="Times New Roman"/>
          <w:sz w:val="18"/>
          <w:szCs w:val="18"/>
          <w:color w:val="auto"/>
        </w:rPr>
      </w:pPr>
    </w:p>
    <w:p>
      <w:pPr>
        <w:ind w:left="4" w:firstLine="419"/>
        <w:spacing w:after="0" w:line="252" w:lineRule="auto"/>
        <w:tabs>
          <w:tab w:leader="none" w:pos="70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Controls</w:t>
      </w:r>
      <w:r>
        <w:rPr>
          <w:rFonts w:ascii="Times New Roman" w:cs="Times New Roman" w:eastAsia="Times New Roman" w:hAnsi="Times New Roman"/>
          <w:sz w:val="18"/>
          <w:szCs w:val="18"/>
          <w:color w:val="auto"/>
        </w:rPr>
        <w:t xml:space="preserve">. The Company and each of its Subsidiaries maintain systems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Company’s internal control over financial reporting is effective and the Company is not aware of any material weaknesses in its internal control over financial reporting (other than as set forth in the Pricing Disclosure Package). Since the date of the latest audited financial statements of the Company included in the Prospectus, there has been no change in the Company’s internal control over financial reporting that has materially affected, or is reasonably likely to materially and adversely affect, the Company’s internal control over financial reporting (other than as set forth in the Pricing Disclosure Package). The Company has established disclosure controls and procedures (as defined in Exchange Act Rules 13a-15 and 15d-15) for the Company and designed such disclosure controls and procedures to ensure that material information relating to the Company and each of its Subsidiaries is made known to the certifying officers by others within those entities, particularly during the period in which the Company’s Annual Report on Form 10-K or Quarterly Report on Form 10-Q, as the case may be, is being prepared. The Company’s certifying officers have evaluated the effectiveness of the Company’s disclosure controls and procedures as of a date within ninety (90) days prior to the filing date of the Annual Report on Form 10-K for the fiscal year most recently ended (such date,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Evaluation Date</w:t>
      </w:r>
      <w:r>
        <w:rPr>
          <w:rFonts w:ascii="Times New Roman" w:cs="Times New Roman" w:eastAsia="Times New Roman" w:hAnsi="Times New Roman"/>
          <w:sz w:val="18"/>
          <w:szCs w:val="18"/>
          <w:color w:val="auto"/>
        </w:rPr>
        <w:t>”), and except as disclosed in the Pricing Disclosure Package, such disclosure controls and procedures are effective. The Company presented in its Annual Report on Form 10-K for the fiscal year most recently ended the conclusions of the certifying officers about the effectiveness of the disclosure controls and procedures based on their evaluations as of the Evaluation Date and the disclosure controls and procedures are effective. Since the Evaluation Date, there have been no significant changes in the Company’s internal controls (as such term is defined in Item 307(b) of Regulation S-K under the Securities Act) or, to the Company’s knowledge, in other factors that could significantly affect the Company’s internal controls.</w:t>
      </w:r>
    </w:p>
    <w:p>
      <w:pPr>
        <w:spacing w:after="0" w:line="12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4"/>
          </w:cols>
          <w:pgMar w:left="876" w:top="270" w:right="459" w:bottom="1440" w:gutter="0" w:footer="0" w:header="0"/>
        </w:sectPr>
      </w:pPr>
    </w:p>
    <w:bookmarkStart w:id="16" w:name="page17"/>
    <w:bookmarkEnd w:id="16"/>
    <w:p>
      <w:pPr>
        <w:ind w:firstLine="419"/>
        <w:spacing w:after="0" w:line="255" w:lineRule="auto"/>
        <w:tabs>
          <w:tab w:leader="none" w:pos="76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Sarbanes-Oxley</w:t>
      </w:r>
      <w:r>
        <w:rPr>
          <w:rFonts w:ascii="Times New Roman" w:cs="Times New Roman" w:eastAsia="Times New Roman" w:hAnsi="Times New Roman"/>
          <w:sz w:val="18"/>
          <w:szCs w:val="18"/>
          <w:color w:val="auto"/>
        </w:rPr>
        <w:t>. There is and has been no failure on the part of the Company or any of the Company’s directors or officers, in their capacities as such, to comply in all material respects with any applicable provisions of the Sarbanes-Oxley Act and the rules and regulations promulgated thereunder. Each of the principal executive officers and the principal financial officer of the Company (or each former principal executive officer of the Company and each former principal financial officer of the Company as applicable) has made all certifications required by Sections 302 and 906 of the Sarbanes-Oxley Act with respect to all reports, schedules, forms, statements and other documents required to be filed by it or furnished by it to the Commission. For purposes of the preceding sentence, “principal executive officer” and “principal financial officer” shall have the meanings given to such terms in the Sarbanes-Oxley Act.</w:t>
      </w:r>
    </w:p>
    <w:p>
      <w:pPr>
        <w:spacing w:after="0" w:line="80" w:lineRule="exact"/>
        <w:rPr>
          <w:rFonts w:ascii="Times New Roman" w:cs="Times New Roman" w:eastAsia="Times New Roman" w:hAnsi="Times New Roman"/>
          <w:sz w:val="18"/>
          <w:szCs w:val="18"/>
          <w:color w:val="auto"/>
        </w:rPr>
      </w:pPr>
    </w:p>
    <w:p>
      <w:pPr>
        <w:ind w:right="40" w:firstLine="419"/>
        <w:spacing w:after="0" w:line="266" w:lineRule="auto"/>
        <w:tabs>
          <w:tab w:leader="none" w:pos="76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Finder’s Fees</w:t>
      </w:r>
      <w:r>
        <w:rPr>
          <w:rFonts w:ascii="Times New Roman" w:cs="Times New Roman" w:eastAsia="Times New Roman" w:hAnsi="Times New Roman"/>
          <w:sz w:val="18"/>
          <w:szCs w:val="18"/>
          <w:color w:val="auto"/>
        </w:rPr>
        <w:t>. Neither the Company nor any of its Subsidiaries has incurred any liability for any finder’s fees, brokerage commissions or similar payments in connection with the transactions herein contemplated, except as may otherwise exist with respect to the Agents pursuant to this Agreement.</w:t>
      </w:r>
    </w:p>
    <w:p>
      <w:pPr>
        <w:spacing w:after="0" w:line="67" w:lineRule="exact"/>
        <w:rPr>
          <w:rFonts w:ascii="Times New Roman" w:cs="Times New Roman" w:eastAsia="Times New Roman" w:hAnsi="Times New Roman"/>
          <w:sz w:val="18"/>
          <w:szCs w:val="18"/>
          <w:color w:val="auto"/>
        </w:rPr>
      </w:pPr>
    </w:p>
    <w:p>
      <w:pPr>
        <w:ind w:right="100" w:firstLine="419"/>
        <w:spacing w:after="0" w:line="256" w:lineRule="auto"/>
        <w:tabs>
          <w:tab w:leader="none" w:pos="68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Disputes</w:t>
      </w:r>
      <w:r>
        <w:rPr>
          <w:rFonts w:ascii="Times New Roman" w:cs="Times New Roman" w:eastAsia="Times New Roman" w:hAnsi="Times New Roman"/>
          <w:sz w:val="18"/>
          <w:szCs w:val="18"/>
          <w:color w:val="auto"/>
        </w:rPr>
        <w:t>. None of the Company nor any of its Subsidiaries is bound by or subject to any collective bargaining or similar agreement with any labor union, and, to the knowledge of the Company, none of the employees, representatives or agents of the Company or any of its Subsidiaries is represented by any labor union. The Company and its Subsidiaries have complied with all employment laws applicable to employees of the Company and its Subsidiaries, except where non-compliance with any such employment laws would not have a Material Adverse Effect. No labor disturbance by or dispute with employees of the Company or any of its Subsidiaries exists or, to the knowledge of the Company, is threatened which would have a Material Adverse Effect.</w:t>
      </w:r>
    </w:p>
    <w:p>
      <w:pPr>
        <w:spacing w:after="0" w:line="79" w:lineRule="exact"/>
        <w:rPr>
          <w:rFonts w:ascii="Times New Roman" w:cs="Times New Roman" w:eastAsia="Times New Roman" w:hAnsi="Times New Roman"/>
          <w:sz w:val="18"/>
          <w:szCs w:val="18"/>
          <w:color w:val="auto"/>
        </w:rPr>
      </w:pPr>
    </w:p>
    <w:p>
      <w:pPr>
        <w:ind w:firstLine="419"/>
        <w:spacing w:after="0" w:line="266" w:lineRule="auto"/>
        <w:tabs>
          <w:tab w:leader="none" w:pos="68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Neither the Company nor any of the Subsidiaries is or, after giving effect to the offering and sale of the Stock, will be an “investment company” or an entity “controlled” by an “investment company,” as such terms are defined in the Investment Company Act of 1940, as amended.</w:t>
      </w:r>
    </w:p>
    <w:p>
      <w:pPr>
        <w:spacing w:after="0" w:line="67" w:lineRule="exact"/>
        <w:rPr>
          <w:rFonts w:ascii="Times New Roman" w:cs="Times New Roman" w:eastAsia="Times New Roman" w:hAnsi="Times New Roman"/>
          <w:sz w:val="18"/>
          <w:szCs w:val="18"/>
          <w:color w:val="auto"/>
        </w:rPr>
      </w:pPr>
    </w:p>
    <w:p>
      <w:pPr>
        <w:ind w:firstLine="419"/>
        <w:spacing w:after="0" w:line="256" w:lineRule="auto"/>
        <w:tabs>
          <w:tab w:leader="none" w:pos="76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Operations</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 keeping and reporting requirements of the Currency and Foreign Transactions Reporting Act of 1970, as amended, the money laundering statutes of all jurisdictions to which the Company or its Subsidiaries are subject, the rules and regulations thereunder and any related or similar rules, regulations or guidelines, issued, administered or enforced by any Governmental Authority (collectively, the “</w:t>
      </w:r>
      <w:r>
        <w:rPr>
          <w:rFonts w:ascii="Times New Roman" w:cs="Times New Roman" w:eastAsia="Times New Roman" w:hAnsi="Times New Roman"/>
          <w:sz w:val="18"/>
          <w:szCs w:val="18"/>
          <w:b w:val="1"/>
          <w:bCs w:val="1"/>
          <w:i w:val="1"/>
          <w:iCs w:val="1"/>
          <w:color w:val="auto"/>
        </w:rPr>
        <w:t>Money Laundering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Laws</w:t>
      </w:r>
      <w:r>
        <w:rPr>
          <w:rFonts w:ascii="Times New Roman" w:cs="Times New Roman" w:eastAsia="Times New Roman" w:hAnsi="Times New Roman"/>
          <w:sz w:val="18"/>
          <w:szCs w:val="18"/>
          <w:color w:val="auto"/>
        </w:rPr>
        <w:t>”); and no action, suit or proceeding by or before any Governmental Authority involving the Company or any of its Subsidiaries with respect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Money Laundering Laws is pending or, to the knowledge of the Company, threatened.</w:t>
      </w:r>
    </w:p>
    <w:p>
      <w:pPr>
        <w:spacing w:after="0" w:line="12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40"/>
          </w:cols>
          <w:pgMar w:left="880" w:top="270" w:right="479" w:bottom="1440" w:gutter="0" w:footer="0" w:header="0"/>
        </w:sectPr>
      </w:pPr>
    </w:p>
    <w:bookmarkStart w:id="17" w:name="page18"/>
    <w:bookmarkEnd w:id="17"/>
    <w:p>
      <w:pPr>
        <w:ind w:right="20" w:firstLine="419"/>
        <w:spacing w:after="0" w:line="256" w:lineRule="auto"/>
        <w:tabs>
          <w:tab w:leader="none" w:pos="68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Off-Balance Sheet Arrangements</w:t>
      </w:r>
      <w:r>
        <w:rPr>
          <w:rFonts w:ascii="Times New Roman" w:cs="Times New Roman" w:eastAsia="Times New Roman" w:hAnsi="Times New Roman"/>
          <w:sz w:val="18"/>
          <w:szCs w:val="18"/>
          <w:color w:val="auto"/>
        </w:rPr>
        <w:t>. There are no transactions, arrangements and other relationships between and/or among the Company, and/or any of its affiliates and any unconsolidated entity, including, but not limited to, any structured finance, special purpose or limited purpose entity (each, an “</w:t>
      </w:r>
      <w:r>
        <w:rPr>
          <w:rFonts w:ascii="Times New Roman" w:cs="Times New Roman" w:eastAsia="Times New Roman" w:hAnsi="Times New Roman"/>
          <w:sz w:val="18"/>
          <w:szCs w:val="18"/>
          <w:b w:val="1"/>
          <w:bCs w:val="1"/>
          <w:i w:val="1"/>
          <w:iCs w:val="1"/>
          <w:color w:val="auto"/>
        </w:rPr>
        <w:t>Off-Balance Sheet Transaction</w:t>
      </w:r>
      <w:r>
        <w:rPr>
          <w:rFonts w:ascii="Times New Roman" w:cs="Times New Roman" w:eastAsia="Times New Roman" w:hAnsi="Times New Roman"/>
          <w:sz w:val="18"/>
          <w:szCs w:val="18"/>
          <w:color w:val="auto"/>
        </w:rPr>
        <w:t>”) that could reasonably be expected to have a Material Adverse Effect on the Company’s liquidity or the availability of or requirements for its capital resources, including those Off-Balance Sheet Transactions described in the Commission’s Statement about Management’s Discussion and Analysis of Financial Conditions and Results of Operations (Release Nos. 33-8056; 34-45321; FR-61), required to be described in the Prospectus which have not been described as required.</w:t>
      </w:r>
    </w:p>
    <w:p>
      <w:pPr>
        <w:spacing w:after="0" w:line="79" w:lineRule="exact"/>
        <w:rPr>
          <w:rFonts w:ascii="Times New Roman" w:cs="Times New Roman" w:eastAsia="Times New Roman" w:hAnsi="Times New Roman"/>
          <w:sz w:val="18"/>
          <w:szCs w:val="18"/>
          <w:color w:val="auto"/>
        </w:rPr>
      </w:pPr>
    </w:p>
    <w:p>
      <w:pPr>
        <w:ind w:right="120" w:firstLine="419"/>
        <w:spacing w:after="0" w:line="282" w:lineRule="auto"/>
        <w:tabs>
          <w:tab w:leader="none" w:pos="86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Underwriter Agreements</w:t>
      </w:r>
      <w:r>
        <w:rPr>
          <w:rFonts w:ascii="Times New Roman" w:cs="Times New Roman" w:eastAsia="Times New Roman" w:hAnsi="Times New Roman"/>
          <w:sz w:val="18"/>
          <w:szCs w:val="18"/>
          <w:color w:val="auto"/>
        </w:rPr>
        <w:t>. The Company is not a party to any agreement with an agent or underwriter for any other “at the market” or continuous equity transaction.</w:t>
      </w:r>
    </w:p>
    <w:p>
      <w:pPr>
        <w:spacing w:after="0" w:line="53" w:lineRule="exact"/>
        <w:rPr>
          <w:rFonts w:ascii="Times New Roman" w:cs="Times New Roman" w:eastAsia="Times New Roman" w:hAnsi="Times New Roman"/>
          <w:sz w:val="18"/>
          <w:szCs w:val="18"/>
          <w:color w:val="auto"/>
        </w:rPr>
      </w:pPr>
    </w:p>
    <w:p>
      <w:pPr>
        <w:ind w:firstLine="419"/>
        <w:spacing w:after="0" w:line="271" w:lineRule="auto"/>
        <w:tabs>
          <w:tab w:leader="none" w:pos="768"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ERISA</w:t>
      </w:r>
      <w:r>
        <w:rPr>
          <w:rFonts w:ascii="Times New Roman" w:cs="Times New Roman" w:eastAsia="Times New Roman" w:hAnsi="Times New Roman"/>
          <w:sz w:val="17"/>
          <w:szCs w:val="17"/>
          <w:color w:val="auto"/>
        </w:rPr>
        <w:t>. To the knowledge of the Company, each material employee benefit plan, within the meaning of Section 3(3) of the Employee Retirement Income Security Act of 1974, as amended (“</w:t>
      </w:r>
      <w:r>
        <w:rPr>
          <w:rFonts w:ascii="Times New Roman" w:cs="Times New Roman" w:eastAsia="Times New Roman" w:hAnsi="Times New Roman"/>
          <w:sz w:val="17"/>
          <w:szCs w:val="17"/>
          <w:b w:val="1"/>
          <w:bCs w:val="1"/>
          <w:i w:val="1"/>
          <w:iCs w:val="1"/>
          <w:color w:val="auto"/>
        </w:rPr>
        <w:t>ERISA</w:t>
      </w:r>
      <w:r>
        <w:rPr>
          <w:rFonts w:ascii="Times New Roman" w:cs="Times New Roman" w:eastAsia="Times New Roman" w:hAnsi="Times New Roman"/>
          <w:sz w:val="17"/>
          <w:szCs w:val="17"/>
          <w:color w:val="auto"/>
        </w:rPr>
        <w:t>”), that is maintained, administered or contributed to by the Company or any of its affiliates for employees or former employees of the Company and any of its Subsidiaries has been maintained in compliance with its terms and the requirements of any applicable statutes, orders, rules and regulations, including but not limited to ERISA and the Internal Revenue Code of 1986, as amended (the “</w:t>
      </w:r>
      <w:r>
        <w:rPr>
          <w:rFonts w:ascii="Times New Roman" w:cs="Times New Roman" w:eastAsia="Times New Roman" w:hAnsi="Times New Roman"/>
          <w:sz w:val="17"/>
          <w:szCs w:val="17"/>
          <w:b w:val="1"/>
          <w:bCs w:val="1"/>
          <w:i w:val="1"/>
          <w:iCs w:val="1"/>
          <w:color w:val="auto"/>
        </w:rPr>
        <w:t>Code</w:t>
      </w:r>
      <w:r>
        <w:rPr>
          <w:rFonts w:ascii="Times New Roman" w:cs="Times New Roman" w:eastAsia="Times New Roman" w:hAnsi="Times New Roman"/>
          <w:sz w:val="17"/>
          <w:szCs w:val="17"/>
          <w:color w:val="auto"/>
        </w:rPr>
        <w:t>”); no prohibited transaction, within the meaning of Section 406 of ERISA or Section 4975 of the Code, has occurred with respect to any such plan excluding transactions effected pursuant to a statutory or administrative exemption; and for each such plan that is subject to the funding rules of Section 412 of the Code or Section 302 of ERISA, no “accumulated funding deficiency” as defined in Section 412 of the Code has been incurred, whether or not waived, and the fair market value of the assets of each such plan (excluding for these purposes accrued but unpaid contributions) exceeds the present value of all benefits accrued under such plan determined using reasonable actuarial assumptions.</w:t>
      </w:r>
    </w:p>
    <w:p>
      <w:pPr>
        <w:spacing w:after="0" w:line="65" w:lineRule="exact"/>
        <w:rPr>
          <w:rFonts w:ascii="Times New Roman" w:cs="Times New Roman" w:eastAsia="Times New Roman" w:hAnsi="Times New Roman"/>
          <w:sz w:val="17"/>
          <w:szCs w:val="17"/>
          <w:color w:val="auto"/>
        </w:rPr>
      </w:pPr>
    </w:p>
    <w:p>
      <w:pPr>
        <w:ind w:right="40" w:firstLine="419"/>
        <w:spacing w:after="0" w:line="266" w:lineRule="auto"/>
        <w:tabs>
          <w:tab w:leader="none" w:pos="76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Forward-Looking Statements</w:t>
      </w:r>
      <w:r>
        <w:rPr>
          <w:rFonts w:ascii="Times New Roman" w:cs="Times New Roman" w:eastAsia="Times New Roman" w:hAnsi="Times New Roman"/>
          <w:sz w:val="18"/>
          <w:szCs w:val="18"/>
          <w:color w:val="auto"/>
        </w:rPr>
        <w:t>. No forward-looking statement (within the meaning of Section 27A of the Securities Act and Section 21E of the Exchange Act) (a “</w:t>
      </w:r>
      <w:r>
        <w:rPr>
          <w:rFonts w:ascii="Times New Roman" w:cs="Times New Roman" w:eastAsia="Times New Roman" w:hAnsi="Times New Roman"/>
          <w:sz w:val="18"/>
          <w:szCs w:val="18"/>
          <w:b w:val="1"/>
          <w:bCs w:val="1"/>
          <w:i w:val="1"/>
          <w:iCs w:val="1"/>
          <w:color w:val="auto"/>
        </w:rPr>
        <w:t>Forward-Looking Statement</w:t>
      </w:r>
      <w:r>
        <w:rPr>
          <w:rFonts w:ascii="Times New Roman" w:cs="Times New Roman" w:eastAsia="Times New Roman" w:hAnsi="Times New Roman"/>
          <w:sz w:val="18"/>
          <w:szCs w:val="18"/>
          <w:color w:val="auto"/>
        </w:rPr>
        <w:t>”) contained in the Registration Statement and the Pricing Disclosure Package has been made or reaffirmed without a reasonable basis or has been disclosed other than in good faith.</w:t>
      </w:r>
    </w:p>
    <w:p>
      <w:pPr>
        <w:spacing w:after="0" w:line="67" w:lineRule="exact"/>
        <w:rPr>
          <w:rFonts w:ascii="Times New Roman" w:cs="Times New Roman" w:eastAsia="Times New Roman" w:hAnsi="Times New Roman"/>
          <w:sz w:val="18"/>
          <w:szCs w:val="18"/>
          <w:color w:val="auto"/>
        </w:rPr>
      </w:pPr>
    </w:p>
    <w:p>
      <w:pPr>
        <w:ind w:right="60" w:firstLine="419"/>
        <w:spacing w:after="0" w:line="266" w:lineRule="auto"/>
        <w:tabs>
          <w:tab w:leader="none" w:pos="76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 Purchases</w:t>
      </w:r>
      <w:r>
        <w:rPr>
          <w:rFonts w:ascii="Times New Roman" w:cs="Times New Roman" w:eastAsia="Times New Roman" w:hAnsi="Times New Roman"/>
          <w:sz w:val="18"/>
          <w:szCs w:val="18"/>
          <w:color w:val="auto"/>
        </w:rPr>
        <w:t xml:space="preserve">. The Company acknowledges and agrees that the Agents have informed the Company that the Agents may, to the extent permitted under the Securities Act and the Exchange Act, purchase and sell Common Stock for their own accounts while this Agreement is in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Company shall not be deemed to have authorized or consented to any such purchases or sales by the Agents.</w:t>
      </w:r>
    </w:p>
    <w:p>
      <w:pPr>
        <w:spacing w:after="0" w:line="67" w:lineRule="exact"/>
        <w:rPr>
          <w:rFonts w:ascii="Times New Roman" w:cs="Times New Roman" w:eastAsia="Times New Roman" w:hAnsi="Times New Roman"/>
          <w:sz w:val="18"/>
          <w:szCs w:val="18"/>
          <w:color w:val="auto"/>
        </w:rPr>
      </w:pPr>
    </w:p>
    <w:p>
      <w:pPr>
        <w:ind w:right="320" w:firstLine="419"/>
        <w:spacing w:after="0" w:line="266" w:lineRule="auto"/>
        <w:tabs>
          <w:tab w:leader="none" w:pos="76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Margin Rules</w:t>
      </w:r>
      <w:r>
        <w:rPr>
          <w:rFonts w:ascii="Times New Roman" w:cs="Times New Roman" w:eastAsia="Times New Roman" w:hAnsi="Times New Roman"/>
          <w:sz w:val="18"/>
          <w:szCs w:val="18"/>
          <w:color w:val="auto"/>
        </w:rPr>
        <w:t>. Neither the issuance, sale and delivery of the Stock nor the application of the proceeds thereof by the Company as described in the Registration Statement and the Pricing Disclosure Package will violate Regulation T, U or X of the Board of Governors of the Federal Reserve System or any other regulation of such Board of Governors.</w:t>
      </w:r>
    </w:p>
    <w:p>
      <w:pPr>
        <w:spacing w:after="0" w:line="67" w:lineRule="exact"/>
        <w:rPr>
          <w:rFonts w:ascii="Times New Roman" w:cs="Times New Roman" w:eastAsia="Times New Roman" w:hAnsi="Times New Roman"/>
          <w:sz w:val="18"/>
          <w:szCs w:val="18"/>
          <w:color w:val="auto"/>
        </w:rPr>
      </w:pPr>
    </w:p>
    <w:p>
      <w:pPr>
        <w:jc w:val="both"/>
        <w:ind w:right="100" w:firstLine="419"/>
        <w:spacing w:after="0" w:line="266" w:lineRule="auto"/>
        <w:tabs>
          <w:tab w:leader="none" w:pos="70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each of its Subsidiaries carry, or are covered by, insurance in such amounts and covering such risks as the Company and each of its Subsidiaries reasonably believe are adequate for the conduct of their business and as is customary for similarly situated companies engaged in similar businesses in similar industries.</w:t>
      </w:r>
    </w:p>
    <w:p>
      <w:pPr>
        <w:spacing w:after="0" w:line="23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0"/>
          </w:cols>
          <w:pgMar w:left="880" w:top="270" w:right="459" w:bottom="1440" w:gutter="0" w:footer="0" w:header="0"/>
        </w:sectPr>
      </w:pPr>
    </w:p>
    <w:bookmarkStart w:id="18" w:name="page19"/>
    <w:bookmarkEnd w:id="18"/>
    <w:p>
      <w:pPr>
        <w:ind w:left="4" w:firstLine="419"/>
        <w:spacing w:after="0" w:line="266" w:lineRule="auto"/>
        <w:tabs>
          <w:tab w:leader="none" w:pos="731"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Improper Practices</w:t>
      </w:r>
      <w:r>
        <w:rPr>
          <w:rFonts w:ascii="Times New Roman" w:cs="Times New Roman" w:eastAsia="Times New Roman" w:hAnsi="Times New Roman"/>
          <w:sz w:val="17"/>
          <w:szCs w:val="17"/>
          <w:color w:val="auto"/>
        </w:rPr>
        <w:t>. (i) Neither the Company nor the Subsidiaries, nor any director, officer, or employee of the Company or any Subsidiary nor, to the Company’s knowledge, any agent, affiliate or other person acting on behalf of the Company or any Subsidiary has, in the past five years, made any unlawful contributions to any candidate for any political office (or failed fully to disclose any contribution in violation of applicable law) or made any contribution or other payment to any official of, or candidate for, any federal, state, municipal, or foreign office or other person charged with similar public or quasi-public duty in violation of any applicable law or of the character required to be disclosed in the Prospectus; (ii) no relationship, direct or indirect, exists between or among the Company or any Subsidiary or any affiliate of any of them, on the one hand, and the directors, officers and stockholders of the Company or any Subsidiary, on the other hand, that is required by the Securities Act to be described in the Registration Statement and the Pricing Disclosure Package that is not so described; (iii) no relationship, direct or indirect, exists between or among the Company or any Subsidiary or any affiliate of them, on the one hand, and the directors, officers, or stockholders of the Company or any Subsidiary, on the other hand, that is required by the rules of FINRA to be described in the Registration Statement and the Pricing Disclosure Package that is not so described; (iv) except as described in the Registration Statement and the Pricing Disclosure Package, there are no material outstanding loans or advances or material guarantees of indebtedness by the Company or any Subsidiary to or for the benefit of any of their respective officers or directors or any of the members of the families of any of them; (v) the Company has not offered, or caused any placement agent to offer, Common Stock to any person with the intent to influence unlawfully (A) a customer or supplier of the Company or any Subsidiary to alter the customer’s or supplier’s level or type of business with the Company or any Subsidiary or (B) a trade journalist or publication to write or publish favorable information about the Company or any Subsidiary or any of their respective products or services; and</w:t>
      </w:r>
    </w:p>
    <w:p>
      <w:pPr>
        <w:spacing w:after="0" w:line="7" w:lineRule="exact"/>
        <w:rPr>
          <w:rFonts w:ascii="Times New Roman" w:cs="Times New Roman" w:eastAsia="Times New Roman" w:hAnsi="Times New Roman"/>
          <w:sz w:val="17"/>
          <w:szCs w:val="17"/>
          <w:color w:val="auto"/>
        </w:rPr>
      </w:pPr>
    </w:p>
    <w:p>
      <w:pPr>
        <w:ind w:left="4" w:right="60" w:hanging="4"/>
        <w:spacing w:after="0" w:line="252" w:lineRule="auto"/>
        <w:tabs>
          <w:tab w:leader="none" w:pos="30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nor any director, officer or employee of the Company or any Subsidiary nor, to the Company’s knowledge, any agent, affiliate or other person acting on behalf of the Company or any Subsidiary has (A) violated or is in violation of any applicable provision of the U.S. Foreign Corrupt Practices Act of 1977, as amended, or any other applicable anti-bribery or anti-corruption law (collectively, “</w:t>
      </w:r>
      <w:r>
        <w:rPr>
          <w:rFonts w:ascii="Times New Roman" w:cs="Times New Roman" w:eastAsia="Times New Roman" w:hAnsi="Times New Roman"/>
          <w:sz w:val="18"/>
          <w:szCs w:val="18"/>
          <w:b w:val="1"/>
          <w:bCs w:val="1"/>
          <w:i w:val="1"/>
          <w:iCs w:val="1"/>
          <w:color w:val="auto"/>
        </w:rPr>
        <w:t>Anti-Corruption Laws</w:t>
      </w:r>
      <w:r>
        <w:rPr>
          <w:rFonts w:ascii="Times New Roman" w:cs="Times New Roman" w:eastAsia="Times New Roman" w:hAnsi="Times New Roman"/>
          <w:sz w:val="18"/>
          <w:szCs w:val="18"/>
          <w:color w:val="auto"/>
        </w:rPr>
        <w:t>”), (B) promised, offered, provided, attempted to provide or authorized the provision of anything of value, directly or indirectly, to any person for the purpose of obtaining or retaining business, influencing any act or decision of the recipient, or securing any improper advantage; or (C) made any payment of funds of the Company or any Subsidiary or received or retained any funds in violation of any Anti-Corruption Laws.</w:t>
      </w:r>
    </w:p>
    <w:p>
      <w:pPr>
        <w:spacing w:after="0" w:line="80" w:lineRule="exact"/>
        <w:rPr>
          <w:rFonts w:ascii="Times New Roman" w:cs="Times New Roman" w:eastAsia="Times New Roman" w:hAnsi="Times New Roman"/>
          <w:sz w:val="18"/>
          <w:szCs w:val="18"/>
          <w:color w:val="auto"/>
        </w:rPr>
      </w:pPr>
    </w:p>
    <w:p>
      <w:pPr>
        <w:ind w:left="4" w:right="80" w:firstLine="419"/>
        <w:spacing w:after="0" w:line="282" w:lineRule="auto"/>
        <w:tabs>
          <w:tab w:leader="none" w:pos="69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Under the Securities Act</w:t>
      </w:r>
      <w:r>
        <w:rPr>
          <w:rFonts w:ascii="Times New Roman" w:cs="Times New Roman" w:eastAsia="Times New Roman" w:hAnsi="Times New Roman"/>
          <w:sz w:val="18"/>
          <w:szCs w:val="18"/>
          <w:color w:val="auto"/>
        </w:rPr>
        <w:t>. The Company was not and is not an ineligible issuer as defined in Rule 405 under the Securities Act at the times specified in Rules 164 and 433 under the Securities Act in connection with the offering of the Stock.</w:t>
      </w:r>
    </w:p>
    <w:p>
      <w:pPr>
        <w:spacing w:after="0" w:line="94" w:lineRule="exact"/>
        <w:rPr>
          <w:sz w:val="20"/>
          <w:szCs w:val="20"/>
          <w:color w:val="auto"/>
        </w:rPr>
      </w:pPr>
    </w:p>
    <w:p>
      <w:pPr>
        <w:jc w:val="center"/>
        <w:ind w:right="356"/>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04"/>
          </w:cols>
          <w:pgMar w:left="876" w:top="270" w:right="519" w:bottom="1440" w:gutter="0" w:footer="0" w:header="0"/>
        </w:sectPr>
      </w:pPr>
    </w:p>
    <w:bookmarkStart w:id="19" w:name="page20"/>
    <w:bookmarkEnd w:id="19"/>
    <w:p>
      <w:pPr>
        <w:ind w:firstLine="419"/>
        <w:spacing w:after="0" w:line="258" w:lineRule="auto"/>
        <w:tabs>
          <w:tab w:leader="none" w:pos="76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Misstatement or Omission in an Issuer Free Writing Prospectus</w:t>
      </w:r>
      <w:r>
        <w:rPr>
          <w:rFonts w:ascii="Times New Roman" w:cs="Times New Roman" w:eastAsia="Times New Roman" w:hAnsi="Times New Roman"/>
          <w:sz w:val="18"/>
          <w:szCs w:val="18"/>
          <w:color w:val="auto"/>
        </w:rPr>
        <w:t>. Each Issuer Free Writing Prospectus, as of its issue date and as of each Applicable Time, did not, does not and will not include any information that conflicted, conflicts or will conflict with the information contained in the Registration Statement and the Pricing Disclosure Package, including any incorporated document deemed to be a part thereof that has not been superseded or modified. The foregoing sentence does not apply to statements in or omissions from any Issuer Free Writing Prospectus based upon and in conformity with written information furnished to the Company by the Agents specifically for use therein.</w:t>
      </w:r>
    </w:p>
    <w:p>
      <w:pPr>
        <w:spacing w:after="0" w:line="75" w:lineRule="exact"/>
        <w:rPr>
          <w:rFonts w:ascii="Times New Roman" w:cs="Times New Roman" w:eastAsia="Times New Roman" w:hAnsi="Times New Roman"/>
          <w:sz w:val="18"/>
          <w:szCs w:val="18"/>
          <w:color w:val="auto"/>
        </w:rPr>
      </w:pPr>
    </w:p>
    <w:p>
      <w:pPr>
        <w:ind w:right="60" w:firstLine="419"/>
        <w:spacing w:after="0" w:line="253" w:lineRule="auto"/>
        <w:tabs>
          <w:tab w:leader="none" w:pos="76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Neither the execution of this Agreement, nor the issuance, offering or sale of the Stock, nor the consummation of any of the transactions contemplated herein, nor the compliance by the Company with the terms and provisions hereof will conflict with, or will result in a breach of, any of the terms and provisions of, or has constituted or will constitute a default under, or has resulted in or will result in the creation or imposition of any lien, charge or encumbrance upon any property or assets of the Company pursuant to the terms of any contract or other agreement to which the Company may be bound or to which any of the property or assets of the Company is subject, except (i) such conflicts, breaches or defaults as may have been waived and (ii) such conflicts, breaches and defaults that would not have a Material Adverse Effect; nor will such action result (x) in any violation of the provisions of the organizational or governing documents of the Company, or (y) in any material violation of the provisions of any statute or any order, rule or regulation applicable to the Company or of any Governmental Authority having jurisdiction over the Company. For the purposes of this Agreement, “</w:t>
      </w:r>
      <w:r>
        <w:rPr>
          <w:rFonts w:ascii="Times New Roman" w:cs="Times New Roman" w:eastAsia="Times New Roman" w:hAnsi="Times New Roman"/>
          <w:sz w:val="18"/>
          <w:szCs w:val="18"/>
          <w:b w:val="1"/>
          <w:bCs w:val="1"/>
          <w:i w:val="1"/>
          <w:iCs w:val="1"/>
          <w:color w:val="auto"/>
        </w:rPr>
        <w:t>Governmental Authority</w:t>
      </w:r>
      <w:r>
        <w:rPr>
          <w:rFonts w:ascii="Times New Roman" w:cs="Times New Roman" w:eastAsia="Times New Roman" w:hAnsi="Times New Roman"/>
          <w:sz w:val="18"/>
          <w:szCs w:val="18"/>
          <w:color w:val="auto"/>
        </w:rPr>
        <w:t>” means (i) any federal, provincial, state, local, municipal, national or international government or governmental authority, regulatory or administrative agency, governmental commission, department, board, bureau, agency or instrumentality, court, tribunal, arbitrator or arbitral body (public or private); (ii) any self-regulatory organization; or (iii) any political subdivision of any of the foregoing.</w:t>
      </w:r>
    </w:p>
    <w:p>
      <w:pPr>
        <w:spacing w:after="0" w:line="77" w:lineRule="exact"/>
        <w:rPr>
          <w:rFonts w:ascii="Times New Roman" w:cs="Times New Roman" w:eastAsia="Times New Roman" w:hAnsi="Times New Roman"/>
          <w:sz w:val="18"/>
          <w:szCs w:val="18"/>
          <w:color w:val="auto"/>
        </w:rPr>
      </w:pPr>
    </w:p>
    <w:p>
      <w:pPr>
        <w:ind w:right="120" w:firstLine="419"/>
        <w:spacing w:after="0" w:line="268" w:lineRule="auto"/>
        <w:tabs>
          <w:tab w:leader="none" w:pos="84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(i) Neither the Company nor any of its Subsidiaries (collectively, the “</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directors or officers, nor to the Company’s knowledge, after due inquiry, any employee, agent, affiliate or representative of the Company, is a government, individual, or entity (in this paragraph (xx),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that is, or is owned or controlled by a Person that is:</w:t>
      </w:r>
    </w:p>
    <w:p>
      <w:pPr>
        <w:spacing w:after="0" w:line="66" w:lineRule="exact"/>
        <w:rPr>
          <w:rFonts w:ascii="Times New Roman" w:cs="Times New Roman" w:eastAsia="Times New Roman" w:hAnsi="Times New Roman"/>
          <w:sz w:val="18"/>
          <w:szCs w:val="18"/>
          <w:color w:val="auto"/>
        </w:rPr>
      </w:pPr>
    </w:p>
    <w:p>
      <w:pPr>
        <w:ind w:left="980" w:right="340" w:firstLine="391"/>
        <w:spacing w:after="0" w:line="258" w:lineRule="auto"/>
        <w:tabs>
          <w:tab w:leader="none" w:pos="165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any sanctions administered or enforced by the U.S. Department of Treasury’s Office of Foreign Assets Control (“</w:t>
      </w:r>
      <w:r>
        <w:rPr>
          <w:rFonts w:ascii="Times New Roman" w:cs="Times New Roman" w:eastAsia="Times New Roman" w:hAnsi="Times New Roman"/>
          <w:sz w:val="18"/>
          <w:szCs w:val="18"/>
          <w:b w:val="1"/>
          <w:bCs w:val="1"/>
          <w:i w:val="1"/>
          <w:iCs w:val="1"/>
          <w:color w:val="auto"/>
        </w:rPr>
        <w:t>OFAC</w:t>
      </w:r>
      <w:r>
        <w:rPr>
          <w:rFonts w:ascii="Times New Roman" w:cs="Times New Roman" w:eastAsia="Times New Roman" w:hAnsi="Times New Roman"/>
          <w:sz w:val="18"/>
          <w:szCs w:val="18"/>
          <w:color w:val="auto"/>
        </w:rPr>
        <w:t>”), the United Nations Security Council, the European Union (“</w:t>
      </w:r>
      <w:r>
        <w:rPr>
          <w:rFonts w:ascii="Times New Roman" w:cs="Times New Roman" w:eastAsia="Times New Roman" w:hAnsi="Times New Roman"/>
          <w:sz w:val="18"/>
          <w:szCs w:val="18"/>
          <w:b w:val="1"/>
          <w:bCs w:val="1"/>
          <w:i w:val="1"/>
          <w:iCs w:val="1"/>
          <w:color w:val="auto"/>
        </w:rPr>
        <w:t>EU</w:t>
      </w:r>
      <w:r>
        <w:rPr>
          <w:rFonts w:ascii="Times New Roman" w:cs="Times New Roman" w:eastAsia="Times New Roman" w:hAnsi="Times New Roman"/>
          <w:sz w:val="18"/>
          <w:szCs w:val="18"/>
          <w:color w:val="auto"/>
        </w:rPr>
        <w:t>”) or any EU member state, His Majesty’s Treasury of the United Kingdom, or other relevant sanctions authorities, including, without limitation, designation on OFAC’s Specially Designated Nationals and Blocked Persons List or OFAC’s Foreign Sanctions Evaders List or other relevant sanctions authority (collectively, “</w:t>
      </w:r>
      <w:r>
        <w:rPr>
          <w:rFonts w:ascii="Times New Roman" w:cs="Times New Roman" w:eastAsia="Times New Roman" w:hAnsi="Times New Roman"/>
          <w:sz w:val="18"/>
          <w:szCs w:val="18"/>
          <w:b w:val="1"/>
          <w:bCs w:val="1"/>
          <w:i w:val="1"/>
          <w:iCs w:val="1"/>
          <w:color w:val="auto"/>
        </w:rPr>
        <w:t>Sanctions</w:t>
      </w:r>
      <w:r>
        <w:rPr>
          <w:rFonts w:ascii="Times New Roman" w:cs="Times New Roman" w:eastAsia="Times New Roman" w:hAnsi="Times New Roman"/>
          <w:sz w:val="18"/>
          <w:szCs w:val="18"/>
          <w:color w:val="auto"/>
        </w:rPr>
        <w:t>”), nor</w:t>
      </w:r>
    </w:p>
    <w:p>
      <w:pPr>
        <w:spacing w:after="0" w:line="75" w:lineRule="exact"/>
        <w:rPr>
          <w:rFonts w:ascii="Times New Roman" w:cs="Times New Roman" w:eastAsia="Times New Roman" w:hAnsi="Times New Roman"/>
          <w:sz w:val="18"/>
          <w:szCs w:val="18"/>
          <w:color w:val="auto"/>
        </w:rPr>
      </w:pPr>
    </w:p>
    <w:p>
      <w:pPr>
        <w:ind w:left="980" w:right="60" w:firstLine="391"/>
        <w:spacing w:after="0" w:line="266" w:lineRule="auto"/>
        <w:tabs>
          <w:tab w:leader="none" w:pos="164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 organized or resident in a country or territory that is the subject of Sanctions that broadly prohibit dealings with that country or territory (including, without limitation, Cuba, Iran, North Korea, Syria, the so-called Donetsk People’s Republic, the so-called Luhansk People’s Republic and the Crimea Region of the Ukraine) (the “</w:t>
      </w:r>
      <w:r>
        <w:rPr>
          <w:rFonts w:ascii="Times New Roman" w:cs="Times New Roman" w:eastAsia="Times New Roman" w:hAnsi="Times New Roman"/>
          <w:sz w:val="18"/>
          <w:szCs w:val="18"/>
          <w:b w:val="1"/>
          <w:bCs w:val="1"/>
          <w:i w:val="1"/>
          <w:iCs w:val="1"/>
          <w:color w:val="auto"/>
        </w:rPr>
        <w:t>Sanctioned Countries</w:t>
      </w:r>
      <w:r>
        <w:rPr>
          <w:rFonts w:ascii="Times New Roman" w:cs="Times New Roman" w:eastAsia="Times New Roman" w:hAnsi="Times New Roman"/>
          <w:sz w:val="18"/>
          <w:szCs w:val="18"/>
          <w:color w:val="auto"/>
        </w:rPr>
        <w:t>”), nor</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40"/>
          </w:cols>
          <w:pgMar w:left="880" w:top="270" w:right="479" w:bottom="1440" w:gutter="0" w:footer="0" w:header="0"/>
        </w:sectPr>
      </w:pPr>
    </w:p>
    <w:bookmarkStart w:id="20" w:name="page21"/>
    <w:bookmarkEnd w:id="20"/>
    <w:p>
      <w:pPr>
        <w:ind w:left="1660" w:hanging="289"/>
        <w:spacing w:after="0"/>
        <w:tabs>
          <w:tab w:leader="none" w:pos="1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owned or controlled by any Person or Persons described in clause (A) or (B).</w:t>
      </w:r>
    </w:p>
    <w:p>
      <w:pPr>
        <w:spacing w:after="0" w:line="117" w:lineRule="exact"/>
        <w:rPr>
          <w:rFonts w:ascii="Times New Roman" w:cs="Times New Roman" w:eastAsia="Times New Roman" w:hAnsi="Times New Roman"/>
          <w:sz w:val="18"/>
          <w:szCs w:val="18"/>
          <w:color w:val="auto"/>
        </w:rPr>
      </w:pPr>
    </w:p>
    <w:p>
      <w:pPr>
        <w:ind w:right="540" w:firstLine="419"/>
        <w:spacing w:after="0" w:line="282" w:lineRule="auto"/>
        <w:tabs>
          <w:tab w:leader="none" w:pos="68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will not, directly or indirectly, use the proceeds from the offering, or lend, contribute or otherwise make available such proceeds to any subsidiary, joint venture partner or other Person:</w:t>
      </w:r>
    </w:p>
    <w:p>
      <w:pPr>
        <w:spacing w:after="0" w:line="54" w:lineRule="exact"/>
        <w:rPr>
          <w:sz w:val="20"/>
          <w:szCs w:val="20"/>
          <w:color w:val="auto"/>
        </w:rPr>
      </w:pPr>
    </w:p>
    <w:p>
      <w:pPr>
        <w:ind w:left="980" w:right="340" w:firstLine="391"/>
        <w:spacing w:after="0" w:line="282" w:lineRule="auto"/>
        <w:tabs>
          <w:tab w:leader="none" w:pos="1543"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facilitate any activities or business of or with any Person or in any country or territory that, at the time of such funding or facilitation, is the subject of Sanctions or is a Sanctioned Country; or</w:t>
      </w:r>
    </w:p>
    <w:p>
      <w:pPr>
        <w:spacing w:after="0" w:line="53" w:lineRule="exact"/>
        <w:rPr>
          <w:rFonts w:ascii="Times New Roman" w:cs="Times New Roman" w:eastAsia="Times New Roman" w:hAnsi="Times New Roman"/>
          <w:sz w:val="18"/>
          <w:szCs w:val="18"/>
          <w:color w:val="auto"/>
        </w:rPr>
      </w:pPr>
    </w:p>
    <w:p>
      <w:pPr>
        <w:ind w:left="980" w:right="460" w:firstLine="391"/>
        <w:spacing w:after="0" w:line="282" w:lineRule="auto"/>
        <w:tabs>
          <w:tab w:leader="none" w:pos="1543"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that will result in a violation of Sanctions by any Person (including any Person participating in the offering, whether as underwriter, advisor, investor or otherwise).</w:t>
      </w:r>
    </w:p>
    <w:p>
      <w:pPr>
        <w:spacing w:after="0" w:line="53" w:lineRule="exact"/>
        <w:rPr>
          <w:rFonts w:ascii="Times New Roman" w:cs="Times New Roman" w:eastAsia="Times New Roman" w:hAnsi="Times New Roman"/>
          <w:sz w:val="18"/>
          <w:szCs w:val="18"/>
          <w:color w:val="auto"/>
        </w:rPr>
      </w:pPr>
    </w:p>
    <w:p>
      <w:pPr>
        <w:ind w:right="100" w:firstLine="419"/>
        <w:spacing w:after="0" w:line="282" w:lineRule="auto"/>
        <w:tabs>
          <w:tab w:leader="none" w:pos="73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past five (5) years, the Entity has not engaged in, and is now not engaged in, any dealings or transactions with any Person, or in any country or territory, that at the time of the dealing or transaction is or was the subject of Sanctions or was a Sanctioned Country.</w:t>
      </w:r>
    </w:p>
    <w:p>
      <w:pPr>
        <w:spacing w:after="0" w:line="54" w:lineRule="exact"/>
        <w:rPr>
          <w:sz w:val="20"/>
          <w:szCs w:val="20"/>
          <w:color w:val="auto"/>
        </w:rPr>
      </w:pPr>
    </w:p>
    <w:p>
      <w:pPr>
        <w:ind w:right="120" w:firstLine="419"/>
        <w:spacing w:after="0" w:line="266" w:lineRule="auto"/>
        <w:tabs>
          <w:tab w:leader="none" w:pos="76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Transfer Taxes</w:t>
      </w:r>
      <w:r>
        <w:rPr>
          <w:rFonts w:ascii="Times New Roman" w:cs="Times New Roman" w:eastAsia="Times New Roman" w:hAnsi="Times New Roman"/>
          <w:sz w:val="18"/>
          <w:szCs w:val="18"/>
          <w:color w:val="auto"/>
        </w:rPr>
        <w:t>. On each Delivery Date (as defined below), all stock transfer or other taxes (other than income taxes) which are required to be paid in connection with the sale and transfer of the Stock to be sold hereunder will be, or will have been, fully paid or provided for by the Company and all laws imposing such taxes will be or will have been fully complied with.</w:t>
      </w:r>
    </w:p>
    <w:p>
      <w:pPr>
        <w:spacing w:after="0" w:line="67" w:lineRule="exact"/>
        <w:rPr>
          <w:rFonts w:ascii="Times New Roman" w:cs="Times New Roman" w:eastAsia="Times New Roman" w:hAnsi="Times New Roman"/>
          <w:sz w:val="18"/>
          <w:szCs w:val="18"/>
          <w:color w:val="auto"/>
        </w:rPr>
      </w:pPr>
    </w:p>
    <w:p>
      <w:pPr>
        <w:ind w:right="140" w:firstLine="419"/>
        <w:spacing w:after="0" w:line="256" w:lineRule="auto"/>
        <w:tabs>
          <w:tab w:leader="none" w:pos="76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Company and each of its Subsidiaries are in compliance with all applicable laws, regulations and statutes (other than with respect to Environmental Laws and regulations, which are subject to subsection (ee)) in the jurisdictions in which it carries on business; the Company has not received a notice of non-compliance, nor knows of, nor has reasonable grounds to know of, any facts that could give rise to a notice of non-compliance with any such laws, regulations or statutes, and is not aware of any pending change or contemplated change to any applicable law or regulation or governmental position; in each case that would materially adversely affect the business of the Company or the business or legal environment under which the Company operates.</w:t>
      </w:r>
    </w:p>
    <w:p>
      <w:pPr>
        <w:spacing w:after="0" w:line="79" w:lineRule="exact"/>
        <w:rPr>
          <w:rFonts w:ascii="Times New Roman" w:cs="Times New Roman" w:eastAsia="Times New Roman" w:hAnsi="Times New Roman"/>
          <w:sz w:val="18"/>
          <w:szCs w:val="18"/>
          <w:color w:val="auto"/>
        </w:rPr>
      </w:pPr>
    </w:p>
    <w:p>
      <w:pPr>
        <w:ind w:firstLine="419"/>
        <w:spacing w:after="0" w:line="266" w:lineRule="auto"/>
        <w:tabs>
          <w:tab w:leader="none" w:pos="74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Statistical and Market-Related Data</w:t>
      </w:r>
      <w:r>
        <w:rPr>
          <w:rFonts w:ascii="Times New Roman" w:cs="Times New Roman" w:eastAsia="Times New Roman" w:hAnsi="Times New Roman"/>
          <w:sz w:val="18"/>
          <w:szCs w:val="18"/>
          <w:color w:val="auto"/>
        </w:rPr>
        <w:t>. The statistical, demographic and market-related data included in the Registration Statement and the Pricing Disclosure Package are based on or derived from sources that the Company believes to be reliable and accurate or represent the Company’s good faith estimates that are made on the basis of data derived from such sources.</w:t>
      </w:r>
    </w:p>
    <w:p>
      <w:pPr>
        <w:spacing w:after="0" w:line="68" w:lineRule="exact"/>
        <w:rPr>
          <w:sz w:val="20"/>
          <w:szCs w:val="20"/>
          <w:color w:val="auto"/>
        </w:rPr>
      </w:pPr>
    </w:p>
    <w:p>
      <w:pPr>
        <w:ind w:right="220" w:firstLine="419"/>
        <w:spacing w:after="0" w:line="261" w:lineRule="auto"/>
        <w:tabs>
          <w:tab w:leader="none" w:pos="82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18"/>
          <w:szCs w:val="18"/>
          <w:b w:val="1"/>
          <w:bCs w:val="1"/>
          <w:i w:val="1"/>
          <w:iCs w:val="1"/>
          <w:color w:val="auto"/>
        </w:rPr>
        <w:t>IT Systems</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the Company as currently conducted. The Company and its Subsidiaries have implemented and maintain reasonable best physical, technical and administrative controls,</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60"/>
          </w:cols>
          <w:pgMar w:left="880" w:top="270" w:right="459" w:bottom="1440" w:gutter="0" w:footer="0" w:header="0"/>
        </w:sectPr>
      </w:pPr>
    </w:p>
    <w:bookmarkStart w:id="21" w:name="page22"/>
    <w:bookmarkEnd w:id="21"/>
    <w:p>
      <w:pPr>
        <w:ind w:left="4" w:right="2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policies, procedures, and safeguards to maintain and protect their material confidential information and the integrity, continuous operation, redundancy and security of all IT Systems and data, including all “Personal Data” (as defined below) and all sensitive, confidential or regulated data (“</w:t>
      </w:r>
      <w:r>
        <w:rPr>
          <w:rFonts w:ascii="Times New Roman" w:cs="Times New Roman" w:eastAsia="Times New Roman" w:hAnsi="Times New Roman"/>
          <w:sz w:val="17"/>
          <w:szCs w:val="17"/>
          <w:b w:val="1"/>
          <w:bCs w:val="1"/>
          <w:i w:val="1"/>
          <w:iCs w:val="1"/>
          <w:color w:val="auto"/>
        </w:rPr>
        <w:t>Confidential Data</w:t>
      </w:r>
      <w:r>
        <w:rPr>
          <w:rFonts w:ascii="Times New Roman" w:cs="Times New Roman" w:eastAsia="Times New Roman" w:hAnsi="Times New Roman"/>
          <w:sz w:val="17"/>
          <w:szCs w:val="17"/>
          <w:color w:val="auto"/>
        </w:rPr>
        <w:t>”) used in connection with their businesses. “Personal Data”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the European Union General Data Protection Regulation (“</w:t>
      </w:r>
      <w:r>
        <w:rPr>
          <w:rFonts w:ascii="Times New Roman" w:cs="Times New Roman" w:eastAsia="Times New Roman" w:hAnsi="Times New Roman"/>
          <w:sz w:val="17"/>
          <w:szCs w:val="17"/>
          <w:b w:val="1"/>
          <w:bCs w:val="1"/>
          <w:i w:val="1"/>
          <w:iCs w:val="1"/>
          <w:color w:val="auto"/>
        </w:rPr>
        <w:t>GDPR</w:t>
      </w:r>
      <w:r>
        <w:rPr>
          <w:rFonts w:ascii="Times New Roman" w:cs="Times New Roman" w:eastAsia="Times New Roman" w:hAnsi="Times New Roman"/>
          <w:sz w:val="17"/>
          <w:szCs w:val="17"/>
          <w:color w:val="auto"/>
        </w:rPr>
        <w:t>”) (EU 2016/679); (iv) any information which would qualify as “protected health information” under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17"/>
          <w:szCs w:val="17"/>
          <w:b w:val="1"/>
          <w:bCs w:val="1"/>
          <w:i w:val="1"/>
          <w:iCs w:val="1"/>
          <w:color w:val="auto"/>
        </w:rPr>
        <w:t>HIPAA</w:t>
      </w:r>
      <w:r>
        <w:rPr>
          <w:rFonts w:ascii="Times New Roman" w:cs="Times New Roman" w:eastAsia="Times New Roman" w:hAnsi="Times New Roman"/>
          <w:sz w:val="17"/>
          <w:szCs w:val="17"/>
          <w:color w:val="auto"/>
        </w:rPr>
        <w:t>”);</w:t>
      </w:r>
    </w:p>
    <w:p>
      <w:pPr>
        <w:ind w:left="4" w:right="60" w:hanging="4"/>
        <w:spacing w:after="0" w:line="251" w:lineRule="auto"/>
        <w:tabs>
          <w:tab w:leader="none" w:pos="25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“personal information” as defined by the California Consumer Privacy Act (“</w:t>
      </w:r>
      <w:r>
        <w:rPr>
          <w:rFonts w:ascii="Times New Roman" w:cs="Times New Roman" w:eastAsia="Times New Roman" w:hAnsi="Times New Roman"/>
          <w:sz w:val="18"/>
          <w:szCs w:val="18"/>
          <w:b w:val="1"/>
          <w:bCs w:val="1"/>
          <w:i w:val="1"/>
          <w:iCs w:val="1"/>
          <w:color w:val="auto"/>
        </w:rPr>
        <w:t>CCPA</w:t>
      </w:r>
      <w:r>
        <w:rPr>
          <w:rFonts w:ascii="Times New Roman" w:cs="Times New Roman" w:eastAsia="Times New Roman" w:hAnsi="Times New Roman"/>
          <w:sz w:val="18"/>
          <w:szCs w:val="18"/>
          <w:color w:val="auto"/>
        </w:rPr>
        <w:t>”); and (vi) any other piece of information that allows the identification of such natural person, or his or her family, or permits the collection or analysis of any data related to an identified person’s health or sexual orientation. There have been no breaches, violations, outages or unauthorized uses of or accesses to the IT Systems,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Confidential Data, and Personal Data and to the protection of such IT Systems, Confidential Data, and Personal Data from unauthorized use, access, misappropriation or modification.</w:t>
      </w:r>
    </w:p>
    <w:p>
      <w:pPr>
        <w:spacing w:after="0" w:line="85" w:lineRule="exact"/>
        <w:rPr>
          <w:rFonts w:ascii="Times New Roman" w:cs="Times New Roman" w:eastAsia="Times New Roman" w:hAnsi="Times New Roman"/>
          <w:sz w:val="18"/>
          <w:szCs w:val="18"/>
          <w:color w:val="auto"/>
        </w:rPr>
      </w:pPr>
    </w:p>
    <w:p>
      <w:pPr>
        <w:ind w:left="4" w:firstLine="419"/>
        <w:spacing w:after="0" w:line="253" w:lineRule="auto"/>
        <w:tabs>
          <w:tab w:leader="none" w:pos="86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Data Privacy Laws</w:t>
      </w:r>
      <w:r>
        <w:rPr>
          <w:rFonts w:ascii="Times New Roman" w:cs="Times New Roman" w:eastAsia="Times New Roman" w:hAnsi="Times New Roman"/>
          <w:sz w:val="18"/>
          <w:szCs w:val="18"/>
          <w:color w:val="auto"/>
        </w:rPr>
        <w:t>. The Company and its Subsidiaries are, and at all prior times were, in material compliance with all applicable state and federal data privacy and security laws and regulations, including without limitation HIPAA, CCPA and the GDPR (to the extent applicable) (collectively, the “</w:t>
      </w:r>
      <w:r>
        <w:rPr>
          <w:rFonts w:ascii="Times New Roman" w:cs="Times New Roman" w:eastAsia="Times New Roman" w:hAnsi="Times New Roman"/>
          <w:sz w:val="18"/>
          <w:szCs w:val="18"/>
          <w:b w:val="1"/>
          <w:bCs w:val="1"/>
          <w:i w:val="1"/>
          <w:iCs w:val="1"/>
          <w:color w:val="auto"/>
        </w:rPr>
        <w:t>Privacy Laws</w:t>
      </w:r>
      <w:r>
        <w:rPr>
          <w:rFonts w:ascii="Times New Roman" w:cs="Times New Roman" w:eastAsia="Times New Roman" w:hAnsi="Times New Roman"/>
          <w:sz w:val="18"/>
          <w:szCs w:val="18"/>
          <w:color w:val="auto"/>
        </w:rPr>
        <w:t>”). To ensure compliance with the Privacy Laws, the Company has in place, complies with, and takes appropriate steps to ensure compliance in all material respects with their policies and procedures relating to data privacy and security and the collection, storage, use, processing, disclosure, handling, and analysis of Personal Data and Confidential Data (the “</w:t>
      </w:r>
      <w:r>
        <w:rPr>
          <w:rFonts w:ascii="Times New Roman" w:cs="Times New Roman" w:eastAsia="Times New Roman" w:hAnsi="Times New Roman"/>
          <w:sz w:val="18"/>
          <w:szCs w:val="18"/>
          <w:b w:val="1"/>
          <w:bCs w:val="1"/>
          <w:i w:val="1"/>
          <w:iCs w:val="1"/>
          <w:color w:val="auto"/>
        </w:rPr>
        <w:t>Policies</w:t>
      </w:r>
      <w:r>
        <w:rPr>
          <w:rFonts w:ascii="Times New Roman" w:cs="Times New Roman" w:eastAsia="Times New Roman" w:hAnsi="Times New Roman"/>
          <w:sz w:val="18"/>
          <w:szCs w:val="18"/>
          <w:color w:val="auto"/>
        </w:rPr>
        <w:t>”). The Company has at all times made all disclosures to users or customers required by applicable laws and regulatory rules or requirements, and none of such disclosures made or contained in any Policy have been inaccurate or in violation of any applicable laws and regulatory rules or requirements in any material respect. The Company further certifies that neither it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spacing w:after="0" w:line="12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64"/>
          </w:cols>
          <w:pgMar w:left="876" w:top="270" w:right="459" w:bottom="1440" w:gutter="0" w:footer="0" w:header="0"/>
        </w:sectPr>
      </w:pPr>
    </w:p>
    <w:bookmarkStart w:id="22" w:name="page23"/>
    <w:bookmarkEnd w:id="22"/>
    <w:p>
      <w:pPr>
        <w:ind w:left="440" w:right="840" w:firstLine="419"/>
        <w:spacing w:after="0" w:line="282" w:lineRule="auto"/>
        <w:tabs>
          <w:tab w:leader="none" w:pos="126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Emerging Growth Company Status</w:t>
      </w:r>
      <w:r>
        <w:rPr>
          <w:rFonts w:ascii="Times New Roman" w:cs="Times New Roman" w:eastAsia="Times New Roman" w:hAnsi="Times New Roman"/>
          <w:sz w:val="18"/>
          <w:szCs w:val="18"/>
          <w:color w:val="auto"/>
        </w:rPr>
        <w:t>. From the time of the initial filing of the Company’s first registration statement with the Commission through the date hereof, the Company has been and is an Emerging Growth Company.</w:t>
      </w:r>
    </w:p>
    <w:p>
      <w:pPr>
        <w:spacing w:after="0" w:line="162" w:lineRule="exact"/>
        <w:rPr>
          <w:sz w:val="20"/>
          <w:szCs w:val="20"/>
          <w:color w:val="auto"/>
        </w:rPr>
      </w:pPr>
    </w:p>
    <w:p>
      <w:pPr>
        <w:ind w:right="440"/>
        <w:spacing w:after="0" w:line="312" w:lineRule="auto"/>
        <w:rPr>
          <w:sz w:val="20"/>
          <w:szCs w:val="20"/>
          <w:color w:val="auto"/>
        </w:rPr>
      </w:pPr>
      <w:r>
        <w:rPr>
          <w:rFonts w:ascii="Times New Roman" w:cs="Times New Roman" w:eastAsia="Times New Roman" w:hAnsi="Times New Roman"/>
          <w:sz w:val="17"/>
          <w:szCs w:val="17"/>
          <w:color w:val="auto"/>
        </w:rPr>
        <w:t>Any certificate signed by an officer of the Company and delivered to the Agents or to counsel for the Agents pursuant to or in connection with this Agreement shall be deemed to be a representation and warranty by the Company, as applicable, to the Agents as to the matters set forth therein.</w:t>
      </w:r>
    </w:p>
    <w:p>
      <w:pPr>
        <w:spacing w:after="0" w:line="138" w:lineRule="exact"/>
        <w:rPr>
          <w:sz w:val="20"/>
          <w:szCs w:val="20"/>
          <w:color w:val="auto"/>
        </w:rPr>
      </w:pPr>
    </w:p>
    <w:p>
      <w:pPr>
        <w:ind w:left="1160" w:hanging="173"/>
        <w:spacing w:after="0"/>
        <w:tabs>
          <w:tab w:leader="none" w:pos="11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 and Delivery of Stock</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440" w:right="40" w:firstLine="419"/>
        <w:spacing w:after="0" w:line="253" w:lineRule="auto"/>
        <w:tabs>
          <w:tab w:leader="none" w:pos="110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herein, the Company agrees to issue and sell through an Agent designated by the Company (the “</w:t>
      </w:r>
      <w:r>
        <w:rPr>
          <w:rFonts w:ascii="Times New Roman" w:cs="Times New Roman" w:eastAsia="Times New Roman" w:hAnsi="Times New Roman"/>
          <w:sz w:val="18"/>
          <w:szCs w:val="18"/>
          <w:b w:val="1"/>
          <w:bCs w:val="1"/>
          <w:i w:val="1"/>
          <w:iCs w:val="1"/>
          <w:color w:val="auto"/>
        </w:rPr>
        <w:t>Designated Agent</w:t>
      </w:r>
      <w:r>
        <w:rPr>
          <w:rFonts w:ascii="Times New Roman" w:cs="Times New Roman" w:eastAsia="Times New Roman" w:hAnsi="Times New Roman"/>
          <w:sz w:val="18"/>
          <w:szCs w:val="18"/>
          <w:color w:val="auto"/>
        </w:rPr>
        <w:t>”), as sales agent, and the Designated Agent agrees to use its reasonable efforts to sell as sales agent for the Company, the Stock. Sales of Stock, if any, through an Agent acting as sales agent or directly to an Agent acting as principal will be made at market prices prevailing at the time of sale, at prices related to prevailing market prices or at negotiated prices (i) by means of ordinary brokers’ transactions, to or through the Exchange or any other market venue where the Stock may be traded, in transactions deemed to be “at-the-market offerings” as defined in Rule 415 under the Securities Act, (ii) in privately negotiated transactions, which may include block trades or through a combination of any such methods of sale or (iii) any other method permitted by law. In the event of a sale of Stock that would constitute a “block” within the meaning of Rule 10b-18(a)(5) under the Exchange Act, the Company will provide the Agent, at the Agent’s request and upon reasonable advance notice to the Company, on or prior to the Delivery Date, the opinion of counsel, comfort letters, and officers’ certificates set forth in Section 5 hereof, each dated the Delivery Date, and such other documents and information as the Agent shall reasonably request. The Company agrees that whenever it determines to sell Stock directly to an Agent, as principal, it will enter into a separate written agreement with such Agent containing the terms and conditions of such sale.</w:t>
      </w:r>
    </w:p>
    <w:p>
      <w:pPr>
        <w:spacing w:after="0" w:line="81" w:lineRule="exact"/>
        <w:rPr>
          <w:rFonts w:ascii="Times New Roman" w:cs="Times New Roman" w:eastAsia="Times New Roman" w:hAnsi="Times New Roman"/>
          <w:sz w:val="18"/>
          <w:szCs w:val="18"/>
          <w:color w:val="auto"/>
        </w:rPr>
      </w:pPr>
    </w:p>
    <w:p>
      <w:pPr>
        <w:ind w:left="440" w:firstLine="419"/>
        <w:spacing w:after="0" w:line="254" w:lineRule="auto"/>
        <w:tabs>
          <w:tab w:leader="none" w:pos="111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is to be sold on a daily basis or otherwise as shall be agreed to by the Company and the Agent on any trading day (other than a day on which the Exchange is scheduled to close prior to its regular weekday closing time) (each, a “</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that the Company has instructed the Designated Agent to make such sales. On any Trading Day, the Company may instruct the Designated Agent by telephone (confirmed promptly by telecopy or email, which confirmation will be promptly acknowledged (including, without limitation, by telecopy or e-mail) by the Designated Agent) as to the maximum number of shares of Stock to be sold by the Designated Agent on such day (in any event not in excess of the number available for issuance under the Prospectus and the currently effective Registration Statement) and the minimum price per share of Stock at which such Stock may be sold. Subject to the terms and conditions hereof, the Agents shall use their reasonable efforts to sell all of the shares of Stock so designated by the Company.</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23" w:name="page24"/>
    <w:bookmarkEnd w:id="23"/>
    <w:p>
      <w:pPr>
        <w:ind w:left="660" w:hanging="241"/>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respect to the offering and sale of Stock pursuant to this Agreement, the Company agrees that any offer to sell Stock, any</w:t>
      </w:r>
    </w:p>
    <w:p>
      <w:pPr>
        <w:spacing w:after="0" w:line="27" w:lineRule="exact"/>
        <w:rPr>
          <w:rFonts w:ascii="Times New Roman" w:cs="Times New Roman" w:eastAsia="Times New Roman" w:hAnsi="Times New Roman"/>
          <w:sz w:val="18"/>
          <w:szCs w:val="18"/>
          <w:color w:val="auto"/>
        </w:rPr>
      </w:pPr>
    </w:p>
    <w:p>
      <w:pPr>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solicitation of an offer to buy Stock, and any sales of Stock shall only be effected by or through a single Designated Agent on any single Trading Day, and the Company shall in no event request that more than one Agent offer or sell Stock pursuant to this Agreement on the same Trading Day;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such prohibition on the instruction of more than one Agent on any Trading Day shall not apply to or prohibit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appointment of a second Agent (the “</w:t>
      </w:r>
      <w:r>
        <w:rPr>
          <w:rFonts w:ascii="Times New Roman" w:cs="Times New Roman" w:eastAsia="Times New Roman" w:hAnsi="Times New Roman"/>
          <w:sz w:val="18"/>
          <w:szCs w:val="18"/>
          <w:b w:val="1"/>
          <w:bCs w:val="1"/>
          <w:i w:val="1"/>
          <w:iCs w:val="1"/>
          <w:color w:val="auto"/>
        </w:rPr>
        <w:t>Second Agent</w:t>
      </w:r>
      <w:r>
        <w:rPr>
          <w:rFonts w:ascii="Times New Roman" w:cs="Times New Roman" w:eastAsia="Times New Roman" w:hAnsi="Times New Roman"/>
          <w:sz w:val="18"/>
          <w:szCs w:val="18"/>
          <w:color w:val="auto"/>
        </w:rPr>
        <w:t>”), so long as the Second Agent is only executing a block sale transaction after 4:00 p.m. New York City time on such Trading Day.</w:t>
      </w:r>
    </w:p>
    <w:p>
      <w:pPr>
        <w:spacing w:after="0" w:line="78" w:lineRule="exact"/>
        <w:rPr>
          <w:rFonts w:ascii="Times New Roman" w:cs="Times New Roman" w:eastAsia="Times New Roman" w:hAnsi="Times New Roman"/>
          <w:sz w:val="18"/>
          <w:szCs w:val="18"/>
          <w:color w:val="auto"/>
        </w:rPr>
      </w:pPr>
    </w:p>
    <w:p>
      <w:pPr>
        <w:ind w:right="20" w:firstLine="419"/>
        <w:spacing w:after="0" w:line="254" w:lineRule="auto"/>
        <w:tabs>
          <w:tab w:leader="none" w:pos="67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the Company shall not authorize the issuance and sale of, and the Agents shall not be obligated to use its reasonable efforts to sell, any shares of Stock (i) at a price lower than the minimum price therefor authorized from time to time, or (ii) in a number in excess of the number of shares of Stock authorized from time to time to be issued and sold under this Agreement, in each case, by the Company’s board of directors, or a duly authorized committee thereof, and notified to the Agents in writing. In addition, the Company or the Agents may, upon notice to the other party hereto by telephone (confirmed promptly by telecopy or email, which confirmation will be promptly acknowledged (including, without limitation, by telecopy or e-mail) by the Agents or the Company, as applicable), suspend the offering of the Stock for any reason and at any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suspension or termination shall not affect or impair the parties’ respective obligations with respect to the Stock sold hereunder prior to the giving of such notice.</w:t>
      </w:r>
    </w:p>
    <w:p>
      <w:pPr>
        <w:spacing w:after="0" w:line="83" w:lineRule="exact"/>
        <w:rPr>
          <w:rFonts w:ascii="Times New Roman" w:cs="Times New Roman" w:eastAsia="Times New Roman" w:hAnsi="Times New Roman"/>
          <w:sz w:val="18"/>
          <w:szCs w:val="18"/>
          <w:color w:val="auto"/>
        </w:rPr>
      </w:pPr>
    </w:p>
    <w:p>
      <w:pPr>
        <w:ind w:right="20" w:firstLine="419"/>
        <w:spacing w:after="0" w:line="274" w:lineRule="auto"/>
        <w:tabs>
          <w:tab w:leader="none" w:pos="668"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no circumstances shall the aggregate offering price or number, as the case may be, of shares of Stock sold pursuant to this Agreement exceed the aggregate offering price or number, as the case may be, of shares of Common Stock (i) set forth in the preamble paragraph of this Agreement, (ii) available for issuance under the Prospectus and the then currently effective Registration Statement, or (iii) authorized from time to time to be issued and sold under this Agreement by the Company’s board of directors, or a duly authorized committee thereof, and notified to the Agents in writing. In addition, under no circumstances shall any shares of Stock be sold at a price lower than the minimum price therefor authorized from time to time by the Company’s board of directors, or a duly authorized committee thereof, and notified to the Agents in writing.</w:t>
      </w:r>
    </w:p>
    <w:p>
      <w:pPr>
        <w:spacing w:after="0" w:line="64" w:lineRule="exact"/>
        <w:rPr>
          <w:rFonts w:ascii="Times New Roman" w:cs="Times New Roman" w:eastAsia="Times New Roman" w:hAnsi="Times New Roman"/>
          <w:sz w:val="17"/>
          <w:szCs w:val="17"/>
          <w:color w:val="auto"/>
        </w:rPr>
      </w:pPr>
    </w:p>
    <w:p>
      <w:pPr>
        <w:ind w:firstLine="419"/>
        <w:spacing w:after="0" w:line="266" w:lineRule="auto"/>
        <w:tabs>
          <w:tab w:leader="none" w:pos="64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either party has reason to believe that the exemptive provisions set forth in Rule 101(c)(1) of Regulation M under the Exchange Act are not satisfied with respect to the Company or the Stock, it shall promptly notify the other party and sales of Stock under this Agreement shall be suspended until that or other exemptive provisions have been satisfied in the judgment of each party.</w:t>
      </w:r>
    </w:p>
    <w:p>
      <w:pPr>
        <w:spacing w:after="0" w:line="67" w:lineRule="exact"/>
        <w:rPr>
          <w:rFonts w:ascii="Times New Roman" w:cs="Times New Roman" w:eastAsia="Times New Roman" w:hAnsi="Times New Roman"/>
          <w:sz w:val="18"/>
          <w:szCs w:val="18"/>
          <w:color w:val="auto"/>
        </w:rPr>
      </w:pPr>
    </w:p>
    <w:p>
      <w:pPr>
        <w:ind w:right="40" w:firstLine="419"/>
        <w:spacing w:after="0" w:line="254" w:lineRule="auto"/>
        <w:tabs>
          <w:tab w:leader="none" w:pos="67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sales price of any Stock sold under this Agreement shall be the market price for shares of the Company’s Common Stock sold by the Agents under this Agreement on the Exchange at the time of such sale. The compensation payable to the Agents for sales of Stock shall be up to 3.0% of the gross sales price of the Stock. The remaining proceeds, after further deduction for any transaction fees, transfer taxes or other similar fees, taxes or charges imposed by any governmental, regulatory or self-regulatory organization in respect of such sales, shall constitute the net proceeds to the Company for such Stock (the “</w:t>
      </w:r>
      <w:r>
        <w:rPr>
          <w:rFonts w:ascii="Times New Roman" w:cs="Times New Roman" w:eastAsia="Times New Roman" w:hAnsi="Times New Roman"/>
          <w:sz w:val="18"/>
          <w:szCs w:val="18"/>
          <w:b w:val="1"/>
          <w:bCs w:val="1"/>
          <w:i w:val="1"/>
          <w:iCs w:val="1"/>
          <w:color w:val="auto"/>
        </w:rPr>
        <w:t>Net Proceeds</w:t>
      </w:r>
      <w:r>
        <w:rPr>
          <w:rFonts w:ascii="Times New Roman" w:cs="Times New Roman" w:eastAsia="Times New Roman" w:hAnsi="Times New Roman"/>
          <w:sz w:val="18"/>
          <w:szCs w:val="18"/>
          <w:color w:val="auto"/>
        </w:rPr>
        <w:t>”). The Agents shall notify the Company as promptly as practicable if any deduction referenced in the preceding sentence will be required. The amount of any commission, discount or other compensation to be paid by the Company to an Agent, when such Agent is acting as principal, in connection with the sale of the Stock shall be as separately agreed in writing among the relevant parties thereto at the time of any such sales.</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60"/>
          </w:cols>
          <w:pgMar w:left="880" w:top="270" w:right="459" w:bottom="1440" w:gutter="0" w:footer="0" w:header="0"/>
        </w:sectPr>
      </w:pPr>
    </w:p>
    <w:bookmarkStart w:id="24" w:name="page25"/>
    <w:bookmarkEnd w:id="24"/>
    <w:p>
      <w:pPr>
        <w:ind w:right="20" w:firstLine="419"/>
        <w:spacing w:after="0" w:line="266" w:lineRule="auto"/>
        <w:tabs>
          <w:tab w:leader="none" w:pos="67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Designated Agent shall provide written confirmation to the Company following the close of trading on the Exchange each day on which Stock is sold under this Agreement setting forth the number of shares of Stock sold on such day, the gross sales prices of the Stock, the Net Proceeds to the Company and the compensation payable by the Company to the Agents with respect to such sales.</w:t>
      </w:r>
    </w:p>
    <w:p>
      <w:pPr>
        <w:spacing w:after="0" w:line="67" w:lineRule="exact"/>
        <w:rPr>
          <w:rFonts w:ascii="Times New Roman" w:cs="Times New Roman" w:eastAsia="Times New Roman" w:hAnsi="Times New Roman"/>
          <w:sz w:val="18"/>
          <w:szCs w:val="18"/>
          <w:color w:val="auto"/>
        </w:rPr>
      </w:pPr>
    </w:p>
    <w:p>
      <w:pPr>
        <w:ind w:firstLine="419"/>
        <w:spacing w:after="0" w:line="253" w:lineRule="auto"/>
        <w:tabs>
          <w:tab w:leader="none" w:pos="63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for sales of Stock will occur on the first business day that is also a Trading Day following the trade date on which such sales are made, unless another date shall be agreed to by the Company and the Designated Agent (each such day, a “</w:t>
      </w:r>
      <w:r>
        <w:rPr>
          <w:rFonts w:ascii="Times New Roman" w:cs="Times New Roman" w:eastAsia="Times New Roman" w:hAnsi="Times New Roman"/>
          <w:sz w:val="18"/>
          <w:szCs w:val="18"/>
          <w:b w:val="1"/>
          <w:bCs w:val="1"/>
          <w:i w:val="1"/>
          <w:iCs w:val="1"/>
          <w:color w:val="auto"/>
        </w:rPr>
        <w:t>Delivery Date</w:t>
      </w:r>
      <w:r>
        <w:rPr>
          <w:rFonts w:ascii="Times New Roman" w:cs="Times New Roman" w:eastAsia="Times New Roman" w:hAnsi="Times New Roman"/>
          <w:sz w:val="18"/>
          <w:szCs w:val="18"/>
          <w:color w:val="auto"/>
        </w:rPr>
        <w:t>”). On each Delivery Date, the Stock sold through the Designated Agent for settlement on such date shall be delivered by the Company to the Designated Agent against payment of the Net Proceeds from the sale of such Stock. Settlement for all Stock shall be effected by book-entry delivery of shares of Stock to the Designated Agent’s account at The Depository Trust Company against payment by the Designated Agent of the Net Proceeds from the sale of such Stock in same day funds delivered to an account designated by the Company. If the Company shall default on its obligation to deliver Stock on any Delivery Date, the Company shall (i) indemnify and hold the Agents harmless against any loss, claim or damage arising from or as a result of such default by the Company, and (ii) pay the Agents any commission to which they would otherwise be entitled absent such default. If the Designated Agent breaches this Agreement by failing to deliver the applicable Net Proceeds on any Delivery Date for Stock delivered by the Company, such Agent will pay the Company interest based on the effective overnight federal funds rate until such proceeds, together with such interest, have been fully paid.</w:t>
      </w:r>
    </w:p>
    <w:p>
      <w:pPr>
        <w:spacing w:after="0" w:line="83" w:lineRule="exact"/>
        <w:rPr>
          <w:rFonts w:ascii="Times New Roman" w:cs="Times New Roman" w:eastAsia="Times New Roman" w:hAnsi="Times New Roman"/>
          <w:sz w:val="18"/>
          <w:szCs w:val="18"/>
          <w:color w:val="auto"/>
        </w:rPr>
      </w:pPr>
    </w:p>
    <w:p>
      <w:pPr>
        <w:ind w:right="120" w:firstLine="419"/>
        <w:spacing w:after="0" w:line="254" w:lineRule="auto"/>
        <w:tabs>
          <w:tab w:leader="none" w:pos="63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may be mutually agreed upon by the Company and the Agents in writing, sales pursuant to this Agreement may not be requested by the Company and need not be made by the Agents except during the period that begins after the Company Periodic Report Date (as defined below) and ends, for all periods, on the earlier of (x) the date directors and officers are no longer permitted to trade pursuant to the Company’s policy on insider trading as in effect from time to time, and (y) the end of the quarter in which the applicable Company Periodic Report Date occurs (each such period, an “</w:t>
      </w:r>
      <w:r>
        <w:rPr>
          <w:rFonts w:ascii="Times New Roman" w:cs="Times New Roman" w:eastAsia="Times New Roman" w:hAnsi="Times New Roman"/>
          <w:sz w:val="18"/>
          <w:szCs w:val="18"/>
          <w:b w:val="1"/>
          <w:bCs w:val="1"/>
          <w:i w:val="1"/>
          <w:iCs w:val="1"/>
          <w:color w:val="auto"/>
        </w:rPr>
        <w:t>Open Window Period</w:t>
      </w:r>
      <w:r>
        <w:rPr>
          <w:rFonts w:ascii="Times New Roman" w:cs="Times New Roman" w:eastAsia="Times New Roman" w:hAnsi="Times New Roman"/>
          <w:sz w:val="18"/>
          <w:szCs w:val="18"/>
          <w:color w:val="auto"/>
        </w:rPr>
        <w:t>”). Notwithstanding the foregoing, without the prior written consent of each of the Company and the Agents, no sales of Stock shall take place, and the Company shall not request the sale of any Stock that would be sold, and the Agents shall not be obligated to sell, during any period in which the Company is or could be deemed to be, in possession of material non-public information.</w:t>
      </w:r>
    </w:p>
    <w:p>
      <w:pPr>
        <w:spacing w:after="0" w:line="83" w:lineRule="exact"/>
        <w:rPr>
          <w:rFonts w:ascii="Times New Roman" w:cs="Times New Roman" w:eastAsia="Times New Roman" w:hAnsi="Times New Roman"/>
          <w:sz w:val="18"/>
          <w:szCs w:val="18"/>
          <w:color w:val="auto"/>
        </w:rPr>
      </w:pPr>
    </w:p>
    <w:p>
      <w:pPr>
        <w:ind w:right="140" w:firstLine="419"/>
        <w:spacing w:after="0" w:line="282" w:lineRule="auto"/>
        <w:tabs>
          <w:tab w:leader="none" w:pos="67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nothing in this Agreement shall be deemed to prohibit the Agents from purchasing any Stock that is issued and sold by the Company through the Agents in accordance with the terms and conditions of this Agreement.</w:t>
      </w:r>
    </w:p>
    <w:p>
      <w:pPr>
        <w:spacing w:after="0" w:line="9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20"/>
          </w:cols>
          <w:pgMar w:left="880" w:top="270" w:right="499" w:bottom="1440" w:gutter="0" w:footer="0" w:header="0"/>
        </w:sectPr>
      </w:pPr>
    </w:p>
    <w:bookmarkStart w:id="25" w:name="page26"/>
    <w:bookmarkEnd w:id="25"/>
    <w:p>
      <w:pPr>
        <w:ind w:left="720" w:hanging="173"/>
        <w:spacing w:after="0"/>
        <w:tabs>
          <w:tab w:leader="none" w:pos="7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Further Agreements of the Company and the Agents</w:t>
      </w:r>
      <w:r>
        <w:rPr>
          <w:rFonts w:ascii="Times New Roman" w:cs="Times New Roman" w:eastAsia="Times New Roman" w:hAnsi="Times New Roman"/>
          <w:sz w:val="18"/>
          <w:szCs w:val="18"/>
          <w:color w:val="auto"/>
        </w:rPr>
        <w:t>. (a) The Company agrees:</w:t>
      </w:r>
    </w:p>
    <w:p>
      <w:pPr>
        <w:spacing w:after="0" w:line="119" w:lineRule="exact"/>
        <w:rPr>
          <w:rFonts w:ascii="Times New Roman" w:cs="Times New Roman" w:eastAsia="Times New Roman" w:hAnsi="Times New Roman"/>
          <w:sz w:val="18"/>
          <w:szCs w:val="18"/>
          <w:color w:val="auto"/>
        </w:rPr>
      </w:pPr>
    </w:p>
    <w:p>
      <w:pPr>
        <w:ind w:firstLine="419"/>
        <w:spacing w:after="0" w:line="253" w:lineRule="auto"/>
        <w:tabs>
          <w:tab w:leader="none" w:pos="63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no further amendment or any supplement to the Registration Statement, the Prospectus or any Issuer Free Writing Prospectus, except as provided herein; to advise the Agents of the time when any amendment or supplement to the Registration Statement, the Prospectus or any Issuer Free Writing Prospectus has been filed and to furnish the Agents with copies thereof; to file promptly all reports and any definitive proxy or information statements required to be filed by the Company with the Commission pursuant to Section 13(a), 13(c), 14 or 15(d) of the Exchange Act subsequent to the date of this Agreement; to advise the Agents, promptly after it receives notice thereof, of the issuance by the Commission of any stop order or of any order preventing or suspending the use of the Prospectus or any Issuer Free Writing Prospectus, of the suspension of the qualification of the Stock for offering or sale in any jurisdiction, of the initiation or threatening of any proceeding or examination for any such purpose, of any notice from the Commission objecting to the use of the form of the Registration Statement or any post-effective amendment thereto or of any request by the Commission for the amending or supplementing of the Registration Statement, the Prospectus or any Issuer Free Writing Prospectus (including, without limitation, any document incorporated by reference in any of the foregoing) or for additional information; and, in the event of the issuance of any stop order or of any order preventing or suspending the use of the Prospectus or any Issuer Free Writing Prospectus or suspending any such qualification, to use promptly its best efforts to obtain its withdrawal.</w:t>
      </w:r>
    </w:p>
    <w:p>
      <w:pPr>
        <w:spacing w:after="0" w:line="81" w:lineRule="exact"/>
        <w:rPr>
          <w:rFonts w:ascii="Times New Roman" w:cs="Times New Roman" w:eastAsia="Times New Roman" w:hAnsi="Times New Roman"/>
          <w:sz w:val="18"/>
          <w:szCs w:val="18"/>
          <w:color w:val="auto"/>
        </w:rPr>
      </w:pPr>
    </w:p>
    <w:p>
      <w:pPr>
        <w:ind w:right="20" w:firstLine="419"/>
        <w:spacing w:after="0" w:line="254" w:lineRule="auto"/>
        <w:tabs>
          <w:tab w:leader="none" w:pos="68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when the delivery of a prospectus is required in connection with the offering or sale of Stock, and if at such time any events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not misleading, or, if in the opinion of counsel for the Agents, for any other reason it shall be necessary to amend or supplement the Prospectus (including, without limitation, any document incorporated by reference therein) in order to comply with the Securities Act or the Exchange Act, to notify the Agents and, upon request by the Agents, to file such document and to prepare and furnish without charge to the Agents and to any dealer in securities as many copies as the Agents may from time to time reasonably request of an amended or supplemented Prospectus (or incorporated document, as the case may be) that will correct such statement or omission or effect such compliance.</w:t>
      </w:r>
    </w:p>
    <w:p>
      <w:pPr>
        <w:spacing w:after="0" w:line="83" w:lineRule="exact"/>
        <w:rPr>
          <w:rFonts w:ascii="Times New Roman" w:cs="Times New Roman" w:eastAsia="Times New Roman" w:hAnsi="Times New Roman"/>
          <w:sz w:val="18"/>
          <w:szCs w:val="18"/>
          <w:color w:val="auto"/>
        </w:rPr>
      </w:pPr>
    </w:p>
    <w:p>
      <w:pPr>
        <w:ind w:right="220" w:firstLine="419"/>
        <w:spacing w:after="0" w:line="282" w:lineRule="auto"/>
        <w:tabs>
          <w:tab w:leader="none" w:pos="73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promptly with the Commission any amendment or supplement to the Registration Statement or the Prospectus that may, in the judgment of the Company or the Agents, be required by the Securities Act or requested by the Commission.</w:t>
      </w:r>
    </w:p>
    <w:p>
      <w:pPr>
        <w:spacing w:after="0" w:line="53" w:lineRule="exact"/>
        <w:rPr>
          <w:rFonts w:ascii="Times New Roman" w:cs="Times New Roman" w:eastAsia="Times New Roman" w:hAnsi="Times New Roman"/>
          <w:sz w:val="18"/>
          <w:szCs w:val="18"/>
          <w:color w:val="auto"/>
        </w:rPr>
      </w:pPr>
    </w:p>
    <w:p>
      <w:pPr>
        <w:ind w:right="220" w:firstLine="419"/>
        <w:spacing w:after="0" w:line="256" w:lineRule="auto"/>
        <w:tabs>
          <w:tab w:leader="none" w:pos="7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deliver promptly to the Agents and to counsel for the Agents a signed copy of each amendment to the Registration Statement filed with the Commission, including all consents and exhibits filed therewith. To deliver promptly to the Agents such number of the following documents as the Agents shall reasonably request: (A) conformed copies of the Registration Statement as originally filed with the Commission and each amendment thereto (in each case excluding exhibits other than this Agreement and the computation of per share earnings), (B) the Prospectus and any amended or supplemented Prospectus, (C) each Issuer Free Writing Prospectus, and (D) any document incorporated by reference in the Prospectus.</w:t>
      </w:r>
    </w:p>
    <w:p>
      <w:pPr>
        <w:spacing w:after="0" w:line="12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40"/>
          </w:cols>
          <w:pgMar w:left="880" w:top="268" w:right="479" w:bottom="1440" w:gutter="0" w:footer="0" w:header="0"/>
        </w:sectPr>
      </w:pPr>
    </w:p>
    <w:bookmarkStart w:id="26" w:name="page27"/>
    <w:bookmarkEnd w:id="26"/>
    <w:p>
      <w:pPr>
        <w:ind w:right="440" w:firstLine="419"/>
        <w:spacing w:after="0" w:line="282" w:lineRule="auto"/>
        <w:tabs>
          <w:tab w:leader="none" w:pos="67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pay the applicable Commission filing fees relating to the Stock within the time required by Rule 456(b)(1) without regard to the proviso therein and otherwise in accordance with Rules 456(b) and 457(r) under the Act.</w:t>
      </w:r>
    </w:p>
    <w:p>
      <w:pPr>
        <w:spacing w:after="0" w:line="53" w:lineRule="exact"/>
        <w:rPr>
          <w:rFonts w:ascii="Times New Roman" w:cs="Times New Roman" w:eastAsia="Times New Roman" w:hAnsi="Times New Roman"/>
          <w:sz w:val="18"/>
          <w:szCs w:val="18"/>
          <w:color w:val="auto"/>
        </w:rPr>
      </w:pPr>
    </w:p>
    <w:p>
      <w:pPr>
        <w:ind w:right="20" w:firstLine="419"/>
        <w:spacing w:after="0" w:line="266" w:lineRule="auto"/>
        <w:tabs>
          <w:tab w:leader="none" w:pos="72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filing with the Commission any amendment or supplement to the Registration Statement, the Prospectus or any Issuer Free Writing Prospectus, or any document incorporated by reference in the Prospectus or any amendment to any document incorporated by reference in the Prospectus, to furnish a copy thereof to the Agents and counsel for the Agents and obtain the consent of the Agents to the filing.</w:t>
      </w:r>
    </w:p>
    <w:p>
      <w:pPr>
        <w:spacing w:after="0" w:line="67" w:lineRule="exact"/>
        <w:rPr>
          <w:rFonts w:ascii="Times New Roman" w:cs="Times New Roman" w:eastAsia="Times New Roman" w:hAnsi="Times New Roman"/>
          <w:sz w:val="18"/>
          <w:szCs w:val="18"/>
          <w:color w:val="auto"/>
        </w:rPr>
      </w:pPr>
    </w:p>
    <w:p>
      <w:pPr>
        <w:ind w:right="80" w:firstLine="419"/>
        <w:spacing w:after="0" w:line="282" w:lineRule="auto"/>
        <w:tabs>
          <w:tab w:leader="none" w:pos="77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make any offer relating to the Stock that would constitute an Issuer Free Writing Prospectus without the prior written consent of the Agents.</w:t>
      </w:r>
    </w:p>
    <w:p>
      <w:pPr>
        <w:spacing w:after="0" w:line="53" w:lineRule="exact"/>
        <w:rPr>
          <w:rFonts w:ascii="Times New Roman" w:cs="Times New Roman" w:eastAsia="Times New Roman" w:hAnsi="Times New Roman"/>
          <w:sz w:val="18"/>
          <w:szCs w:val="18"/>
          <w:color w:val="auto"/>
        </w:rPr>
      </w:pPr>
    </w:p>
    <w:p>
      <w:pPr>
        <w:ind w:firstLine="419"/>
        <w:spacing w:after="0" w:line="254" w:lineRule="auto"/>
        <w:tabs>
          <w:tab w:leader="none" w:pos="82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all applicable requirements of Rule 433 under the Securities Act with respect to any Issuer Free Writing Prospectus. During any period when the delivery of a prospectus is required in connection with the offering or sale of Stock, if at any time after the date hereof any events shall have occurred as a result of which any Issuer Free Writing Prospectus, as then amended or supplemented, would conflict with the information in the Registration Statement or the Prospectus or would include an untrue statement of a material fact or omit to state any material fact necessary in order to make the statements therein, in the light of the circumstances under which they were made, not misleading, or, if for any other reason it shall be necessary to amend or supplement any Issuer Free Writing Prospectus in order to comply with the Securities Act, to notify the Agents and, upon request by the Agents, to file such document and to prepare and furnish without charge to the Agents as many copies as the Agents may from time to time reasonably request of an amended or supplemented Issuer Free Writing Prospectus that will correct such conflict, statement or omission or effect such compliance.</w:t>
      </w:r>
    </w:p>
    <w:p>
      <w:pPr>
        <w:spacing w:after="0" w:line="80" w:lineRule="exact"/>
        <w:rPr>
          <w:rFonts w:ascii="Times New Roman" w:cs="Times New Roman" w:eastAsia="Times New Roman" w:hAnsi="Times New Roman"/>
          <w:sz w:val="18"/>
          <w:szCs w:val="18"/>
          <w:color w:val="auto"/>
        </w:rPr>
      </w:pPr>
    </w:p>
    <w:p>
      <w:pPr>
        <w:ind w:right="40" w:firstLine="419"/>
        <w:spacing w:after="0" w:line="258" w:lineRule="auto"/>
        <w:tabs>
          <w:tab w:leader="none" w:pos="72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each Effective Date (it being understood that the Company shall have until at least 410 days or, if the fourth quarter following the fiscal quarter that includes the Effective Date is the last fiscal quarter of the Company’s fiscal year, 455 days after the end of the Company’s current fiscal quarter), to make generally available to the Company’s security holders and to deliver to the Agents an earnings statement of the Company and its subsidiaries (which need not be audited) complying with Section 11(a) of the Securities Act and the rules and regulations thereunder (including, at the option of the Company, Rule 158).</w:t>
      </w:r>
    </w:p>
    <w:p>
      <w:pPr>
        <w:spacing w:after="0" w:line="75" w:lineRule="exact"/>
        <w:rPr>
          <w:rFonts w:ascii="Times New Roman" w:cs="Times New Roman" w:eastAsia="Times New Roman" w:hAnsi="Times New Roman"/>
          <w:sz w:val="18"/>
          <w:szCs w:val="18"/>
          <w:color w:val="auto"/>
        </w:rPr>
      </w:pPr>
    </w:p>
    <w:p>
      <w:pPr>
        <w:ind w:right="20" w:firstLine="419"/>
        <w:spacing w:after="0" w:line="256" w:lineRule="auto"/>
        <w:tabs>
          <w:tab w:leader="none" w:pos="67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from time to time to take such action as the Agents may reasonably request to qualify the Stock for offering and sale under the securities or Blue Sky laws of Canada and such other jurisdictions as the Agents may request and to comply with such laws so as to permit the continuance of sales and dealings therein in such jurisdictions for as long as may be necessary to complete the sale of the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connection therewith the Company shall not be required to (A) qualify as a foreign corporation in any jurisdiction in which it would not otherwise be required to so qualify, (B) file a general consent to service of process in any such jurisdiction, or (C) subject itself to taxation in any jurisdiction in which it would not otherwise be subject.</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60"/>
          </w:cols>
          <w:pgMar w:left="880" w:top="270" w:right="459" w:bottom="1440" w:gutter="0" w:footer="0" w:header="0"/>
        </w:sectPr>
      </w:pPr>
    </w:p>
    <w:bookmarkStart w:id="27" w:name="page28"/>
    <w:bookmarkEnd w:id="27"/>
    <w:p>
      <w:pPr>
        <w:ind w:firstLine="419"/>
        <w:spacing w:after="0" w:line="255" w:lineRule="auto"/>
        <w:tabs>
          <w:tab w:leader="none" w:pos="72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each Applicable Time, each Delivery Date, each Registration Statement Amendment Date (as defined below) and each date on which the Company shall file an Annual Report on Form 10-K, Quarterly Report on Form 10-Q or a Current Report on Form 8-K containing amended financial information (other than information “furnished” pursuant to Item 2.02 or 7.01 of Form 8-K or to provide disclosure pursuant to Item 8.01 of Form 8-K relating to reclassification of certain properties as discontinued operations in accordance with Statement of Financial Accounting Standards No. 144) that is material to the offering of securities of the Company in the Agents’ reasonable discretion including any date on which an amendment to any such document is filed (each such date, a “</w:t>
      </w:r>
      <w:r>
        <w:rPr>
          <w:rFonts w:ascii="Times New Roman" w:cs="Times New Roman" w:eastAsia="Times New Roman" w:hAnsi="Times New Roman"/>
          <w:sz w:val="18"/>
          <w:szCs w:val="18"/>
          <w:b w:val="1"/>
          <w:bCs w:val="1"/>
          <w:i w:val="1"/>
          <w:iCs w:val="1"/>
          <w:color w:val="auto"/>
        </w:rPr>
        <w:t>Company Periodic Report Date</w:t>
      </w:r>
      <w:r>
        <w:rPr>
          <w:rFonts w:ascii="Times New Roman" w:cs="Times New Roman" w:eastAsia="Times New Roman" w:hAnsi="Times New Roman"/>
          <w:sz w:val="18"/>
          <w:szCs w:val="18"/>
          <w:color w:val="auto"/>
        </w:rPr>
        <w:t>”), the Company shall be deemed to have affirmed each representation, warranty, covenant and other agreement contained in this Agreement.</w:t>
      </w:r>
    </w:p>
    <w:p>
      <w:pPr>
        <w:spacing w:after="0" w:line="80" w:lineRule="exact"/>
        <w:rPr>
          <w:rFonts w:ascii="Times New Roman" w:cs="Times New Roman" w:eastAsia="Times New Roman" w:hAnsi="Times New Roman"/>
          <w:sz w:val="18"/>
          <w:szCs w:val="18"/>
          <w:color w:val="auto"/>
        </w:rPr>
      </w:pPr>
    </w:p>
    <w:p>
      <w:pPr>
        <w:ind w:right="220" w:firstLine="419"/>
        <w:spacing w:after="0" w:line="256" w:lineRule="auto"/>
        <w:tabs>
          <w:tab w:leader="none" w:pos="77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cooperate timely with any reasonable due diligence review conducted by the Agents or their counsel from time to time in connection with the transactions contemplated hereby, including, without limitation, and upon reasonable notice, providing information and making available documents and appropriate corporate officers of the Company and representatives of the Company’s independent public accountants for one or more due diligence sessions with representatives of the Agents and their counsel, during regular business hours, as the Agents may reasonably request, including without limitation at or prior to each Company Periodic Report Date and Registration Statement Amendment Date.</w:t>
      </w:r>
    </w:p>
    <w:p>
      <w:pPr>
        <w:spacing w:after="0" w:line="79" w:lineRule="exact"/>
        <w:rPr>
          <w:rFonts w:ascii="Times New Roman" w:cs="Times New Roman" w:eastAsia="Times New Roman" w:hAnsi="Times New Roman"/>
          <w:sz w:val="18"/>
          <w:szCs w:val="18"/>
          <w:color w:val="auto"/>
        </w:rPr>
      </w:pPr>
    </w:p>
    <w:p>
      <w:pPr>
        <w:ind w:firstLine="419"/>
        <w:spacing w:after="0" w:line="252" w:lineRule="auto"/>
        <w:tabs>
          <w:tab w:leader="none" w:pos="82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commencement of the offering of Stock under this Agreement and promptly after each (A) date the Registration Statement or the Prospectus shall be amended or supplemented (other than (1) by an amendment or supplement providing solely for the determination of the terms of the Stock, (2) in connection with the filing of any report or other document under Section 13, 14 or 15(d) of the Exchange Act), or (3) by a prospectus supplement relating to the offering of other securities (including, without limitation, other shares of Common Stock) (each such date, a “</w:t>
      </w:r>
      <w:r>
        <w:rPr>
          <w:rFonts w:ascii="Times New Roman" w:cs="Times New Roman" w:eastAsia="Times New Roman" w:hAnsi="Times New Roman"/>
          <w:sz w:val="18"/>
          <w:szCs w:val="18"/>
          <w:b w:val="1"/>
          <w:bCs w:val="1"/>
          <w:i w:val="1"/>
          <w:iCs w:val="1"/>
          <w:color w:val="auto"/>
        </w:rPr>
        <w:t>Registration Statement Amendment Date</w:t>
      </w:r>
      <w:r>
        <w:rPr>
          <w:rFonts w:ascii="Times New Roman" w:cs="Times New Roman" w:eastAsia="Times New Roman" w:hAnsi="Times New Roman"/>
          <w:sz w:val="18"/>
          <w:szCs w:val="18"/>
          <w:color w:val="auto"/>
        </w:rPr>
        <w:t>”), and (B) Company Periodic Report Date, the Company will furnish or cause to be furnished forthwith to the Agents a certificate dated the date of effectiveness of such amendment or the date of filing with the Commission of such supplement or other document, as the case may be, in a form reasonably satisfactory to the Agents to the effect that the statements contained in the certificate referred to in Section 5(g) of this Agreement which were last furnished to the Agents are true and correct at the time of such amendment, supplement or filing, as the case may be, as though made at and as of such time (except that such statements shall be deemed to relate to the Registration Statement, the Prospectus and the Pricing Disclosure Package as amended and supplemented to such time) or, in lieu of such certificate, a certificate of the same tenor as the certificate referred to in Section 5(g), but modified as necessary to relate to the Registration Statement, the Prospectus and the Pricing Disclosure Package as amended and supplemented, or to the documents incorporated by reference into the Prospectus, to the time of delivery of such certificate. As used in this paragraph, to the extent there shall be an Applicable Time on or following the date referred to in clause (A) or (B) above, promptly shall be deemed to be on or prior to the next succeeding Applicable Time.</w:t>
      </w:r>
    </w:p>
    <w:p>
      <w:pPr>
        <w:spacing w:after="0" w:line="13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560"/>
          </w:cols>
          <w:pgMar w:left="880" w:top="270" w:right="459" w:bottom="1440" w:gutter="0" w:footer="0" w:header="0"/>
        </w:sectPr>
      </w:pPr>
    </w:p>
    <w:bookmarkStart w:id="28" w:name="page29"/>
    <w:bookmarkEnd w:id="28"/>
    <w:p>
      <w:pPr>
        <w:ind w:right="100" w:firstLine="419"/>
        <w:spacing w:after="0" w:line="253" w:lineRule="auto"/>
        <w:tabs>
          <w:tab w:leader="none" w:pos="81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commencement of the offering of Stock under this Agreement, and promptly after each (A) Registration Statement Amendment Date, and (B) Company Periodic Report Date, the Company will furnish or cause to be furnished to the Agents and to counsel to the Agents the written opinion and letter of each counsel to the Company, dated the date of effectiveness of such amendment or the date of filing with the Commission of such supplement or other document, as the case may be, in a form and substance reasonably satisfactory to the Agents and their counsel, of the same tenor as the opinions and letters referred to in Section 5(d) of this Agreement, but modified as necessary to relate to the Registration Statement, the Prospectus and the Pricing Disclosure Package as amended and supplemented, or to the documents incorporated by reference into the Prospectus, to the time of delivery of such opinion and letter or, in lieu of such opinion and letter, counsel last furnishing such letter to the Agents shall furnish the Agents with a letter substantially to the effect that the Agents may rely on such last opinion and letter to the same extent as though each were dated the date of such letter authorizing reliance (except that statements in such last letter shall be deemed to relate to the Registration Statement, the Prospectus and the Pricing Disclosure Package as amended and supplemented to the time of delivery of such letter authorizing reliance). As used in this paragraph, to the extent there shall be an Applicable Time on or following the date referred to in clause (A) or (B) above, promptly shall be deemed to be on or prior to the next succeeding Applicable Time.</w:t>
      </w:r>
    </w:p>
    <w:p>
      <w:pPr>
        <w:spacing w:after="0" w:line="81" w:lineRule="exact"/>
        <w:rPr>
          <w:rFonts w:ascii="Times New Roman" w:cs="Times New Roman" w:eastAsia="Times New Roman" w:hAnsi="Times New Roman"/>
          <w:sz w:val="18"/>
          <w:szCs w:val="18"/>
          <w:color w:val="auto"/>
        </w:rPr>
      </w:pPr>
    </w:p>
    <w:p>
      <w:pPr>
        <w:ind w:right="40" w:firstLine="419"/>
        <w:spacing w:after="0" w:line="254" w:lineRule="auto"/>
        <w:tabs>
          <w:tab w:leader="none" w:pos="76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commencement of the offering of Stock under this Agreement, and promptly after each (A) Registration Statement Amendment Date, and (B) Company Periodic Report Date, the Company will cause Grant Thornton LLP (and any other independent accountants whose report is included or incorporated by reference in the Registration Statement and the Pricing Disclosure Package), or other independent accountants reasonably satisfactory to the Agents, to furnish to the Agents a letter, dated the date of effectiveness of such amendment or the date of filing of such supplement or other document with the Commission, as the case may be, in form reasonably satisfactory to the Agents and their counsel, of the same tenor as the letter referred to in Section 5(f) hereof, but modified as necessary to relate to the Registration Statement, the Prospectus and the Pricing Disclosure Package, as amended and supplemented, or to the documents incorporated by reference into the Prospectus, to the date of such letter. As used in this paragraph, to the extent there shall be an Applicable Time on or following the date referred to in clause (A) or (B) above, promptly shall be deemed to be on or prior to the next succeeding Applicable Time.</w:t>
      </w:r>
    </w:p>
    <w:p>
      <w:pPr>
        <w:spacing w:after="0" w:line="80" w:lineRule="exact"/>
        <w:rPr>
          <w:rFonts w:ascii="Times New Roman" w:cs="Times New Roman" w:eastAsia="Times New Roman" w:hAnsi="Times New Roman"/>
          <w:sz w:val="18"/>
          <w:szCs w:val="18"/>
          <w:color w:val="auto"/>
        </w:rPr>
      </w:pPr>
    </w:p>
    <w:p>
      <w:pPr>
        <w:ind w:firstLine="419"/>
        <w:spacing w:after="0" w:line="256" w:lineRule="auto"/>
        <w:tabs>
          <w:tab w:leader="none" w:pos="81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otherwise contrary in this Agreement, the Company will not be required to provide the certificates, opinions, and letters described in Sections 3(xiii), (xiv) and (xv) above on any Company Periodic Report Date to the extent the Company has notified the Agents in writing that the Company does not intend to effect any sales of Stock during the applicable Open Window Period commencing on such Company Periodic Report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the Company may not instruct any of the Agents to sell any Stock during such Open Window Period unless and until the Company has complied with all of its obligations hereunder including, without limitation, the abovementioned certificates, opinions, and letters.</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560"/>
          </w:cols>
          <w:pgMar w:left="880" w:top="270" w:right="459" w:bottom="1440" w:gutter="0" w:footer="0" w:header="0"/>
        </w:sectPr>
      </w:pPr>
    </w:p>
    <w:bookmarkStart w:id="29" w:name="page30"/>
    <w:bookmarkEnd w:id="29"/>
    <w:p>
      <w:pPr>
        <w:jc w:val="both"/>
        <w:ind w:left="4" w:right="160" w:firstLine="419"/>
        <w:spacing w:after="0" w:line="261" w:lineRule="auto"/>
        <w:tabs>
          <w:tab w:leader="none" w:pos="87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consents to the Agents trading in the Company’s Common Stock for the Agents’ own accounts and for the account of their respective clients at the same time as sales of Stock occur pursuant to this Agreement. The Company further agrees that the Agents shall be under no obligation to purchase Stock on a principal basis pursuant to this Agreement, except as otherwise separately agreed to in writing by the Agents.</w:t>
      </w:r>
    </w:p>
    <w:p>
      <w:pPr>
        <w:spacing w:after="0" w:line="71" w:lineRule="exact"/>
        <w:rPr>
          <w:rFonts w:ascii="Times New Roman" w:cs="Times New Roman" w:eastAsia="Times New Roman" w:hAnsi="Times New Roman"/>
          <w:sz w:val="18"/>
          <w:szCs w:val="18"/>
          <w:color w:val="auto"/>
        </w:rPr>
      </w:pPr>
    </w:p>
    <w:p>
      <w:pPr>
        <w:ind w:left="4" w:right="60" w:firstLine="419"/>
        <w:spacing w:after="0" w:line="261" w:lineRule="auto"/>
        <w:tabs>
          <w:tab w:leader="none" w:pos="92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knowledge of the Company, all filings required by Rule 424 and Rule 433 under the Securities Act in connection with this offering shall not have been made or the representation in Section 1(a) shall not be true and correct on the applicable Delivery Date, the Company will offer to any person who has agreed to purchase Stock from the Company as the result of an offer to purchase solicited by the Agents the right to refuse to purchase and pay for such Stock.</w:t>
      </w:r>
    </w:p>
    <w:p>
      <w:pPr>
        <w:spacing w:after="0" w:line="71" w:lineRule="exact"/>
        <w:rPr>
          <w:rFonts w:ascii="Times New Roman" w:cs="Times New Roman" w:eastAsia="Times New Roman" w:hAnsi="Times New Roman"/>
          <w:sz w:val="18"/>
          <w:szCs w:val="18"/>
          <w:color w:val="auto"/>
        </w:rPr>
      </w:pPr>
    </w:p>
    <w:p>
      <w:pPr>
        <w:ind w:left="4" w:firstLine="419"/>
        <w:spacing w:after="0" w:line="266" w:lineRule="auto"/>
        <w:tabs>
          <w:tab w:leader="none" w:pos="82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disclose in its Annual Reports on Form 10-K and Quarterly Reports on Form 10-Q, as applicable, the number of shares of Stock sold to or through the Agents under this Agreement, the Net Proceeds to the Company and the compensation paid by the Company with respect to sales of Stock pursuant to this Agreement during the relevant quarter.</w:t>
      </w:r>
    </w:p>
    <w:p>
      <w:pPr>
        <w:spacing w:after="0" w:line="67" w:lineRule="exact"/>
        <w:rPr>
          <w:rFonts w:ascii="Times New Roman" w:cs="Times New Roman" w:eastAsia="Times New Roman" w:hAnsi="Times New Roman"/>
          <w:sz w:val="18"/>
          <w:szCs w:val="18"/>
          <w:color w:val="auto"/>
        </w:rPr>
      </w:pPr>
    </w:p>
    <w:p>
      <w:pPr>
        <w:ind w:left="4" w:right="280" w:firstLine="419"/>
        <w:spacing w:after="0" w:line="269" w:lineRule="auto"/>
        <w:tabs>
          <w:tab w:leader="none" w:pos="771"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not, without (A) giving the Agents at least five business days’ prior written notice (or two business days’ prior written notice on any Trading Day with respect to which the Company has not instructed the Agents to make sales and which does not occur in any period when the delivery of a prospectus is required in connection with the offering or sale of Stock) specifying the nature of the proposed sale and the date of such proposed sale, and (B) the Agents suspending activity under this program for such period of time as requested by the Company or as deemed appropriate by the Agents in light of the proposed sale, pledge or disposition, as the case may be, directly or indirectly,</w:t>
      </w:r>
    </w:p>
    <w:p>
      <w:pPr>
        <w:spacing w:after="0" w:line="2" w:lineRule="exact"/>
        <w:rPr>
          <w:rFonts w:ascii="Times New Roman" w:cs="Times New Roman" w:eastAsia="Times New Roman" w:hAnsi="Times New Roman"/>
          <w:sz w:val="17"/>
          <w:szCs w:val="17"/>
          <w:color w:val="auto"/>
        </w:rPr>
      </w:pPr>
    </w:p>
    <w:p>
      <w:pPr>
        <w:ind w:left="4" w:hanging="4"/>
        <w:spacing w:after="0" w:line="251" w:lineRule="auto"/>
        <w:tabs>
          <w:tab w:leader="none" w:pos="25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for sale, sell, pledge or otherwise dispose of (or enter into any transaction or device that is designed to, or could be expected to, result in the disposition by any person at any time in the future of) any shares of Common Stock or securities convertible into or exercisable or exchangeable for Common Stock (other than the Stock; and shares issued pursuant to employee benefit plans, qualified stock option plans or other employee compensation plans existing on the date hereof; or pursuant to options, warrants or rights not issued under one of those plans that are outstanding as of the date hereof), or sell or grant options, rights or warrants with respect to any shares of Common Stock or securities convertible into or exchangeable for Common Stock other than the grant of options pursuant to option plans existing on the date hereof, (y) enter into any swap or other derivatives transaction that transfers to another, in whole or in part, any of the economic benefits or risks of ownership of such shares of Common Stock, whether any such transaction described in clause (x) or (y) above is to be settled by delivery of Common Stock or other securities, in cash or otherwise, (z) file or cause to be filed a registration statement, including any amendments, with respect to the registration of any shares of Common Stock or securities convertible, exercisable or exchangeable into Common Stock or any other securities of the Company (other than any registration statement on Form S- 8), or (iv) publicly disclose the intention to do any of the foregoing, in each case without the prior written consent of the Agents. The foregoing sentence shall not apply to the Stock to be offered and sold to or through the Agents pursuant to this Agreement.</w:t>
      </w:r>
    </w:p>
    <w:p>
      <w:pPr>
        <w:spacing w:after="0" w:line="12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564"/>
          </w:cols>
          <w:pgMar w:left="876" w:top="270" w:right="459" w:bottom="1440" w:gutter="0" w:footer="0" w:header="0"/>
        </w:sectPr>
      </w:pPr>
    </w:p>
    <w:bookmarkStart w:id="30" w:name="page31"/>
    <w:bookmarkEnd w:id="30"/>
    <w:p>
      <w:pPr>
        <w:ind w:left="420" w:firstLine="419"/>
        <w:spacing w:after="0" w:line="282" w:lineRule="auto"/>
        <w:tabs>
          <w:tab w:leader="none" w:pos="123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apply the Net Proceeds from the sale of the Stock being sold by the Company substantially in accordance with the description as set forth in the Registration Statement and the Pricing Disclosure Package under the caption “Use of Proceeds”.</w:t>
      </w:r>
    </w:p>
    <w:p>
      <w:pPr>
        <w:spacing w:after="0" w:line="53" w:lineRule="exact"/>
        <w:rPr>
          <w:rFonts w:ascii="Times New Roman" w:cs="Times New Roman" w:eastAsia="Times New Roman" w:hAnsi="Times New Roman"/>
          <w:sz w:val="18"/>
          <w:szCs w:val="18"/>
          <w:color w:val="auto"/>
        </w:rPr>
      </w:pPr>
    </w:p>
    <w:p>
      <w:pPr>
        <w:ind w:left="420" w:right="120" w:firstLine="419"/>
        <w:spacing w:after="0" w:line="266" w:lineRule="auto"/>
        <w:tabs>
          <w:tab w:leader="none" w:pos="128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affiliates will not take, directly or indirectly, any action designed to or that has constituted or that reasonably would be expected to cause or result in the unlawful stabilization or manipulation of the price of any security of the Company in connection with the offering of the Stock.</w:t>
      </w:r>
    </w:p>
    <w:p>
      <w:pPr>
        <w:spacing w:after="0" w:line="67" w:lineRule="exact"/>
        <w:rPr>
          <w:rFonts w:ascii="Times New Roman" w:cs="Times New Roman" w:eastAsia="Times New Roman" w:hAnsi="Times New Roman"/>
          <w:sz w:val="18"/>
          <w:szCs w:val="18"/>
          <w:color w:val="auto"/>
        </w:rPr>
      </w:pPr>
    </w:p>
    <w:p>
      <w:pPr>
        <w:jc w:val="both"/>
        <w:ind w:left="420" w:right="160" w:firstLine="419"/>
        <w:spacing w:after="0" w:line="266" w:lineRule="auto"/>
        <w:tabs>
          <w:tab w:leader="none" w:pos="133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promptly notify the Agents if the Company ceases to be an Emerging Growth Company at any time prior to the time when a prospectus relating to the offering or sale of the Stock or any other securities relating thereto is not required by the Securities Act to be delivered (whether physically or through compliance with Rule 172 under the Securities Act or any similar rule).</w:t>
      </w:r>
    </w:p>
    <w:p>
      <w:pPr>
        <w:spacing w:after="0" w:line="67" w:lineRule="exact"/>
        <w:rPr>
          <w:rFonts w:ascii="Times New Roman" w:cs="Times New Roman" w:eastAsia="Times New Roman" w:hAnsi="Times New Roman"/>
          <w:sz w:val="18"/>
          <w:szCs w:val="18"/>
          <w:color w:val="auto"/>
        </w:rPr>
      </w:pPr>
    </w:p>
    <w:p>
      <w:pPr>
        <w:ind w:left="420" w:right="20" w:firstLine="419"/>
        <w:spacing w:after="0" w:line="282" w:lineRule="auto"/>
        <w:tabs>
          <w:tab w:leader="none" w:pos="132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do and perform all things required or necessary to be done and performed under this Agreement by it prior to each Delivery Date, and to satisfy all conditions precedent to the Agents’ obligations hereunder.</w:t>
      </w:r>
    </w:p>
    <w:p>
      <w:pPr>
        <w:spacing w:after="0" w:line="53" w:lineRule="exact"/>
        <w:rPr>
          <w:rFonts w:ascii="Times New Roman" w:cs="Times New Roman" w:eastAsia="Times New Roman" w:hAnsi="Times New Roman"/>
          <w:sz w:val="18"/>
          <w:szCs w:val="18"/>
          <w:color w:val="auto"/>
        </w:rPr>
      </w:pPr>
    </w:p>
    <w:p>
      <w:pPr>
        <w:ind w:left="420" w:right="140" w:firstLine="419"/>
        <w:spacing w:after="0" w:line="261" w:lineRule="auto"/>
        <w:tabs>
          <w:tab w:leader="none" w:pos="127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deliver to the Agents, on or prior to the date of execution of this Agreement, a properly completed and executed Certification Regarding Beneficial Owners of Legal Entity Customers or applicable exemption certificate (the “FinCEN Certification”), together with copies of identifying documentation, of the Company and the Company undertakes to provide such additional supporting documentation as Agent may reasonably request in connection with the verification of the FinCEN Certification.</w:t>
      </w:r>
    </w:p>
    <w:p>
      <w:pPr>
        <w:spacing w:after="0" w:line="180" w:lineRule="exact"/>
        <w:rPr>
          <w:sz w:val="20"/>
          <w:szCs w:val="20"/>
          <w:color w:val="auto"/>
        </w:rPr>
      </w:pPr>
    </w:p>
    <w:p>
      <w:pPr>
        <w:ind w:left="-20" w:firstLine="987"/>
        <w:spacing w:after="0" w:line="256" w:lineRule="auto"/>
        <w:tabs>
          <w:tab w:leader="none" w:pos="122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Agents agree that they shall not include any “issuer information” (as defined in Rule 433 under the Securities Act) in any “free writing prospectus” (as defined in Rule 405 under the Securities Act) used or referred to by the Agents in connection with the offering or sale of the Stock without the prior consent of the Company (any such issuer information with respect to whose use the Company has given its consent, “</w:t>
      </w:r>
      <w:r>
        <w:rPr>
          <w:rFonts w:ascii="Times New Roman" w:cs="Times New Roman" w:eastAsia="Times New Roman" w:hAnsi="Times New Roman"/>
          <w:sz w:val="18"/>
          <w:szCs w:val="18"/>
          <w:b w:val="1"/>
          <w:bCs w:val="1"/>
          <w:i w:val="1"/>
          <w:iCs w:val="1"/>
          <w:color w:val="auto"/>
        </w:rPr>
        <w:t>Permitted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Issuer Information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(i) no such consent shall be required with respect to any such issuer information contained in any document filed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with the Commission prior to the use of such free writing prospectus, and (ii) “issuer information,” as used in this Section 3(b), shall not be deemed to include information prepared by or on behalf of the Agents on the basis of or derived from issuer information.</w:t>
      </w:r>
    </w:p>
    <w:p>
      <w:pPr>
        <w:spacing w:after="0" w:line="185" w:lineRule="exact"/>
        <w:rPr>
          <w:sz w:val="20"/>
          <w:szCs w:val="20"/>
          <w:color w:val="auto"/>
        </w:rPr>
      </w:pPr>
    </w:p>
    <w:p>
      <w:pPr>
        <w:ind w:left="-20" w:right="20" w:firstLine="987"/>
        <w:spacing w:after="0" w:line="261" w:lineRule="auto"/>
        <w:tabs>
          <w:tab w:leader="none" w:pos="115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(a) The Company agrees, whether or not the transactions contemplated by this Agreement are consummated or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is terminated, to pay all costs, expenses, fees and taxes incident to and in connection with (i) the authorization, issuance, sale and delivery of the Stock and any stamp duties or other taxes payable in that connection, and the preparation and printing of certificates for the Stock; (ii) the preparation, printing and filing under the Securities Act of the Registration Statement (including any exhibits thereto), the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60"/>
          </w:cols>
          <w:pgMar w:left="460" w:top="270" w:right="479" w:bottom="1440" w:gutter="0" w:footer="0" w:header="0"/>
        </w:sectPr>
      </w:pPr>
    </w:p>
    <w:bookmarkStart w:id="31" w:name="page32"/>
    <w:bookmarkEnd w:id="31"/>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Prospectus, any Issuer Free Writing Prospectus, any Written Testing-the-Waters Communication, and any amendment or supplement thereto; (iii) the distribution of the Registration Statement (including any exhibits thereto), the Prospectus, any Issuer Free Writing Prospectus, any Written Testing-the-Waters Communication, and any amendment or supplement thereto, or any document incorporated by reference therein, all as provided in this Agreement; (iv) the production and distribution of this Agreement, and any other related documents in connection with the offering, purchase, sale and delivery of the Stock; (v) any required review by FINRA of the terms of sale of the Stock (including related fees and expenses of counsel to the Agents in an amount that is not greater than $15,000); (vi) the listing of the Stock on the Exchange and/or any other exchange; (vii) the qualification of the Stock under the securities laws of the several jurisdictions as provided in Section 3(a)(x) and the preparation, printing and distribution of a Blue Sky Memorandum (including related fees and expenses of counsel to the Agents); (viii) the preparation, printing and distribution of one or more versions of the Prospectus for distribution in Canada, often in the form of a Canadian “wrapper” (including related fees and expenses of Canadian counsel to the Agents); (ix) the reasonable fees and disbursements of the Company’s counsel and of the Company’s accountants; (x) the reasonable and documented fees and expenses of the Agents including but not limited to the fees and expenses of counsel to the Agents, payable upon the execution of this Agreement, (a) in an amount not to exceed $125,000 in connection with the execution of this Agreement, (b) in an amount not to exceed $25,000 per calendar quarter thereafter payable in connection with each Company Periodic Report Date, and (c) in an amount not to exceed $25,000 for each program “refresh” (filing of a new registration statement, prospectus or prospectus supplement relating to the Stock and/or an amendment of this Agreement) and (xi) all other costs and expenses incident to the performance of the obligations of the Company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as provided in this Section 4 and Section 6, the Agents shall pay their own costs and expenses.</w:t>
      </w:r>
    </w:p>
    <w:p>
      <w:pPr>
        <w:spacing w:after="0" w:line="87" w:lineRule="exact"/>
        <w:rPr>
          <w:sz w:val="20"/>
          <w:szCs w:val="20"/>
          <w:color w:val="auto"/>
        </w:rPr>
      </w:pPr>
    </w:p>
    <w:p>
      <w:pPr>
        <w:jc w:val="both"/>
        <w:ind w:left="440" w:right="100" w:firstLine="419"/>
        <w:spacing w:after="0" w:line="266" w:lineRule="auto"/>
        <w:tabs>
          <w:tab w:leader="none" w:pos="111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Agreement is terminated by the Company prior to June 2, 2027 in accordance with the provisions of Section 7 hereof and shares of Stock with an aggregate offering price of $25,000,000 have not been offered and sold under this Agreement, the Company shall reimburse the Agents for all of their out-of-pocket expenses incurred by them connection with this Agreement and the transactions contemplated hereby.</w:t>
      </w:r>
    </w:p>
    <w:p>
      <w:pPr>
        <w:spacing w:after="0" w:line="173" w:lineRule="exact"/>
        <w:rPr>
          <w:rFonts w:ascii="Times New Roman" w:cs="Times New Roman" w:eastAsia="Times New Roman" w:hAnsi="Times New Roman"/>
          <w:sz w:val="18"/>
          <w:szCs w:val="18"/>
          <w:color w:val="auto"/>
        </w:rPr>
      </w:pPr>
    </w:p>
    <w:p>
      <w:pPr>
        <w:ind w:firstLine="987"/>
        <w:spacing w:after="0" w:line="261" w:lineRule="auto"/>
        <w:tabs>
          <w:tab w:leader="none" w:pos="117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of Agents’ Obligations</w:t>
      </w:r>
      <w:r>
        <w:rPr>
          <w:rFonts w:ascii="Times New Roman" w:cs="Times New Roman" w:eastAsia="Times New Roman" w:hAnsi="Times New Roman"/>
          <w:sz w:val="18"/>
          <w:szCs w:val="18"/>
          <w:color w:val="auto"/>
        </w:rPr>
        <w:t>. The obligations of the Agents hereunder are subject to the accuracy, when made and on the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 each Registration Statement Amendment Date, each Company Periodic Report Date, each Applicable Time and each Delivery Date, of the representations and warranties of the Company contained herein, to the performance by the Company of its obligations hereunder, and to each of the following additional terms and conditions:</w:t>
      </w:r>
    </w:p>
    <w:p>
      <w:pPr>
        <w:spacing w:after="0" w:line="74" w:lineRule="exact"/>
        <w:rPr>
          <w:sz w:val="20"/>
          <w:szCs w:val="20"/>
          <w:color w:val="auto"/>
        </w:rPr>
      </w:pPr>
    </w:p>
    <w:p>
      <w:pPr>
        <w:ind w:left="440" w:right="120" w:firstLine="419"/>
        <w:spacing w:after="0" w:line="258" w:lineRule="auto"/>
        <w:tabs>
          <w:tab w:leader="none" w:pos="110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Supplement shall have been timely filed with the Commission pursuant to Rule 424(b) under the Securities Act on or prior to the date hereof and the Company shall have complied with all other requirements applicable to the Prospectus or any supplement thereto under Rule 424(b) (without giving effect to Rule 424(b)(8)). The Company shall have complied with all filing requirements applicable to any Issuer Free Writing Prospectus used or referred to after the date hereof. No stop order suspending the effectiveness of the Registration Statement or preventing or suspending the use of the Prospectus or any Issuer Free Writing Prospectus shall have been issued and no</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60"/>
          </w:cols>
          <w:pgMar w:left="440" w:top="270" w:right="499" w:bottom="1440" w:gutter="0" w:footer="0" w:header="0"/>
        </w:sectPr>
      </w:pPr>
    </w:p>
    <w:bookmarkStart w:id="32" w:name="page33"/>
    <w:bookmarkEnd w:id="32"/>
    <w:p>
      <w:pPr>
        <w:ind w:right="2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proceeding or examination for such purpose shall have been initiated or threatened by the Commission; and any request of the Commission for inclusion of additional information in the Registration Statement or the Prospectus or otherwise shall have been complied with; and the Commission shall not have notified the Company of any objection to the use of the form of the Registration Statement or any post-effective amendment thereto.</w:t>
      </w:r>
    </w:p>
    <w:p>
      <w:pPr>
        <w:spacing w:after="0" w:line="72" w:lineRule="exact"/>
        <w:rPr>
          <w:sz w:val="20"/>
          <w:szCs w:val="20"/>
          <w:color w:val="auto"/>
        </w:rPr>
      </w:pPr>
    </w:p>
    <w:p>
      <w:pPr>
        <w:ind w:right="160" w:firstLine="419"/>
        <w:spacing w:after="0" w:line="261" w:lineRule="auto"/>
        <w:tabs>
          <w:tab w:leader="none" w:pos="67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Agents shall not have discovered and disclosed to the Company that the Registration Statement, the Prospectus or the Pricing Disclosure Package, or any amendment or supplement thereto, contains an untrue statement of a fact which, in the opinion of counsel for the Agents, is material or omits to state a fact which, in the opinion of such counsel, is material and is required to be stated therein or is necessary to make the statements therein not misleading.</w:t>
      </w:r>
    </w:p>
    <w:p>
      <w:pPr>
        <w:spacing w:after="0" w:line="71" w:lineRule="exact"/>
        <w:rPr>
          <w:rFonts w:ascii="Times New Roman" w:cs="Times New Roman" w:eastAsia="Times New Roman" w:hAnsi="Times New Roman"/>
          <w:sz w:val="18"/>
          <w:szCs w:val="18"/>
          <w:color w:val="auto"/>
        </w:rPr>
      </w:pPr>
    </w:p>
    <w:p>
      <w:pPr>
        <w:jc w:val="both"/>
        <w:ind w:right="180" w:firstLine="419"/>
        <w:spacing w:after="0" w:line="261" w:lineRule="auto"/>
        <w:tabs>
          <w:tab w:leader="none" w:pos="66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corporate proceedings and other legal matters incident to the authorization, form and validity of this Agreement, the Stock, the Registration Statement, the Prospectus and any Issuer Free Writing Prospectus, and all other legal matters relating to this Agreement and the transactions contemplated hereby shall be reasonably satisfactory in all material respects to counsel for the Agents, and the Company shall have furnished to such counsel all documents and information that they may reasonably request to enable them to pass upon such matters.</w:t>
      </w:r>
    </w:p>
    <w:p>
      <w:pPr>
        <w:spacing w:after="0" w:line="71" w:lineRule="exact"/>
        <w:rPr>
          <w:rFonts w:ascii="Times New Roman" w:cs="Times New Roman" w:eastAsia="Times New Roman" w:hAnsi="Times New Roman"/>
          <w:sz w:val="18"/>
          <w:szCs w:val="18"/>
          <w:color w:val="auto"/>
        </w:rPr>
      </w:pPr>
    </w:p>
    <w:p>
      <w:pPr>
        <w:ind w:firstLine="419"/>
        <w:spacing w:after="0" w:line="266" w:lineRule="auto"/>
        <w:tabs>
          <w:tab w:leader="none" w:pos="67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Simpson Thacher &amp; Bartlett LLP, counsel to the Company, or such other counsel reasonably satisfactory to the Agents, shall have furnished to the Agents its written opinion and negative assurance letter, addressed to the Agents and delivered and dated on each date specified in Section 3(a)(xiv) hereof, in form and substance reasonably satisfactory to the Agents.</w:t>
      </w:r>
    </w:p>
    <w:p>
      <w:pPr>
        <w:spacing w:after="0" w:line="67" w:lineRule="exact"/>
        <w:rPr>
          <w:rFonts w:ascii="Times New Roman" w:cs="Times New Roman" w:eastAsia="Times New Roman" w:hAnsi="Times New Roman"/>
          <w:sz w:val="18"/>
          <w:szCs w:val="18"/>
          <w:color w:val="auto"/>
        </w:rPr>
      </w:pPr>
    </w:p>
    <w:p>
      <w:pPr>
        <w:ind w:right="20" w:firstLine="419"/>
        <w:spacing w:after="0" w:line="258" w:lineRule="auto"/>
        <w:tabs>
          <w:tab w:leader="none" w:pos="66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Agents shall have received from DLA Piper LLP (US), counsel for the Agents, or such other counsel reasonably satisfactory to the Agents, such opinion and negative assurance letter, and delivered and dated on each date specified in Section 3(a)(xiv) hereof, with respect to the issuance and sale of the Stock, the Registration Statement, the Prospectus and the Pricing Disclosure Package and other related matters as the Agents may reasonably require, and the Company shall have furnished to such counsel such documents as they reasonably request for the purpose of enabling them to pass upon such matters.</w:t>
      </w:r>
    </w:p>
    <w:p>
      <w:pPr>
        <w:spacing w:after="0" w:line="75" w:lineRule="exact"/>
        <w:rPr>
          <w:rFonts w:ascii="Times New Roman" w:cs="Times New Roman" w:eastAsia="Times New Roman" w:hAnsi="Times New Roman"/>
          <w:sz w:val="18"/>
          <w:szCs w:val="18"/>
          <w:color w:val="auto"/>
        </w:rPr>
      </w:pPr>
    </w:p>
    <w:p>
      <w:pPr>
        <w:ind w:right="180" w:firstLine="419"/>
        <w:spacing w:after="0" w:line="254" w:lineRule="auto"/>
        <w:tabs>
          <w:tab w:leader="none" w:pos="64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dates specified in Section 3(a)(xv) hereof, the Agents shall have received from Grant Thornton LLP (and any other independent accountants whose report is included or incorporated by reference in the Registration Statement and the Pricing Disclosure Package) a letter, in form and substance satisfactory to the Agents, addressed to the Agents and dated the date of delivery thereof (i) confirming that they are independent public accountants within the meaning of the Securities Act and are in compliance with the applicable requirements relating to the qualification of accountants under Rule 2-01 of Regulation S-X of the Commission, and (ii) stating, as of the date of the date of delivery thereof (or, with respect to matters involving changes or developments since the respective dates as of which specified financial information is given in the Registration Statement and the Pricing Disclosure Package, as of a date not more than three days prior to the date of delivery thereof), the conclusions and findings of such firm with respect to the financial information and other matters ordinarily covered by accountants’ “comfort letters” in connection with registered public offerings.</w:t>
      </w:r>
    </w:p>
    <w:p>
      <w:pPr>
        <w:spacing w:after="0" w:line="1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540"/>
          </w:cols>
          <w:pgMar w:left="880" w:top="270" w:right="479" w:bottom="1440" w:gutter="0" w:footer="0" w:header="0"/>
        </w:sectPr>
      </w:pPr>
    </w:p>
    <w:bookmarkStart w:id="33" w:name="page34"/>
    <w:bookmarkEnd w:id="33"/>
    <w:p>
      <w:pPr>
        <w:ind w:firstLine="419"/>
        <w:spacing w:after="0" w:line="255" w:lineRule="auto"/>
        <w:tabs>
          <w:tab w:leader="none" w:pos="67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Upon commencement of the offering of Stock under this Agreement, the Company shall have furnished to the Agents a certificate of an officer in a form satisfactory to the Agents stating the minimum price for the sale of such Stock pursuant to this Agreement and the maximum number of shares of Stock that may be issued and sold pursuant to this Agreement or, alternatively, maximum gross proceeds from such sales, as authorized from time to time by the Company’s board of directors or a duly authorized committee thereof or, in connection with any amendment, revision or modification of such minimum price or maximum share number or amount, a new certificate with respect thereto, and (ii) on each date specified in Section 3(a)(xiii), the Company shall have furnished to the Agents a certificate, dated such date, of its Chief Executive Officer and its Chief Financial Officer as to such matters as the Agents may reasonably request, including, without limitation, a statement:</w:t>
      </w:r>
    </w:p>
    <w:p>
      <w:pPr>
        <w:spacing w:after="0" w:line="80" w:lineRule="exact"/>
        <w:rPr>
          <w:rFonts w:ascii="Times New Roman" w:cs="Times New Roman" w:eastAsia="Times New Roman" w:hAnsi="Times New Roman"/>
          <w:sz w:val="18"/>
          <w:szCs w:val="18"/>
          <w:color w:val="auto"/>
        </w:rPr>
      </w:pPr>
    </w:p>
    <w:p>
      <w:pPr>
        <w:jc w:val="both"/>
        <w:ind w:left="540" w:right="20" w:firstLine="408"/>
        <w:spacing w:after="0" w:line="266" w:lineRule="auto"/>
        <w:tabs>
          <w:tab w:leader="none" w:pos="1236"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representations, warranties and agreements of the Company in Section 1 are true and correct on and as of the applicable date specified in Section 3(a)(xiii), and the Company has complied with all its agreements contained herein and satisfied all the conditions on its part to be performed or satisfied hereunder at or prior to such applicable date;</w:t>
      </w:r>
    </w:p>
    <w:p>
      <w:pPr>
        <w:spacing w:after="0" w:line="67" w:lineRule="exact"/>
        <w:rPr>
          <w:rFonts w:ascii="Times New Roman" w:cs="Times New Roman" w:eastAsia="Times New Roman" w:hAnsi="Times New Roman"/>
          <w:sz w:val="18"/>
          <w:szCs w:val="18"/>
          <w:color w:val="auto"/>
        </w:rPr>
      </w:pPr>
    </w:p>
    <w:p>
      <w:pPr>
        <w:ind w:left="540" w:right="200" w:firstLine="408"/>
        <w:spacing w:after="0" w:line="266" w:lineRule="auto"/>
        <w:tabs>
          <w:tab w:leader="none" w:pos="1226"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stop order suspending the effectiveness of the Registration Statement has been issued; and no proceedings or examination for that purpose have been instituted or, to the knowledge of such officers, threatened and the Commission has not notified the Company of any objection to the use of the form of the Registration Statement or any post-effective amendment thereto;</w:t>
      </w:r>
    </w:p>
    <w:p>
      <w:pPr>
        <w:spacing w:after="0" w:line="67"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they have examined the Registration Statement, the Prospectus and the Pricing Disclosure Package, and, in their opinion,</w:t>
      </w:r>
    </w:p>
    <w:p>
      <w:pPr>
        <w:spacing w:after="0" w:line="27" w:lineRule="exact"/>
        <w:rPr>
          <w:rFonts w:ascii="Times New Roman" w:cs="Times New Roman" w:eastAsia="Times New Roman" w:hAnsi="Times New Roman"/>
          <w:sz w:val="18"/>
          <w:szCs w:val="18"/>
          <w:color w:val="auto"/>
        </w:rPr>
      </w:pPr>
    </w:p>
    <w:p>
      <w:pPr>
        <w:ind w:left="540" w:right="200" w:firstLine="7"/>
        <w:spacing w:after="0" w:line="252" w:lineRule="auto"/>
        <w:tabs>
          <w:tab w:leader="none" w:pos="79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the Registration Statement, as of each Effective Date, (y) the Prospectus, as of its date and on the applicable date specified in Section 3(a)(xiii), and (z) the Pricing Disclosure Package, as of each Applicable Time and as of the applicable date specified in Section 3(a)(xiii), did not and do not contain any untrue statement of a material fact and did not and do not omit to state a material fact required to be stated therein or necessary to make the statements therein (except in the case of the Registration Statement, in the light of the circumstances under which they were made) not misleading, and (2) no event has occurred that should have been set forth in a supplement or amendment to the Registration Statement, the Prospectus or any Issuer Free Writing Prospectus that has not been so set forth; and</w:t>
      </w:r>
    </w:p>
    <w:p>
      <w:pPr>
        <w:spacing w:after="0" w:line="78"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effect of Section 5(h)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representation with respect to the judgment of the Agents need be made).</w:t>
      </w:r>
    </w:p>
    <w:p>
      <w:pPr>
        <w:spacing w:after="0" w:line="16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520"/>
          </w:cols>
          <w:pgMar w:left="880" w:top="270" w:right="499" w:bottom="1440" w:gutter="0" w:footer="0" w:header="0"/>
        </w:sectPr>
      </w:pPr>
    </w:p>
    <w:bookmarkStart w:id="34" w:name="page35"/>
    <w:bookmarkEnd w:id="34"/>
    <w:p>
      <w:pPr>
        <w:ind w:left="440" w:firstLine="419"/>
        <w:spacing w:after="0" w:line="254" w:lineRule="auto"/>
        <w:tabs>
          <w:tab w:leader="none" w:pos="111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neither the Company nor any of its subsidiaries shall have sustained, since the date of the latest audited financial statements included or incorporated by reference in the Registration Statement and the Pricing Disclosure Package, any loss or interference with its business from fire, explosion, flood or other calamity, whether or not covered by insurance, or from any labor dispute or court or governmental action, order or decree, and (ii) since such date there shall not have been any change in the capital stock or long-term debt of the Company or any of its subsidiaries or any change, or any development involving a prospective change, in or affecting the condition (financial or otherwise), results of operations, stockholders’ equity, properties, management, business or prospects of the Company and its subsidiaries taken as a whole, the effect of which, in any such case described in clause (i) or (ii), is, individually or in the aggregate, in the judgment of the Agents, so material and adverse as to make it impracticable or inadvisable to proceed with the offering or sale of the Stock on the terms and in the manner contemplated in the Prospectus.</w:t>
      </w:r>
    </w:p>
    <w:p>
      <w:pPr>
        <w:spacing w:after="0" w:line="80" w:lineRule="exact"/>
        <w:rPr>
          <w:rFonts w:ascii="Times New Roman" w:cs="Times New Roman" w:eastAsia="Times New Roman" w:hAnsi="Times New Roman"/>
          <w:sz w:val="18"/>
          <w:szCs w:val="18"/>
          <w:color w:val="auto"/>
        </w:rPr>
      </w:pPr>
    </w:p>
    <w:p>
      <w:pPr>
        <w:ind w:left="440" w:right="20" w:firstLine="419"/>
        <w:spacing w:after="0" w:line="253" w:lineRule="auto"/>
        <w:tabs>
          <w:tab w:leader="none" w:pos="107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execution and delivery of this Agreement there shall not have occurred any of the following: (i) (A) trading in securities generally on any securities exchange that has registered with the Commission under Section 6 of the Exchange Act (including the New York Stock Exchange, The Nasdaq Global Select Market, The Nasdaq Global Market or The Nasdaq Capital Market), or (B) trading in any securities of the Company on any exchange or in the over-the-counter market, shall have been suspended or materially limited or the settlement of such trading generally shall have been materially disrupted or minimum prices shall have been established on any such exchange or such market by the Commission, by such exchange or by any other regulatory body or governmental authority having jurisdiction, (ii) a general moratorium on commercial banking activities shall have been declared by federal or state authorities, (iii) the United States shall have become engaged in hostilities, there shall have been an escalation in hostilities involving the United States or there shall have been a declaration of a national emergency or war by the United States, or (iv) there shall have occurred such a material adverse change in general economic, political or financial conditions, including, without limitation, as a result of terrorist activities after the date hereof (or the effect of international conditions on the financial markets in the United States shall be such) or any other calamity or crisis, either within or outside the United States, in each case as to make it, in the judgment of the Agents, impracticable or inadvisable to proceed with the offering or sale of the Stock being delivered on such Delivery Date on the terms and in the manner contemplated in the Prospectus.</w:t>
      </w:r>
    </w:p>
    <w:p>
      <w:pPr>
        <w:spacing w:after="0" w:line="79"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shall have approved the Stock for listing, subject only to official notice of issuance.</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1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each Delivery Date, the Company shall have furnished to the Agents such further certificates and documents as the Agents may reasonably request.</w:t>
      </w:r>
    </w:p>
    <w:p>
      <w:pPr>
        <w:spacing w:after="0" w:line="162"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All opinions, letters, evidence and certificates mentioned above or elsewhere in this Agreement shall be deemed to be in compliance with the provisions hereof only if they are in form and substance reasonably satisfactory to counsel for the Agents.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35" w:name="page36"/>
    <w:bookmarkEnd w:id="35"/>
    <w:p>
      <w:pPr>
        <w:ind w:left="724" w:hanging="173"/>
        <w:spacing w:after="0"/>
        <w:tabs>
          <w:tab w:leader="none" w:pos="724"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Indemnification and Contribution.</w:t>
      </w:r>
    </w:p>
    <w:p>
      <w:pPr>
        <w:spacing w:after="0" w:line="119" w:lineRule="exact"/>
        <w:rPr>
          <w:rFonts w:ascii="Times New Roman" w:cs="Times New Roman" w:eastAsia="Times New Roman" w:hAnsi="Times New Roman"/>
          <w:sz w:val="18"/>
          <w:szCs w:val="18"/>
          <w:color w:val="auto"/>
        </w:rPr>
      </w:pPr>
    </w:p>
    <w:p>
      <w:pPr>
        <w:ind w:left="4" w:right="20" w:firstLine="419"/>
        <w:spacing w:after="0" w:line="268" w:lineRule="auto"/>
        <w:tabs>
          <w:tab w:leader="none" w:pos="671"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hereby agrees to indemnify and hold harmless the Agents, their respective affiliates, directors, officers and employees and each person, if any, who controls any Agent within the meaning of Section 15 of the Securities Act or Section 20 of the Exchange Act, from and against any loss, claim, damage or liability, joint or several, or any action in respect thereof (including, but not limited to, any loss, claim, damage, liability or action relating to purchases and sales of Stock), to which any Agent or any of their respective affiliates, directors, officers, employees or controlling persons may become subject, under the Securities Act or otherwise, insofar as such loss, claim, damage, liability or action arises out of, or is based upon, (i) any untrue statement or alleged untrue statement of a material fact contained in (A) the Registration Statement, the Prospectus or in any amendment or supplement thereto, (B) any Issuer Free Writing Prospectus or in any amendment or supplement thereto,</w:t>
      </w:r>
    </w:p>
    <w:p>
      <w:pPr>
        <w:spacing w:after="0" w:line="2" w:lineRule="exact"/>
        <w:rPr>
          <w:rFonts w:ascii="Times New Roman" w:cs="Times New Roman" w:eastAsia="Times New Roman" w:hAnsi="Times New Roman"/>
          <w:sz w:val="17"/>
          <w:szCs w:val="17"/>
          <w:color w:val="auto"/>
        </w:rPr>
      </w:pPr>
    </w:p>
    <w:p>
      <w:pPr>
        <w:ind w:left="4" w:hanging="4"/>
        <w:spacing w:after="0" w:line="251" w:lineRule="auto"/>
        <w:tabs>
          <w:tab w:leader="none" w:pos="28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Permitted Issuer Information used or referred to in any “free writing prospectus” (as defined in Rule 405 under the Securities Act) used or referred to by the Agents, (D) any materials or information provided to investors by, or with the approval of, the Company in connection with the marketing of the offering of the Stock, including any “road show” (as defined in Rule 433 under the Securities Act) not constituting an Issuer Free Writing Prospectus (“</w:t>
      </w:r>
      <w:r>
        <w:rPr>
          <w:rFonts w:ascii="Times New Roman" w:cs="Times New Roman" w:eastAsia="Times New Roman" w:hAnsi="Times New Roman"/>
          <w:sz w:val="18"/>
          <w:szCs w:val="18"/>
          <w:b w:val="1"/>
          <w:bCs w:val="1"/>
          <w:i w:val="1"/>
          <w:iCs w:val="1"/>
          <w:color w:val="auto"/>
        </w:rPr>
        <w:t>Marketing Materials</w:t>
      </w:r>
      <w:r>
        <w:rPr>
          <w:rFonts w:ascii="Times New Roman" w:cs="Times New Roman" w:eastAsia="Times New Roman" w:hAnsi="Times New Roman"/>
          <w:sz w:val="18"/>
          <w:szCs w:val="18"/>
          <w:color w:val="auto"/>
        </w:rPr>
        <w:t xml:space="preserve">”) or (E) any Blue Sky application or other document prepared or executed by the Company (or based upon any written information furnished by the Company for use therein) specifically for the purpose of qualifying any or all of the Stock under the securities laws of any state or other jurisdiction (any such application, document or information being hereinafter called a </w:t>
      </w:r>
      <w:r>
        <w:rPr>
          <w:rFonts w:ascii="Times New Roman" w:cs="Times New Roman" w:eastAsia="Times New Roman" w:hAnsi="Times New Roman"/>
          <w:sz w:val="18"/>
          <w:szCs w:val="18"/>
          <w:b w:val="1"/>
          <w:bCs w:val="1"/>
          <w:i w:val="1"/>
          <w:iCs w:val="1"/>
          <w:color w:val="auto"/>
        </w:rPr>
        <w:t>“Blue Sky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Application”</w:t>
      </w:r>
      <w:r>
        <w:rPr>
          <w:rFonts w:ascii="Times New Roman" w:cs="Times New Roman" w:eastAsia="Times New Roman" w:hAnsi="Times New Roman"/>
          <w:sz w:val="18"/>
          <w:szCs w:val="18"/>
          <w:color w:val="auto"/>
        </w:rPr>
        <w:t>), or (ii) the omission or alleged omission to state in the Registration Statement, the Prospectus, any Issuer Free Writing Prospectus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 any amendment or supplement thereto or in any Permitted Issuer Information, any Marketing Materials or any Blue Sky Application, any material fact required to be stated therein or necessary to make the statements therein not misleading, and shall reimburse the Agents and each such affiliate, director, officer, employee or controlling person promptly upon demand for any legal or other expenses reasonably incurred by the Agents or that affiliate, director, officer, employee or controlling person in connection with investigating or defending or preparing to defend against any such loss, claim, damage, liability or action as such expenses are incurred;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liable in any such case to the extent that any such loss, claim, damage, liability or action arises out of, or is based upon, any untrue statement or alleged untrue statement or omission or alleged omission made in the Registration Statement, the Prospectus, any Issuer Free Writing Prospectus or in any such amendment or supplement thereto or in any Permitted Issuer Information, any Marketing Materials or any Blue Sky Application, in reliance upon and in conformity with written information concerning the Agents furnished to the Company by the Agents specifically for inclusion therein, which information consists solely of the information specified in Section 6(e). The foregoing indemnity agreement is in addition to any liability which the Company may otherwise have to the Agents or to any affiliate, director, officer, employee or controlling person of any Agent.</w:t>
      </w:r>
    </w:p>
    <w:p>
      <w:pPr>
        <w:spacing w:after="0" w:line="12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564"/>
          </w:cols>
          <w:pgMar w:left="876" w:top="268" w:right="459" w:bottom="1440" w:gutter="0" w:footer="0" w:header="0"/>
        </w:sectPr>
      </w:pPr>
    </w:p>
    <w:bookmarkStart w:id="36" w:name="page37"/>
    <w:bookmarkEnd w:id="36"/>
    <w:p>
      <w:pPr>
        <w:ind w:left="4" w:right="20" w:firstLine="419"/>
        <w:spacing w:after="0" w:line="253" w:lineRule="auto"/>
        <w:tabs>
          <w:tab w:leader="none" w:pos="681"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Agent, severally and not jointly, shall indemnify and hold harmless the Company, its directors and officers who signed the Registration Statement, and each person, if any, who controls the Company within the meaning of Section 15 of the Securities Act or Section 20 of the Exchange Act, from and against any loss, claim, damage or liability, joint or several, or any action in respect thereof, to which the Company or any such director, officer or controlling person may become subject, under the Securities Act or otherwise, insofar as such loss, claim, damage, liability or action arises out of, or is based upon, (i) any untrue statement or alleged untrue statement of a material fact contained in the Registration Statement, the Prospectus, any Issuer Free Writing Prospectus or in any amendment or supplement thereto or in any Marketing Materials or Blue Sky Application, or (ii) the omission or alleged omission to state in the Registration Statement, the Prospectus, any Issuer Free Writing Prospectus or in any amendment or supplement thereto or in any Marketing Materials or Blue Sky Application, any material fact required to be stated therein or necessary to make the statements therein not misleading, but in each case only to the extent that the untrue statement or alleged untrue statement or omission or alleged omission was made in reliance upon and in conformity with written information concerning the Agents furnished to the Company by the Agents specifically for inclusion therein, which information is limited to the information set forth in Section 6(e). The foregoing indemnity agreement is in addition to any liability that the Agents may otherwise have to the Company, or any such director, officer or controlling person.</w:t>
      </w:r>
    </w:p>
    <w:p>
      <w:pPr>
        <w:spacing w:after="0" w:line="79" w:lineRule="exact"/>
        <w:rPr>
          <w:rFonts w:ascii="Times New Roman" w:cs="Times New Roman" w:eastAsia="Times New Roman" w:hAnsi="Times New Roman"/>
          <w:sz w:val="18"/>
          <w:szCs w:val="18"/>
          <w:color w:val="auto"/>
        </w:rPr>
      </w:pPr>
    </w:p>
    <w:p>
      <w:pPr>
        <w:ind w:left="4" w:firstLine="419"/>
        <w:spacing w:after="0" w:line="251" w:lineRule="auto"/>
        <w:tabs>
          <w:tab w:leader="none" w:pos="671"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indemnified party under this Section 6 of notice of any claim or the commencement of any action, the indemnified party shall, if a claim in respect thereof is to be made against the indemnifying party under this Section 6, notify the indemnifying party in writing of the claim or the commencement of that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failure to notify the indemnifying party shall not relieve it from any liability which it may have under this Section 6 except to the extent it has been materially prejudiced (through the forfeiture of substantive rights and defenses) by such failure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the failure to notify the indemnifying party shall not relieve it from any liability which it may have to an indemnified party otherwise than under this Section 6. If any such claim or action shall be brought against an indemnified party, and it shall notify the indemnifying party thereof, the indemnifying party shall be entitled to participate therein and, to the extent that it wishes, jointly with any other similarly notified indemnifying party, to assume the defense thereof with counsel reasonably satisfactory to the indemnified party. After notice from the indemnifying party to the indemnified party of its election to assume the defense of such claim or action, the indemnifying party shall not be liable to the indemnified party under this Section 6 for any legal or other expenses subsequently incurred by the indemnified party in connection with the defense thereof other than reasonable costs of investigation;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indemnified party shall have the right to employ counsel to represent jointly the indemnified party and those other indemnified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parties and their respective directors, officers, employees (as applicable) and controlling persons who may be subject to liability arising out of any claim in respect of which indemnity may be sought under this Section 6 if (i) the indemnified party and the indemnifying party shall have so mutually agreed; (ii) the indemnifying party has failed within a reasonable time to retain counsel reasonably satisfactory to the indemnified party;</w:t>
      </w:r>
    </w:p>
    <w:p>
      <w:pPr>
        <w:spacing w:after="0" w:line="11" w:lineRule="exact"/>
        <w:rPr>
          <w:rFonts w:ascii="Times New Roman" w:cs="Times New Roman" w:eastAsia="Times New Roman" w:hAnsi="Times New Roman"/>
          <w:sz w:val="18"/>
          <w:szCs w:val="18"/>
          <w:color w:val="auto"/>
        </w:rPr>
      </w:pPr>
    </w:p>
    <w:p>
      <w:pPr>
        <w:ind w:left="4" w:hanging="4"/>
        <w:spacing w:after="0" w:line="255" w:lineRule="auto"/>
        <w:tabs>
          <w:tab w:leader="none" w:pos="31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indemnified party and its directors, officers, employees (as applicable) and controlling persons shall have reasonably concluded that there may be legal defenses available to them that are different from or in addition to those available to the indemnifying party; or (iv) the named parties in any such proceeding (including any impleaded parties) include both the indemnified parties or their respective</w:t>
      </w:r>
    </w:p>
    <w:p>
      <w:pPr>
        <w:spacing w:after="0" w:line="11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564"/>
          </w:cols>
          <w:pgMar w:left="876" w:top="270" w:right="459" w:bottom="1440" w:gutter="0" w:footer="0" w:header="0"/>
        </w:sectPr>
      </w:pPr>
    </w:p>
    <w:bookmarkStart w:id="37" w:name="page38"/>
    <w:bookmarkEnd w:id="37"/>
    <w:p>
      <w:pPr>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directors, officers, employees (as applicable) or controlling persons, on the one hand, and the indemnifying party, on the other hand, and representation of both sets of parties by the same counsel would be inappropriate due to actual or potential differing interests between them, and in any such event the fees and expenses of such separate counsel shall be paid by the indemnifying party. No indemnifying party shall (x)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 statement as to, or an admission of fault, culpability or a failure to act by or on behalf of any indemnified party, or (y) be liable for any settlement of any such action effected without its written consent (which consent shall not be unreasonably withheld),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Section 6(a) hereof,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or disputed in good faith the indemnified party’s entitlement to such reimbursement prior to the date of such settlement.</w:t>
      </w:r>
    </w:p>
    <w:p>
      <w:pPr>
        <w:spacing w:after="0" w:line="290" w:lineRule="exact"/>
        <w:rPr>
          <w:sz w:val="20"/>
          <w:szCs w:val="20"/>
          <w:color w:val="auto"/>
        </w:rPr>
      </w:pPr>
    </w:p>
    <w:p>
      <w:pPr>
        <w:ind w:right="20" w:firstLine="419"/>
        <w:spacing w:after="0" w:line="253" w:lineRule="auto"/>
        <w:tabs>
          <w:tab w:leader="none" w:pos="67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for in this Section 6 shall for any reason be unavailable to or insufficient to hold harmless an indemnified party under Section 6(a) or 6(b) in respect of any loss, claim, damage or liability, or any action in respect thereof, referred to therein, then each indemnifying party shall, in lieu of indemnifying such indemnified party, contribute to the amount paid or payable by such indemnified party as a result of such loss, claim, damage or liability, or action in respect thereof, (i) in such proportion as shall be appropriate to reflect the relative benefits received by the Company, on the one hand, and the Agents on the other hand, from the offering of the Stock or (ii) if the allocation provided by clause (i) above is not permitted by applicable law, in such proportion as is appropriate to reflect not only the relative benefits referred to in clause (i) above but also the relative fault of the Company, on the one hand, and the Agents, on the other hand, with respect to the statements or omissions that resulted in such loss, claim, damage or liability, or action in respect thereof, as well as any other relevant equitable considerations. The relative benefits received by the Company, on the one hand, and the Agents, on the other hand, with respect to such offering shall be deemed to be in the same proportion as the total Net Proceeds from the offering of the Stock purchased under this Agreement (before deducting expenses) received by the Company, on the one hand, and the total commissions received by the Agents under this Agreement, on the other hand. The relative fault shall be determined by reference to whether the untrue or alleged untrue statement of a material fact or omission or alleged omission to state a material fact relates</w:t>
      </w:r>
    </w:p>
    <w:p>
      <w:pPr>
        <w:spacing w:after="0" w:line="12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580"/>
          </w:cols>
          <w:pgMar w:left="880" w:top="270" w:right="439" w:bottom="1440" w:gutter="0" w:footer="0" w:header="0"/>
        </w:sectPr>
      </w:pPr>
    </w:p>
    <w:bookmarkStart w:id="38" w:name="page39"/>
    <w:bookmarkEnd w:id="38"/>
    <w:p>
      <w:pPr>
        <w:ind w:left="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information supplied by the Company or the Agents, the intent of the parties and their relative knowledge, access to information and opportunity to correct or prevent such statement or omission. The Company and the Agents agree that it would not be just and equitable if contributions pursuant to this Section 6(d) were to be determined by pro rata allocation or by any other method of allocation that does not take into account the equitable considerations referred to herein. The amount paid or payable by an indemnified party as a result of the loss, claim, damage or liability, or action in respect thereof, referred to above in this Section 6(d) shall be deemed to include, for purposes of this Section 6(d), any legal or other expenses reasonably incurred by such indemnified party in connection with investigating or defending any such action or claim. Notwithstanding the provisions of this Section 6(d), no Agent shall be required to contribute any amount in excess of the total discounts and commissions received by such Agent with respect to the offering of Stock under the Agreement. The Agents’ obligations to contribute pursuant to this Section 6 are several in proportion to their respective commissions and not joint. No person guilty of fraudulent misrepresentation (within the meaning of Section 11(f) of the Securities Act) shall be entitled to contribution from any person who was not guilty of such fraudulent misrepresentation.</w:t>
      </w:r>
    </w:p>
    <w:p>
      <w:pPr>
        <w:spacing w:after="0" w:line="84" w:lineRule="exact"/>
        <w:rPr>
          <w:sz w:val="20"/>
          <w:szCs w:val="20"/>
          <w:color w:val="auto"/>
        </w:rPr>
      </w:pPr>
    </w:p>
    <w:p>
      <w:pPr>
        <w:jc w:val="both"/>
        <w:ind w:left="440" w:right="220" w:firstLine="419"/>
        <w:spacing w:after="0" w:line="261" w:lineRule="auto"/>
        <w:tabs>
          <w:tab w:leader="none" w:pos="110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Agents confirm and the Company acknowledges and agrees that the statements included in the last sentence of the first paragraph and paragraphs 11 and 12 under the caption “Plan of Distribution” in the Prospectus are correct and constitute the only information furnished in writing to the Company by or on behalf of the Agents specifically for inclusion in the Registration Statement, the Prospectus, the Pricing Disclosure Package, any Issuer Free Writing Prospectus or in any amendment or supplement thereto or in any Marketing Materials.</w:t>
      </w:r>
    </w:p>
    <w:p>
      <w:pPr>
        <w:spacing w:after="0" w:line="177" w:lineRule="exact"/>
        <w:rPr>
          <w:rFonts w:ascii="Times New Roman" w:cs="Times New Roman" w:eastAsia="Times New Roman" w:hAnsi="Times New Roman"/>
          <w:sz w:val="18"/>
          <w:szCs w:val="18"/>
          <w:color w:val="auto"/>
        </w:rPr>
      </w:pPr>
    </w:p>
    <w:p>
      <w:pPr>
        <w:ind w:right="60" w:firstLine="987"/>
        <w:spacing w:after="0" w:line="258" w:lineRule="auto"/>
        <w:tabs>
          <w:tab w:leader="none" w:pos="117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w:t>
      </w:r>
      <w:r>
        <w:rPr>
          <w:rFonts w:ascii="Times New Roman" w:cs="Times New Roman" w:eastAsia="Times New Roman" w:hAnsi="Times New Roman"/>
          <w:sz w:val="18"/>
          <w:szCs w:val="18"/>
          <w:color w:val="auto"/>
        </w:rPr>
        <w:t>The Company shall have the right, by giving written notice as hereinafter specified, to terminate this Agreement in its sole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discretion at any time. Any such termination shall be without liability of any party to any other party except that with respect to any pending sale to or through the Agents for the Company, the obligations of the Company, including in respect of compensation of the Agents, shall remain in full force and effect notwithstanding such termination and the provisions of Sections 1, 4, 6, 7, 8, 9, 10, 11, 12, 14 and 15 of this Agreement shall remain in full force and effect notwithstanding such termination.</w:t>
      </w:r>
    </w:p>
    <w:p>
      <w:pPr>
        <w:spacing w:after="0" w:line="77" w:lineRule="exact"/>
        <w:rPr>
          <w:sz w:val="20"/>
          <w:szCs w:val="20"/>
          <w:color w:val="auto"/>
        </w:rPr>
      </w:pPr>
    </w:p>
    <w:p>
      <w:pPr>
        <w:ind w:left="440" w:right="180" w:firstLine="419"/>
        <w:spacing w:after="0" w:line="266" w:lineRule="auto"/>
        <w:tabs>
          <w:tab w:leader="none" w:pos="110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Agents shall have the right, by giving written notice as hereinafter specified, to terminate this Agreement in their sole discretion at any time. Any such termination shall be without liability of any party to any other party except that the provisions of Section 1, Section 4, Section 6, and Section 12 of this Agreement shall remain in full force and effect notwithstanding such termination.</w:t>
      </w:r>
    </w:p>
    <w:p>
      <w:pPr>
        <w:spacing w:after="0" w:line="67" w:lineRule="exact"/>
        <w:rPr>
          <w:rFonts w:ascii="Times New Roman" w:cs="Times New Roman" w:eastAsia="Times New Roman" w:hAnsi="Times New Roman"/>
          <w:sz w:val="18"/>
          <w:szCs w:val="18"/>
          <w:color w:val="auto"/>
        </w:rPr>
      </w:pPr>
    </w:p>
    <w:p>
      <w:pPr>
        <w:ind w:left="440" w:right="360" w:firstLine="419"/>
        <w:spacing w:after="0" w:line="266" w:lineRule="auto"/>
        <w:tabs>
          <w:tab w:leader="none" w:pos="111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remain in full force and effect unless terminated pursuant to Section 7(a) or (b) above or otherwise by mutual agreement of the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termination by mutual agreement or pursuant to this clause (c) shall in all cases be deemed to provide that Section 1, Section 4, Section 6, and Section 7 of this Agreement shall remain in full force and effect.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39" w:name="page40"/>
    <w:bookmarkEnd w:id="39"/>
    <w:p>
      <w:pPr>
        <w:ind w:left="440" w:right="160" w:firstLine="419"/>
        <w:spacing w:after="0" w:line="261" w:lineRule="auto"/>
        <w:tabs>
          <w:tab w:leader="none" w:pos="110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termination of this Agreement shall be effective on the date specified in such notice of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termination shall not be effective until the close of business on the date of receipt of such notice by the Agents or the Company, as the case may be. If such termination shall occur prior to the Delivery Date for any sale of Stock, such sale shall settle in accordance with the provisions of Section 2(i) hereof.</w:t>
      </w:r>
    </w:p>
    <w:p>
      <w:pPr>
        <w:spacing w:after="0" w:line="179" w:lineRule="exact"/>
        <w:rPr>
          <w:rFonts w:ascii="Times New Roman" w:cs="Times New Roman" w:eastAsia="Times New Roman" w:hAnsi="Times New Roman"/>
          <w:sz w:val="18"/>
          <w:szCs w:val="18"/>
          <w:color w:val="auto"/>
        </w:rPr>
      </w:pPr>
    </w:p>
    <w:p>
      <w:pPr>
        <w:ind w:firstLine="987"/>
        <w:spacing w:after="0" w:line="254" w:lineRule="auto"/>
        <w:tabs>
          <w:tab w:leader="none" w:pos="117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Research Analyst Independence. </w:t>
      </w:r>
      <w:r>
        <w:rPr>
          <w:rFonts w:ascii="Times New Roman" w:cs="Times New Roman" w:eastAsia="Times New Roman" w:hAnsi="Times New Roman"/>
          <w:sz w:val="18"/>
          <w:szCs w:val="18"/>
          <w:color w:val="auto"/>
        </w:rPr>
        <w:t>The Company acknowledges that the Agents’ respective research analysts and research departments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required to be independent from their respective investment banking divisions and are subject to certain regulations and internal policies, and that the Agents’ research analysts may hold views and make statements or investment recommendations and/or publish research reports with respect to the Company and/or the offering that differ from the views of the Agents’ investment banking divisions. The Company hereby waives and releases, to the fullest extent permitted by law, any claims that the Company may have against the Agents with respect to any conflict of interest that may arise from the fact that the views expressed by their independent research analysts and research departments may be different from or inconsistent with the views or advice communicated to the Company by the Agents’ investment banking divisions. The Company acknowledges that the Agents are each full service securities firms and as such from time to time, subject to applicable securities laws, may effect transactions for their own accounts or the accounts of their customers and hold long or short positions in debt or equity securities of the companies that may be the subject of the transactions contemplated by this Agreement.</w:t>
      </w:r>
    </w:p>
    <w:p>
      <w:pPr>
        <w:spacing w:after="0" w:line="185" w:lineRule="exact"/>
        <w:rPr>
          <w:rFonts w:ascii="Times New Roman" w:cs="Times New Roman" w:eastAsia="Times New Roman" w:hAnsi="Times New Roman"/>
          <w:sz w:val="18"/>
          <w:szCs w:val="18"/>
          <w:color w:val="auto"/>
        </w:rPr>
      </w:pPr>
    </w:p>
    <w:p>
      <w:pPr>
        <w:ind w:firstLine="987"/>
        <w:spacing w:after="0" w:line="253" w:lineRule="auto"/>
        <w:tabs>
          <w:tab w:leader="none" w:pos="117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Fiduciary Duty</w:t>
      </w:r>
      <w:r>
        <w:rPr>
          <w:rFonts w:ascii="Times New Roman" w:cs="Times New Roman" w:eastAsia="Times New Roman" w:hAnsi="Times New Roman"/>
          <w:sz w:val="18"/>
          <w:szCs w:val="18"/>
          <w:color w:val="auto"/>
        </w:rPr>
        <w:t>. The Company acknowledges and agrees that in connection with this offering, sale of the Stock or any other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Agents may be deemed to be providing hereunder, notwithstanding any preexisting relationship, advisory or otherwise, between the parties or any oral representations or assurances previously or subsequently made by the Agents: (a) no fiduciary or agency relationship between the Company and any other person, on the one hand, and the Agents, on the other hand, exists; (b) the Agents are not acting as an advisor, expert or otherwise providing a recommendation or investment advice, to the Company, including, without limitation, with respect to the determination of the terms of the offering of the Stock, and such relationship between the Company, on the one hand, and the Agents, on the other hand, is entirely and solely commercial, based on arms-length negotiations and, as such, not intended for use by any individual for personal, family or household purposes; (c) any duties and obligations that the Agents may have to the Company shall be limited to those duties and obligations specifically stated herein; (d) the Agents and their respective affiliates may have interests that differ from those of the Company; and (e) does not constitute a solicitation of any action by the Agents. The Company hereby (x) waives any claims that the Company may have against the Agents with respect to any breach of fiduciary duty in connection with this offering and (y) agrees that none of the activities of the Agents in connection with the transactions contemplated herein constitutes a recommendation, investment advice or solicitation of any action by the Agents with respect to any entity or natural person. The Company has consulted its own legal, accounting, financial, regulatory and tax advisors to the extent deemed appropriate.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68" w:right="459" w:bottom="1440" w:gutter="0" w:footer="0" w:header="0"/>
        </w:sectPr>
      </w:pPr>
    </w:p>
    <w:bookmarkStart w:id="40" w:name="page41"/>
    <w:bookmarkEnd w:id="40"/>
    <w:p>
      <w:pPr>
        <w:ind w:left="1260" w:hanging="273"/>
        <w:spacing w:after="0"/>
        <w:tabs>
          <w:tab w:leader="none" w:pos="12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Notices, etc. </w:t>
      </w:r>
      <w:r>
        <w:rPr>
          <w:rFonts w:ascii="Times New Roman" w:cs="Times New Roman" w:eastAsia="Times New Roman" w:hAnsi="Times New Roman"/>
          <w:sz w:val="18"/>
          <w:szCs w:val="18"/>
          <w:color w:val="auto"/>
        </w:rPr>
        <w:t>All statements, requests, notices and agreements hereunder shall be in writing, and:</w:t>
      </w:r>
    </w:p>
    <w:p>
      <w:pPr>
        <w:spacing w:after="0" w:line="119" w:lineRule="exact"/>
        <w:rPr>
          <w:rFonts w:ascii="Times New Roman" w:cs="Times New Roman" w:eastAsia="Times New Roman" w:hAnsi="Times New Roman"/>
          <w:sz w:val="18"/>
          <w:szCs w:val="18"/>
          <w:color w:val="auto"/>
        </w:rPr>
      </w:pPr>
    </w:p>
    <w:p>
      <w:pPr>
        <w:ind w:left="440" w:firstLine="419"/>
        <w:spacing w:after="0" w:line="258" w:lineRule="auto"/>
        <w:tabs>
          <w:tab w:leader="none" w:pos="110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Agents, shall be delivered or sent by mail or facsimile transmission to Barclays Capital Inc., 745 Seventh Avenue, New York, New York 10019, Attention: Syndicate Registration (Fax: (646) 834-8133), with a copy, in the case of any notice pursuant to Section 6(c), to the Director of Litigation, Office of the General Counsel, Barclays Capital Inc., 745 Seventh Avenue, New York, New York 10019, and a copy, which shall not constitute notice, to DLA Piper LLP (US), 1251 Avenue of the Americas, 27th Floor, New York, NY 10020, Attention: Stephen P. Alicanti, E-mail: [email]</w:t>
      </w:r>
    </w:p>
    <w:p>
      <w:pPr>
        <w:spacing w:after="0" w:line="75"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shall be delivered or sent by mail or facsimile transmission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Intuitive Machines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13467 Columbia Shuttle Street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Houston, Texas 77059</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Stephen Altemus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[email]</w:t>
      </w:r>
    </w:p>
    <w:p>
      <w:pPr>
        <w:spacing w:after="0" w:line="99" w:lineRule="exact"/>
        <w:rPr>
          <w:sz w:val="20"/>
          <w:szCs w:val="20"/>
          <w:color w:val="auto"/>
        </w:rPr>
      </w:pPr>
    </w:p>
    <w:p>
      <w:pPr>
        <w:jc w:val="center"/>
        <w:ind w:right="6620"/>
        <w:spacing w:after="0"/>
        <w:rPr>
          <w:sz w:val="20"/>
          <w:szCs w:val="20"/>
          <w:color w:val="auto"/>
        </w:rPr>
      </w:pPr>
      <w:r>
        <w:rPr>
          <w:rFonts w:ascii="Times New Roman" w:cs="Times New Roman" w:eastAsia="Times New Roman" w:hAnsi="Times New Roman"/>
          <w:sz w:val="18"/>
          <w:szCs w:val="18"/>
          <w:color w:val="auto"/>
        </w:rPr>
        <w:t>and a copy, which shall not constitute notice,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900 G Street NW</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Washington, D.C. 20001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William R. Golden III</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[email] and</w:t>
      </w:r>
    </w:p>
    <w:p>
      <w:pPr>
        <w:spacing w:after="0" w:line="20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Any such statements, requests, notices or agreements shall take effect at the time of receipt thereof. The Company shall be entitled to act and rely upon any request, consent, notice or agreement given or made by Barclays Capital Inc.</w:t>
      </w:r>
    </w:p>
    <w:p>
      <w:pPr>
        <w:spacing w:after="0" w:line="160" w:lineRule="exact"/>
        <w:rPr>
          <w:sz w:val="20"/>
          <w:szCs w:val="20"/>
          <w:color w:val="auto"/>
        </w:rPr>
      </w:pPr>
    </w:p>
    <w:p>
      <w:pPr>
        <w:ind w:right="100" w:firstLine="987"/>
        <w:spacing w:after="0" w:line="254" w:lineRule="auto"/>
        <w:tabs>
          <w:tab w:leader="none" w:pos="125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Persons Entitled to Benefit of Agreement</w:t>
      </w:r>
      <w:r>
        <w:rPr>
          <w:rFonts w:ascii="Times New Roman" w:cs="Times New Roman" w:eastAsia="Times New Roman" w:hAnsi="Times New Roman"/>
          <w:sz w:val="18"/>
          <w:szCs w:val="18"/>
          <w:color w:val="auto"/>
        </w:rPr>
        <w:t>. This Agreement shall inure to the benefit of and be binding upon the Agents,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their respective successors. This Agreement and the terms and provisions hereof are for the sole benefit of only those persons, except that (a) the representations, warranties, indemnities and agreements of the Company contained in this Agreement shall also be deemed to be for the benefit of the directors, officers and employees of the Agents and each person or persons, if any, who control any Agent within the meaning of Section 15 of the Securities Act or Section 20 of the Exchange Act, and (b) the indemnity agreement of the Agents contained in Section 6(b) of this Agreement shall be deemed to be for the benefit of the directors of the Company, the officers of the Company who have signed the Registration Statement and any person controlling the Company within the meaning of Section 15 of the Securities Act or Section 20 of the Exchange Act. Nothing in this Agreement is intended or shall be construed to give any person, other than the persons referred to in this Section 11, any legal or equitable right, remedy or claim under or in respect of this Agreement or any provision contained herein.</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60"/>
          </w:cols>
          <w:pgMar w:left="440" w:top="268" w:right="499" w:bottom="1440" w:gutter="0" w:footer="0" w:header="0"/>
        </w:sectPr>
      </w:pPr>
    </w:p>
    <w:bookmarkStart w:id="41" w:name="page42"/>
    <w:bookmarkEnd w:id="41"/>
    <w:p>
      <w:pPr>
        <w:ind w:firstLine="987"/>
        <w:spacing w:after="0" w:line="261" w:lineRule="auto"/>
        <w:tabs>
          <w:tab w:leader="none" w:pos="126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Survival. </w:t>
      </w:r>
      <w:r>
        <w:rPr>
          <w:rFonts w:ascii="Times New Roman" w:cs="Times New Roman" w:eastAsia="Times New Roman" w:hAnsi="Times New Roman"/>
          <w:sz w:val="18"/>
          <w:szCs w:val="18"/>
          <w:color w:val="auto"/>
        </w:rPr>
        <w:t>The respective indemnities, rights of contributions, representations, warranties and agreements of the Company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Agents contained in this Agreement or made by or on behalf of them, respectively, pursuant to this Agreement, shall survive the delivery of and payment for the Stock and shall remain in full force and effect, regardless of any investigation made by or on behalf of any of them or any person controlling any of them.</w:t>
      </w:r>
    </w:p>
    <w:p>
      <w:pPr>
        <w:spacing w:after="0" w:line="179" w:lineRule="exact"/>
        <w:rPr>
          <w:rFonts w:ascii="Times New Roman" w:cs="Times New Roman" w:eastAsia="Times New Roman" w:hAnsi="Times New Roman"/>
          <w:sz w:val="18"/>
          <w:szCs w:val="18"/>
          <w:color w:val="auto"/>
        </w:rPr>
      </w:pPr>
    </w:p>
    <w:p>
      <w:pPr>
        <w:jc w:val="both"/>
        <w:ind w:right="120" w:firstLine="987"/>
        <w:spacing w:after="0" w:line="267" w:lineRule="auto"/>
        <w:tabs>
          <w:tab w:leader="none" w:pos="126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Definition of the Terms “Business Day, “Affiliate” and “Subsidiary”</w:t>
      </w:r>
      <w:r>
        <w:rPr>
          <w:rFonts w:ascii="Times New Roman" w:cs="Times New Roman" w:eastAsia="Times New Roman" w:hAnsi="Times New Roman"/>
          <w:sz w:val="18"/>
          <w:szCs w:val="18"/>
          <w:color w:val="auto"/>
        </w:rPr>
        <w:t>. For purposes of this Agreement, (a) “business day” means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Monday, Tuesday, Wednesday, Thursday or Friday that is not a day on which banking institutions in New York are generally authorized or obligated by law or executive order to close, and (b) “affiliate” and “subsidiary” have the meanings set forth in Rule 405 under the Securities Act.</w:t>
      </w:r>
    </w:p>
    <w:p>
      <w:pPr>
        <w:spacing w:after="0" w:line="171" w:lineRule="exact"/>
        <w:rPr>
          <w:rFonts w:ascii="Times New Roman" w:cs="Times New Roman" w:eastAsia="Times New Roman" w:hAnsi="Times New Roman"/>
          <w:sz w:val="18"/>
          <w:szCs w:val="18"/>
          <w:color w:val="auto"/>
        </w:rPr>
      </w:pPr>
    </w:p>
    <w:p>
      <w:pPr>
        <w:ind w:right="80" w:firstLine="987"/>
        <w:spacing w:after="0" w:line="268" w:lineRule="auto"/>
        <w:tabs>
          <w:tab w:leader="none" w:pos="126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This Agreement and any transaction contemplated by this Agreement shall be governed by and construed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accordance with the laws of the State of New York without regard to conflict of laws principles that would result in the application of any other law than the laws of the State of New York (other than Section 5-1401 of the General Obligations Law).</w:t>
      </w:r>
    </w:p>
    <w:p>
      <w:pPr>
        <w:spacing w:after="0" w:line="172" w:lineRule="exact"/>
        <w:rPr>
          <w:rFonts w:ascii="Times New Roman" w:cs="Times New Roman" w:eastAsia="Times New Roman" w:hAnsi="Times New Roman"/>
          <w:sz w:val="18"/>
          <w:szCs w:val="18"/>
          <w:color w:val="auto"/>
        </w:rPr>
      </w:pPr>
    </w:p>
    <w:p>
      <w:pPr>
        <w:ind w:right="40" w:firstLine="987"/>
        <w:spacing w:after="0" w:line="284" w:lineRule="auto"/>
        <w:tabs>
          <w:tab w:leader="none" w:pos="126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The Company and the Agents hereby irrevocably waive, to the fullest extent permitted by applicable law, any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right to trial by jury in any legal proceeding arising out of or relating to this Agreement or the transactions contemplated hereby.</w:t>
      </w:r>
    </w:p>
    <w:p>
      <w:pPr>
        <w:spacing w:after="0" w:line="158" w:lineRule="exact"/>
        <w:rPr>
          <w:rFonts w:ascii="Times New Roman" w:cs="Times New Roman" w:eastAsia="Times New Roman" w:hAnsi="Times New Roman"/>
          <w:sz w:val="18"/>
          <w:szCs w:val="18"/>
          <w:color w:val="auto"/>
        </w:rPr>
      </w:pPr>
    </w:p>
    <w:p>
      <w:pPr>
        <w:ind w:right="40" w:firstLine="987"/>
        <w:spacing w:after="0" w:line="254" w:lineRule="auto"/>
        <w:tabs>
          <w:tab w:leader="none" w:pos="126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This Agreement may be executed in one or more counterparts and, if executed in more than one counterpart,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executed counterparts shall each be deemed to be an original but all such counterparts shall together constitute one and the same instrument, and may be delivered by facsimile transmission or by electronic delivery of a portable document format (PDF) file. Delivery of an executed Agreement by one party to any other party may be made by facsimile, electronic mail (including any electronic signature complying with covered by the U.S. federal ESIGN Act of 2000, Uniform Electronic Transactions Act, the New York Electronic Signatures and Records Act (N.Y. State Tech. §§ 301-309), as amended from time to time, or other applicable law, e.g., www.docusign.com) or other transmission method, and the parties hereto agree that any counterpart so delivered shall be deemed to have been duly and validly delivered and be valid and effective for all purposes. This Agreement may not be amended or modified unless in writing by all of the parties hereto, and no condition herein (express or implied) may be waived unless waived in writing by each party whom the condition is meant to benefit.</w:t>
      </w:r>
    </w:p>
    <w:p>
      <w:pPr>
        <w:spacing w:after="0" w:line="188" w:lineRule="exact"/>
        <w:rPr>
          <w:rFonts w:ascii="Times New Roman" w:cs="Times New Roman" w:eastAsia="Times New Roman" w:hAnsi="Times New Roman"/>
          <w:sz w:val="18"/>
          <w:szCs w:val="18"/>
          <w:color w:val="auto"/>
        </w:rPr>
      </w:pPr>
    </w:p>
    <w:p>
      <w:pPr>
        <w:ind w:right="600" w:firstLine="987"/>
        <w:spacing w:after="0" w:line="284" w:lineRule="auto"/>
        <w:tabs>
          <w:tab w:leader="none" w:pos="126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Headings. </w:t>
      </w:r>
      <w:r>
        <w:rPr>
          <w:rFonts w:ascii="Times New Roman" w:cs="Times New Roman" w:eastAsia="Times New Roman" w:hAnsi="Times New Roman"/>
          <w:sz w:val="18"/>
          <w:szCs w:val="18"/>
          <w:color w:val="auto"/>
        </w:rPr>
        <w:t>The headings herein are inserted for convenience of reference only and are not intended to be part of, or to affect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meaning or interpretation of, this Agreement.</w:t>
      </w:r>
    </w:p>
    <w:p>
      <w:pPr>
        <w:spacing w:after="0" w:line="158" w:lineRule="exact"/>
        <w:rPr>
          <w:rFonts w:ascii="Times New Roman" w:cs="Times New Roman" w:eastAsia="Times New Roman" w:hAnsi="Times New Roman"/>
          <w:sz w:val="18"/>
          <w:szCs w:val="18"/>
          <w:color w:val="auto"/>
        </w:rPr>
      </w:pPr>
    </w:p>
    <w:p>
      <w:pPr>
        <w:ind w:right="140" w:firstLine="987"/>
        <w:spacing w:after="0" w:line="261" w:lineRule="auto"/>
        <w:tabs>
          <w:tab w:leader="none" w:pos="126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Recognition of the U.S. Special Resolution Regimes</w:t>
      </w:r>
      <w:r>
        <w:rPr>
          <w:rFonts w:ascii="Times New Roman" w:cs="Times New Roman" w:eastAsia="Times New Roman" w:hAnsi="Times New Roman"/>
          <w:sz w:val="18"/>
          <w:szCs w:val="18"/>
          <w:color w:val="auto"/>
        </w:rPr>
        <w:t>. (a) In the event that any Agent that is a Covered Entity becomes subject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 under a U.S. Special Resolution Regime, the transfer from such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20"/>
          </w:cols>
          <w:pgMar w:left="440" w:top="268" w:right="439" w:bottom="1440" w:gutter="0" w:footer="0" w:header="0"/>
        </w:sectPr>
      </w:pPr>
    </w:p>
    <w:bookmarkStart w:id="42" w:name="page43"/>
    <w:bookmarkEnd w:id="42"/>
    <w:p>
      <w:pPr>
        <w:ind w:left="4" w:hanging="4"/>
        <w:spacing w:after="0" w:line="261" w:lineRule="auto"/>
        <w:tabs>
          <w:tab w:leader="none" w:pos="25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that any Agent that is a Covered Entity or a BHC Act Affiliate of such Agent becomes subject to a proceeding under a U.S. Special Resolution Regime, Default Rights under this Agreement that may be exercised against such Agent are permitted to be exercised to no greater extent than such Default Rights could be exercised under the U.S. Special Resolution Regime if this Agreement were governed by the laws of the United States or a state of the United States.</w:t>
      </w:r>
    </w:p>
    <w:p>
      <w:pPr>
        <w:spacing w:after="0" w:line="176"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For purposes of this Section 17, a “</w:t>
      </w:r>
      <w:r>
        <w:rPr>
          <w:rFonts w:ascii="Times New Roman" w:cs="Times New Roman" w:eastAsia="Times New Roman" w:hAnsi="Times New Roman"/>
          <w:sz w:val="18"/>
          <w:szCs w:val="18"/>
          <w:b w:val="1"/>
          <w:bCs w:val="1"/>
          <w:i w:val="1"/>
          <w:i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w:t>
      </w:r>
      <w:r>
        <w:rPr>
          <w:rFonts w:ascii="Times New Roman" w:cs="Times New Roman" w:eastAsia="Times New Roman" w:hAnsi="Times New Roman"/>
          <w:sz w:val="18"/>
          <w:szCs w:val="18"/>
          <w:b w:val="1"/>
          <w:bCs w:val="1"/>
          <w:i w:val="1"/>
          <w:iCs w:val="1"/>
          <w:color w:val="auto"/>
        </w:rPr>
        <w:t>Covered Entity</w:t>
      </w:r>
      <w:r>
        <w:rPr>
          <w:rFonts w:ascii="Times New Roman" w:cs="Times New Roman" w:eastAsia="Times New Roman" w:hAnsi="Times New Roman"/>
          <w:sz w:val="18"/>
          <w:szCs w:val="18"/>
          <w:color w:val="auto"/>
        </w:rPr>
        <w:t xml:space="preserve">”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w:t>
      </w:r>
      <w:r>
        <w:rPr>
          <w:rFonts w:ascii="Times New Roman" w:cs="Times New Roman" w:eastAsia="Times New Roman" w:hAnsi="Times New Roman"/>
          <w:sz w:val="18"/>
          <w:szCs w:val="18"/>
          <w:b w:val="1"/>
          <w:bCs w:val="1"/>
          <w:i w:val="1"/>
          <w:i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8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4"/>
          </w:cols>
          <w:pgMar w:left="436" w:top="270" w:right="459" w:bottom="1440" w:gutter="0" w:footer="0" w:header="0"/>
        </w:sectPr>
      </w:pPr>
    </w:p>
    <w:bookmarkStart w:id="43" w:name="page44"/>
    <w:bookmarkEnd w:id="43"/>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correctly sets forth the agreement between the Company and the Agents, please indicate your acceptance in the space provided for that purpose below.</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INTUITIVE MACHINES,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Stephen Altemus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Stephen Altemus</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 and President</w:t>
      </w:r>
    </w:p>
    <w:p>
      <w:pPr>
        <w:spacing w:after="0" w:line="13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600"/>
          </w:cols>
          <w:pgMar w:left="440" w:top="270" w:right="8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BARCLAYS CAPITAL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Jamie Turturici</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Jamie Turturici</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 Head of TMT ECM</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CANTOR FITZGERALD &amp; CO.</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Sameer Vasudev</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Sameer Vasudev</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 RILEY SECURITIES, INC.</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R John Stack III</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R John Stack III</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Senior Managing Director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CANACCORD GENUITY LLC</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Jennifer Pardi</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Jennifer Pardi</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CLEAR STREET LLC</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Ryan Gerety</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Ryan Gerety</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30"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019"/>
          </w:cols>
          <w:pgMar w:left="440" w:top="270"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CRAIG-HALLUM CAPITAL GROUP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Rick Hartfiel</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Rick Hartfiel</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Head of Investment Banking</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DEUTSCHE BANK SECURITIES INC.</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Stephane Gruffat</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Stephane Gruffat</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 Equity Capital Markets</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Natasha Hossain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Natasha Hossain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KEYBANC CAPITAL MARKETS INC.</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Mark Barath</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Mark Barath</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 ECM</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ROTH CAPITAL PARTNERS, LLC</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Aaron M. Gurewitz</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Aaron M. Gurewitz</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Co-Chief Executive Officer and Head of Investment</w:t>
            </w:r>
          </w:p>
        </w:tc>
      </w:tr>
      <w:tr>
        <w:trPr>
          <w:trHeight w:val="234"/>
        </w:trPr>
        <w:tc>
          <w:tcPr>
            <w:tcW w:w="560" w:type="dxa"/>
            <w:vAlign w:val="bottom"/>
          </w:tcPr>
          <w:p>
            <w:pPr>
              <w:spacing w:after="0"/>
              <w:rPr>
                <w:sz w:val="20"/>
                <w:szCs w:val="20"/>
                <w:color w:val="auto"/>
              </w:rPr>
            </w:pP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Banking</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STIFEL, NICOLAUS &amp; COMPANY, INCORPORATED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Lewis Chia</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Lewis Chia</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30"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019"/>
          </w:cols>
          <w:pgMar w:left="440" w:top="266" w:right="1440"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 xml:space="preserve">Simpson Thacher &amp; Bartlett </w:t>
      </w:r>
      <w:r>
        <w:rPr>
          <w:rFonts w:ascii="Times New Roman" w:cs="Times New Roman" w:eastAsia="Times New Roman" w:hAnsi="Times New Roman"/>
          <w:sz w:val="14"/>
          <w:szCs w:val="14"/>
          <w:b w:val="1"/>
          <w:bCs w:val="1"/>
          <w:color w:val="auto"/>
        </w:rPr>
        <w:t>LLP</w:t>
      </w:r>
    </w:p>
    <w:p>
      <w:pPr>
        <w:spacing w:after="0" w:line="12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900 G S</w:t>
      </w:r>
      <w:r>
        <w:rPr>
          <w:rFonts w:ascii="Times New Roman" w:cs="Times New Roman" w:eastAsia="Times New Roman" w:hAnsi="Times New Roman"/>
          <w:sz w:val="14"/>
          <w:szCs w:val="14"/>
          <w:color w:val="auto"/>
        </w:rPr>
        <w:t>TREET</w:t>
      </w:r>
      <w:r>
        <w:rPr>
          <w:rFonts w:ascii="Times New Roman" w:cs="Times New Roman" w:eastAsia="Times New Roman" w:hAnsi="Times New Roman"/>
          <w:sz w:val="18"/>
          <w:szCs w:val="18"/>
          <w:color w:val="auto"/>
        </w:rPr>
        <w:t>, NW</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4"/>
          <w:szCs w:val="14"/>
          <w:color w:val="auto"/>
        </w:rPr>
        <w:t>ASHINGTON</w:t>
      </w:r>
      <w:r>
        <w:rPr>
          <w:rFonts w:ascii="Times New Roman" w:cs="Times New Roman" w:eastAsia="Times New Roman" w:hAnsi="Times New Roman"/>
          <w:sz w:val="18"/>
          <w:szCs w:val="18"/>
          <w:color w:val="auto"/>
        </w:rPr>
        <w:t>, D.C. 20001</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-19050</wp:posOffset>
            </wp:positionV>
            <wp:extent cx="6858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9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color w:val="auto"/>
        </w:rPr>
        <w:t>TELEPHONE</w:t>
      </w:r>
      <w:r>
        <w:rPr>
          <w:rFonts w:ascii="Times New Roman" w:cs="Times New Roman" w:eastAsia="Times New Roman" w:hAnsi="Times New Roman"/>
          <w:sz w:val="17"/>
          <w:szCs w:val="17"/>
          <w:color w:val="auto"/>
        </w:rPr>
        <w:t>: +1-202-636-5500</w:t>
      </w:r>
    </w:p>
    <w:p>
      <w:pPr>
        <w:spacing w:after="0" w:line="3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5"/>
          <w:szCs w:val="15"/>
          <w:color w:val="auto"/>
        </w:rPr>
        <w:t>FACSIMILE</w:t>
      </w:r>
      <w:r>
        <w:rPr>
          <w:rFonts w:ascii="Times New Roman" w:cs="Times New Roman" w:eastAsia="Times New Roman" w:hAnsi="Times New Roman"/>
          <w:sz w:val="17"/>
          <w:szCs w:val="17"/>
          <w:color w:val="auto"/>
        </w:rPr>
        <w:t>: +1-202-636-5502</w:t>
      </w:r>
    </w:p>
    <w:p>
      <w:pPr>
        <w:spacing w:after="0" w:line="21" w:lineRule="exact"/>
        <w:rPr>
          <w:sz w:val="20"/>
          <w:szCs w:val="20"/>
          <w:color w:val="auto"/>
        </w:rPr>
      </w:pPr>
    </w:p>
    <w:p>
      <w:pPr>
        <w:spacing w:after="0"/>
        <w:tabs>
          <w:tab w:leader="none" w:pos="9860" w:val="left"/>
        </w:tabs>
        <w:rPr>
          <w:sz w:val="20"/>
          <w:szCs w:val="20"/>
          <w:color w:val="auto"/>
        </w:rPr>
      </w:pPr>
      <w:r>
        <w:rPr>
          <w:rFonts w:ascii="Times New Roman" w:cs="Times New Roman" w:eastAsia="Times New Roman" w:hAnsi="Times New Roman"/>
          <w:sz w:val="18"/>
          <w:szCs w:val="18"/>
          <w:color w:val="auto"/>
        </w:rPr>
        <w:t>Direct Dial Number</w:t>
      </w:r>
      <w:r>
        <w:rPr>
          <w:sz w:val="20"/>
          <w:szCs w:val="20"/>
          <w:color w:val="auto"/>
        </w:rPr>
        <w:tab/>
      </w:r>
      <w:r>
        <w:rPr>
          <w:rFonts w:ascii="Times New Roman" w:cs="Times New Roman" w:eastAsia="Times New Roman" w:hAnsi="Times New Roman"/>
          <w:sz w:val="18"/>
          <w:szCs w:val="18"/>
          <w:color w:val="auto"/>
        </w:rPr>
        <w:t>E-mail Address</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2,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Intuitive Machines,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13467 Columbia Shuttle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 77059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Addressee Stated Above:</w:t>
      </w:r>
    </w:p>
    <w:p>
      <w:pPr>
        <w:spacing w:after="0" w:line="11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We have acted as counsel to Intuitive Machines, Inc., a Delaware corporation (the “Company”), in connection with the Registration Statement on Form S-3 (the “Registration Statement”) filed by the Company with the Securities and Exchange Commission (the “Commission”) under the Securities Act of 1933, as amended (the “Act”), relating to the issuance by the Company from time to time of up to $500,000,000 aggregate initial offering price of shares of Class A common stock, par value $ 0.0001 per share (the “Shares”).</w:t>
      </w:r>
    </w:p>
    <w:p>
      <w:pPr>
        <w:spacing w:after="0" w:line="180"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We have examined the Registration Statement, the Sales Agreement, dated June 2, 2026 (the “Sales Agreement”) between the Company and the selling agents named therein, and the Certificate of Incorporation of the Company, which has been filed with the Commission as an exhibit to the Registration Statement. In addition, we have examined, and have relied as to matters of fact upon, originals, or duplicates or certified or conformed copies, of such records, agreements, documents and other instruments and such certificates or comparable documents of public officials and of officers and representatives of the Company and have made such other investigations as we have deemed relevant and necessary in connection with the opinions hereinafter set forth.</w:t>
      </w:r>
    </w:p>
    <w:p>
      <w:pPr>
        <w:spacing w:after="0" w:line="187"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In rendering the opinion set forth below, we have assumed the genuineness of all signatures, including electronic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w:t>
      </w:r>
    </w:p>
    <w:p>
      <w:pPr>
        <w:sectPr>
          <w:pgSz w:w="11900" w:h="16838" w:orient="portrait"/>
          <w:cols w:equalWidth="0" w:num="1">
            <w:col w:w="11020"/>
          </w:cols>
          <w:pgMar w:left="440" w:top="117" w:right="439" w:bottom="1440" w:gutter="0" w:footer="0" w:header="0"/>
        </w:sectPr>
      </w:pPr>
    </w:p>
    <w:bookmarkStart w:id="47" w:name="page48"/>
    <w:bookmarkEnd w:id="47"/>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Based upon the foregoing, and subject to the qualifications, assumptions and limitations stated herein, we are of the opinion that upon payment and delivery in accordance with the Sales Agreement, the Shares will be validly issued, fully paid and nonassessable.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do not express any opinion herein concerning any law other than the Delaware General Corporation Law.</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We hereby consent to the filing of this opinion letter as Exhibit 5.1 to the Registration Statement and to the use of our name under the caption </w:t>
      </w:r>
      <w:r>
        <w:rPr>
          <w:rFonts w:ascii="Times New Roman" w:cs="Times New Roman" w:eastAsia="Times New Roman" w:hAnsi="Times New Roman"/>
          <w:sz w:val="18"/>
          <w:szCs w:val="18"/>
          <w:i w:val="1"/>
          <w:iCs w:val="1"/>
          <w:color w:val="auto"/>
        </w:rPr>
        <w:t xml:space="preserve">“Legal Matters” </w:t>
      </w:r>
      <w:r>
        <w:rPr>
          <w:rFonts w:ascii="Times New Roman" w:cs="Times New Roman" w:eastAsia="Times New Roman" w:hAnsi="Times New Roman"/>
          <w:sz w:val="18"/>
          <w:szCs w:val="18"/>
          <w:color w:val="auto"/>
        </w:rPr>
        <w:t>in the prospectus included in the Registration Statement.</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Simpson Thacher &amp; Bartlett LLP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SIMPSON THACHER &amp; BARTLETT LLP</w:t>
      </w:r>
    </w:p>
    <w:sectPr>
      <w:pgSz w:w="11900" w:h="16838" w:orient="portrait"/>
      <w:cols w:equalWidth="0" w:num="1">
        <w:col w:w="10740"/>
      </w:cols>
      <w:pgMar w:left="440" w:top="270"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
      <w:numFmt w:val="bullet"/>
      <w:start w:val="1"/>
    </w:lvl>
  </w:abstractNum>
  <w:abstractNum w:abstractNumId="2">
    <w:nsid w:val="419AC241"/>
    <w:multiLevelType w:val="hybridMultilevel"/>
    <w:lvl w:ilvl="0">
      <w:lvlJc w:val="left"/>
      <w:lvlText w:val="%1."/>
      <w:numFmt w:val="decimal"/>
      <w:start w:val="1"/>
    </w:lvl>
  </w:abstractNum>
  <w:abstractNum w:abstractNumId="3">
    <w:nsid w:val="5577F8E1"/>
    <w:multiLevelType w:val="hybridMultilevel"/>
    <w:lvl w:ilvl="0">
      <w:lvlJc w:val="left"/>
      <w:lvlText w:val="(%1)"/>
      <w:numFmt w:val="lowerLetter"/>
      <w:start w:val="1"/>
    </w:lvl>
  </w:abstractNum>
  <w:abstractNum w:abstractNumId="4">
    <w:nsid w:val="440BADFC"/>
    <w:multiLevelType w:val="hybridMultilevel"/>
    <w:lvl w:ilvl="0">
      <w:lvlJc w:val="left"/>
      <w:lvlText w:val="(%1)"/>
      <w:numFmt w:val="lowerRoman"/>
      <w:start w:val="1"/>
    </w:lvl>
  </w:abstractNum>
  <w:abstractNum w:abstractNumId="5">
    <w:nsid w:val="5072367"/>
    <w:multiLevelType w:val="hybridMultilevel"/>
    <w:lvl w:ilvl="0">
      <w:lvlJc w:val="left"/>
      <w:lvlText w:val="(%1)"/>
      <w:numFmt w:val="lowerRoman"/>
      <w:start w:val="5"/>
    </w:lvl>
  </w:abstractNum>
  <w:abstractNum w:abstractNumId="6">
    <w:nsid w:val="3804823E"/>
    <w:multiLevelType w:val="hybridMultilevel"/>
    <w:lvl w:ilvl="0">
      <w:lvlJc w:val="left"/>
      <w:lvlText w:val="(%1)"/>
      <w:numFmt w:val="lowerLetter"/>
      <w:start w:val="2"/>
    </w:lvl>
  </w:abstractNum>
  <w:abstractNum w:abstractNumId="7">
    <w:nsid w:val="77465F01"/>
    <w:multiLevelType w:val="hybridMultilevel"/>
    <w:lvl w:ilvl="0">
      <w:lvlJc w:val="left"/>
      <w:lvlText w:val="(%1)"/>
      <w:numFmt w:val="lowerLetter"/>
      <w:start w:val="5"/>
    </w:lvl>
  </w:abstractNum>
  <w:abstractNum w:abstractNumId="8">
    <w:nsid w:val="7724C67E"/>
    <w:multiLevelType w:val="hybridMultilevel"/>
    <w:lvl w:ilvl="0">
      <w:lvlJc w:val="left"/>
      <w:lvlText w:val="(%1)"/>
      <w:numFmt w:val="lowerLetter"/>
      <w:start w:val="7"/>
    </w:lvl>
  </w:abstractNum>
  <w:abstractNum w:abstractNumId="9">
    <w:nsid w:val="5C482A97"/>
    <w:multiLevelType w:val="hybridMultilevel"/>
    <w:lvl w:ilvl="0">
      <w:lvlJc w:val="left"/>
      <w:lvlText w:val="(%1)"/>
      <w:numFmt w:val="lowerLetter"/>
      <w:start w:val="10"/>
    </w:lvl>
  </w:abstractNum>
  <w:abstractNum w:abstractNumId="10">
    <w:nsid w:val="2463B9EA"/>
    <w:multiLevelType w:val="hybridMultilevel"/>
    <w:lvl w:ilvl="0">
      <w:lvlJc w:val="left"/>
      <w:lvlText w:val="(%1)"/>
      <w:numFmt w:val="lowerLetter"/>
      <w:start w:val="14"/>
    </w:lvl>
  </w:abstractNum>
  <w:abstractNum w:abstractNumId="11">
    <w:nsid w:val="5E884ADC"/>
    <w:multiLevelType w:val="hybridMultilevel"/>
    <w:lvl w:ilvl="0">
      <w:lvlJc w:val="left"/>
      <w:lvlText w:val="(%1)"/>
      <w:numFmt w:val="lowerLetter"/>
      <w:start w:val="18"/>
    </w:lvl>
    <w:lvl w:ilvl="1">
      <w:lvlJc w:val="left"/>
      <w:lvlText w:val="(%2)"/>
      <w:numFmt w:val="lowerLetter"/>
      <w:start w:val="19"/>
    </w:lvl>
  </w:abstractNum>
  <w:abstractNum w:abstractNumId="12">
    <w:nsid w:val="51EAD36B"/>
    <w:multiLevelType w:val="hybridMultilevel"/>
    <w:lvl w:ilvl="0">
      <w:lvlJc w:val="left"/>
      <w:lvlText w:val="%1"/>
      <w:numFmt w:val="lowerRoman"/>
      <w:start w:val="1"/>
    </w:lvl>
    <w:lvl w:ilvl="1">
      <w:lvlJc w:val="left"/>
      <w:lvlText w:val="(%2)"/>
      <w:numFmt w:val="lowerLetter"/>
      <w:start w:val="21"/>
    </w:lvl>
  </w:abstractNum>
  <w:abstractNum w:abstractNumId="13">
    <w:nsid w:val="2D517796"/>
    <w:multiLevelType w:val="hybridMultilevel"/>
    <w:lvl w:ilvl="0">
      <w:lvlJc w:val="left"/>
      <w:lvlText w:val="(%1)"/>
      <w:numFmt w:val="lowerRoman"/>
      <w:start w:val="6"/>
    </w:lvl>
    <w:lvl w:ilvl="1">
      <w:lvlJc w:val="left"/>
      <w:lvlText w:val="(%2)"/>
      <w:numFmt w:val="lowerLetter"/>
      <w:start w:val="23"/>
    </w:lvl>
  </w:abstractNum>
  <w:abstractNum w:abstractNumId="14">
    <w:nsid w:val="580BD78F"/>
    <w:multiLevelType w:val="hybridMultilevel"/>
    <w:lvl w:ilvl="0">
      <w:lvlJc w:val="left"/>
      <w:lvlText w:val="(%1)"/>
      <w:numFmt w:val="lowerLetter"/>
      <w:start w:val="24"/>
    </w:lvl>
  </w:abstractNum>
  <w:abstractNum w:abstractNumId="15">
    <w:nsid w:val="153EA438"/>
    <w:multiLevelType w:val="hybridMultilevel"/>
    <w:lvl w:ilvl="0">
      <w:lvlJc w:val="left"/>
      <w:lvlText w:val="(%1)"/>
      <w:numFmt w:val="lowerLetter"/>
      <w:start w:val="27"/>
    </w:lvl>
  </w:abstractNum>
  <w:abstractNum w:abstractNumId="16">
    <w:nsid w:val="3855585C"/>
    <w:multiLevelType w:val="hybridMultilevel"/>
    <w:lvl w:ilvl="0">
      <w:lvlJc w:val="left"/>
      <w:lvlText w:val="(%1)"/>
      <w:numFmt w:val="lowerLetter"/>
      <w:start w:val="28"/>
    </w:lvl>
  </w:abstractNum>
  <w:abstractNum w:abstractNumId="17">
    <w:nsid w:val="70A64E2A"/>
    <w:multiLevelType w:val="hybridMultilevel"/>
    <w:lvl w:ilvl="0">
      <w:lvlJc w:val="left"/>
      <w:lvlText w:val="%1"/>
      <w:numFmt w:val="lowerLetter"/>
      <w:start w:val="1"/>
    </w:lvl>
    <w:lvl w:ilvl="1">
      <w:lvlJc w:val="left"/>
      <w:lvlText w:val="(%2)"/>
      <w:numFmt w:val="lowerLetter"/>
      <w:start w:val="31"/>
    </w:lvl>
  </w:abstractNum>
  <w:abstractNum w:abstractNumId="18">
    <w:nsid w:val="6A2342EC"/>
    <w:multiLevelType w:val="hybridMultilevel"/>
    <w:lvl w:ilvl="0">
      <w:lvlJc w:val="left"/>
      <w:lvlText w:val="(%1)"/>
      <w:numFmt w:val="lowerLetter"/>
      <w:start w:val="61"/>
    </w:lvl>
    <w:lvl w:ilvl="1">
      <w:lvlJc w:val="left"/>
      <w:lvlText w:val="(%2)"/>
      <w:numFmt w:val="lowerLetter"/>
      <w:start w:val="32"/>
    </w:lvl>
  </w:abstractNum>
  <w:abstractNum w:abstractNumId="19">
    <w:nsid w:val="2A487CB0"/>
    <w:multiLevelType w:val="hybridMultilevel"/>
    <w:lvl w:ilvl="0">
      <w:lvlJc w:val="left"/>
      <w:lvlText w:val="(%1)"/>
      <w:numFmt w:val="lowerLetter"/>
      <w:start w:val="33"/>
    </w:lvl>
  </w:abstractNum>
  <w:abstractNum w:abstractNumId="20">
    <w:nsid w:val="1D4ED43B"/>
    <w:multiLevelType w:val="hybridMultilevel"/>
    <w:lvl w:ilvl="0">
      <w:lvlJc w:val="left"/>
      <w:lvlText w:val="(%1)"/>
      <w:numFmt w:val="lowerLetter"/>
      <w:start w:val="38"/>
    </w:lvl>
  </w:abstractNum>
  <w:abstractNum w:abstractNumId="21">
    <w:nsid w:val="725A06FB"/>
    <w:multiLevelType w:val="hybridMultilevel"/>
    <w:lvl w:ilvl="0">
      <w:lvlJc w:val="left"/>
      <w:lvlText w:val="%1"/>
      <w:numFmt w:val="lowerRoman"/>
      <w:start w:val="1"/>
    </w:lvl>
    <w:lvl w:ilvl="1">
      <w:lvlJc w:val="left"/>
      <w:lvlText w:val="(%2)"/>
      <w:numFmt w:val="lowerLetter"/>
      <w:start w:val="45"/>
    </w:lvl>
  </w:abstractNum>
  <w:abstractNum w:abstractNumId="22">
    <w:nsid w:val="2CD89A32"/>
    <w:multiLevelType w:val="hybridMultilevel"/>
    <w:lvl w:ilvl="0">
      <w:lvlJc w:val="left"/>
      <w:lvlText w:val="(%1)"/>
      <w:numFmt w:val="lowerRoman"/>
      <w:start w:val="6"/>
    </w:lvl>
    <w:lvl w:ilvl="1">
      <w:lvlJc w:val="left"/>
      <w:lvlText w:val="(%2)"/>
      <w:numFmt w:val="lowerLetter"/>
      <w:start w:val="46"/>
    </w:lvl>
  </w:abstractNum>
  <w:abstractNum w:abstractNumId="23">
    <w:nsid w:val="57E4CCAF"/>
    <w:multiLevelType w:val="hybridMultilevel"/>
    <w:lvl w:ilvl="0">
      <w:lvlJc w:val="left"/>
      <w:lvlText w:val="(%1)"/>
      <w:numFmt w:val="lowerLetter"/>
      <w:start w:val="47"/>
    </w:lvl>
    <w:lvl w:ilvl="1">
      <w:lvlJc w:val="left"/>
      <w:lvlText w:val="(%2)"/>
      <w:numFmt w:val="upperLetter"/>
      <w:start w:val="1"/>
    </w:lvl>
  </w:abstractNum>
  <w:abstractNum w:abstractNumId="24">
    <w:nsid w:val="7A6D8D3C"/>
    <w:multiLevelType w:val="hybridMultilevel"/>
    <w:lvl w:ilvl="0">
      <w:lvlJc w:val="left"/>
      <w:lvlText w:val="%1"/>
      <w:numFmt w:val="lowerRoman"/>
      <w:start w:val="1"/>
    </w:lvl>
    <w:lvl w:ilvl="1">
      <w:lvlJc w:val="left"/>
      <w:lvlText w:val="(%2)"/>
      <w:numFmt w:val="upperLetter"/>
      <w:start w:val="3"/>
    </w:lvl>
  </w:abstractNum>
  <w:abstractNum w:abstractNumId="25">
    <w:nsid w:val="4B588F54"/>
    <w:multiLevelType w:val="hybridMultilevel"/>
    <w:lvl w:ilvl="0">
      <w:lvlJc w:val="left"/>
      <w:lvlText w:val="(%1)"/>
      <w:numFmt w:val="lowerRoman"/>
      <w:start w:val="2"/>
    </w:lvl>
    <w:lvl w:ilvl="1">
      <w:lvlJc w:val="left"/>
      <w:lvlText w:val="%2"/>
      <w:numFmt w:val="upperLetter"/>
      <w:start w:val="1"/>
    </w:lvl>
  </w:abstractNum>
  <w:abstractNum w:abstractNumId="26">
    <w:nsid w:val="542289EC"/>
    <w:multiLevelType w:val="hybridMultilevel"/>
    <w:lvl w:ilvl="0">
      <w:lvlJc w:val="left"/>
      <w:lvlText w:val="%1"/>
      <w:numFmt w:val="lowerRoman"/>
      <w:start w:val="1"/>
    </w:lvl>
    <w:lvl w:ilvl="1">
      <w:lvlJc w:val="left"/>
      <w:lvlText w:val="%2."/>
      <w:numFmt w:val="decimal"/>
      <w:start w:val="1"/>
    </w:lvl>
  </w:abstractNum>
  <w:abstractNum w:abstractNumId="27">
    <w:nsid w:val="6DE91B18"/>
    <w:multiLevelType w:val="hybridMultilevel"/>
    <w:lvl w:ilvl="0">
      <w:lvlJc w:val="left"/>
      <w:lvlText w:val="(%1)"/>
      <w:numFmt w:val="lowerRoman"/>
      <w:start w:val="3"/>
    </w:lvl>
    <w:lvl w:ilvl="1">
      <w:lvlJc w:val="left"/>
      <w:lvlText w:val="%2"/>
      <w:numFmt w:val="decimal"/>
      <w:start w:val="1"/>
    </w:lvl>
  </w:abstractNum>
  <w:abstractNum w:abstractNumId="28">
    <w:nsid w:val="38437FDB"/>
    <w:multiLevelType w:val="hybridMultilevel"/>
    <w:lvl w:ilvl="0">
      <w:lvlJc w:val="left"/>
      <w:lvlText w:val="(%1)"/>
      <w:numFmt w:val="lowerLetter"/>
      <w:start w:val="50"/>
    </w:lvl>
  </w:abstractNum>
  <w:abstractNum w:abstractNumId="29">
    <w:nsid w:val="7644A45C"/>
    <w:multiLevelType w:val="hybridMultilevel"/>
    <w:lvl w:ilvl="0">
      <w:lvlJc w:val="left"/>
      <w:lvlText w:val="(%1)"/>
      <w:numFmt w:val="lowerLetter"/>
      <w:start w:val="53"/>
    </w:lvl>
  </w:abstractNum>
  <w:abstractNum w:abstractNumId="30">
    <w:nsid w:val="32FFF902"/>
    <w:multiLevelType w:val="hybridMultilevel"/>
    <w:lvl w:ilvl="0">
      <w:lvlJc w:val="left"/>
      <w:lvlText w:val="(%1)"/>
      <w:numFmt w:val="lowerLetter"/>
      <w:start w:val="22"/>
    </w:lvl>
    <w:lvl w:ilvl="1">
      <w:lvlJc w:val="left"/>
      <w:lvlText w:val="(%2)"/>
      <w:numFmt w:val="lowerLetter"/>
      <w:start w:val="54"/>
    </w:lvl>
  </w:abstractNum>
  <w:abstractNum w:abstractNumId="31">
    <w:nsid w:val="684A481A"/>
    <w:multiLevelType w:val="hybridMultilevel"/>
    <w:lvl w:ilvl="0">
      <w:lvlJc w:val="left"/>
      <w:lvlText w:val="(%1)"/>
      <w:numFmt w:val="lowerLetter"/>
      <w:start w:val="55"/>
    </w:lvl>
  </w:abstractNum>
  <w:abstractNum w:abstractNumId="32">
    <w:nsid w:val="579478FE"/>
    <w:multiLevelType w:val="hybridMultilevel"/>
    <w:lvl w:ilvl="0">
      <w:lvlJc w:val="left"/>
      <w:lvlText w:val="%1"/>
      <w:numFmt w:val="lowerLetter"/>
      <w:start w:val="1"/>
    </w:lvl>
    <w:lvl w:ilvl="1">
      <w:lvlJc w:val="left"/>
      <w:lvlText w:val="%2."/>
      <w:numFmt w:val="decimal"/>
      <w:start w:val="2"/>
    </w:lvl>
  </w:abstractNum>
  <w:abstractNum w:abstractNumId="33">
    <w:nsid w:val="749ABB43"/>
    <w:multiLevelType w:val="hybridMultilevel"/>
    <w:lvl w:ilvl="0">
      <w:lvlJc w:val="left"/>
      <w:lvlText w:val="(%1)"/>
      <w:numFmt w:val="lowerLetter"/>
      <w:start w:val="1"/>
    </w:lvl>
    <w:lvl w:ilvl="1">
      <w:lvlJc w:val="left"/>
      <w:lvlText w:val="%2"/>
      <w:numFmt w:val="decimal"/>
      <w:start w:val="1"/>
    </w:lvl>
  </w:abstractNum>
  <w:abstractNum w:abstractNumId="34">
    <w:nsid w:val="3DC240FB"/>
    <w:multiLevelType w:val="hybridMultilevel"/>
    <w:lvl w:ilvl="0">
      <w:lvlJc w:val="left"/>
      <w:lvlText w:val="(%1)"/>
      <w:numFmt w:val="lowerLetter"/>
      <w:start w:val="3"/>
    </w:lvl>
  </w:abstractNum>
  <w:abstractNum w:abstractNumId="35">
    <w:nsid w:val="1BA026FA"/>
    <w:multiLevelType w:val="hybridMultilevel"/>
    <w:lvl w:ilvl="0">
      <w:lvlJc w:val="left"/>
      <w:lvlText w:val="(%1)"/>
      <w:numFmt w:val="lowerLetter"/>
      <w:start w:val="8"/>
    </w:lvl>
  </w:abstractNum>
  <w:abstractNum w:abstractNumId="36">
    <w:nsid w:val="79A1DEAA"/>
    <w:multiLevelType w:val="hybridMultilevel"/>
    <w:lvl w:ilvl="0">
      <w:lvlJc w:val="left"/>
      <w:lvlText w:val="%1"/>
      <w:numFmt w:val="lowerRoman"/>
      <w:start w:val="1"/>
    </w:lvl>
    <w:lvl w:ilvl="1">
      <w:lvlJc w:val="left"/>
      <w:lvlText w:val="%2."/>
      <w:numFmt w:val="decimal"/>
      <w:start w:val="3"/>
    </w:lvl>
  </w:abstractNum>
  <w:abstractNum w:abstractNumId="37">
    <w:nsid w:val="75C6C33A"/>
    <w:multiLevelType w:val="hybridMultilevel"/>
    <w:lvl w:ilvl="0">
      <w:lvlJc w:val="left"/>
      <w:lvlText w:val="(%1)"/>
      <w:numFmt w:val="lowerRoman"/>
      <w:start w:val="1"/>
    </w:lvl>
    <w:lvl w:ilvl="1">
      <w:lvlJc w:val="left"/>
      <w:lvlText w:val="%2"/>
      <w:numFmt w:val="decimal"/>
      <w:start w:val="1"/>
    </w:lvl>
  </w:abstractNum>
  <w:abstractNum w:abstractNumId="38">
    <w:nsid w:val="12E685FB"/>
    <w:multiLevelType w:val="hybridMultilevel"/>
    <w:lvl w:ilvl="0">
      <w:lvlJc w:val="left"/>
      <w:lvlText w:val="(%1)"/>
      <w:numFmt w:val="lowerRoman"/>
      <w:start w:val="5"/>
    </w:lvl>
  </w:abstractNum>
  <w:abstractNum w:abstractNumId="39">
    <w:nsid w:val="70C6A529"/>
    <w:multiLevelType w:val="hybridMultilevel"/>
    <w:lvl w:ilvl="0">
      <w:lvlJc w:val="left"/>
      <w:lvlText w:val="(%1)"/>
      <w:numFmt w:val="lowerRoman"/>
      <w:start w:val="11"/>
    </w:lvl>
  </w:abstractNum>
  <w:abstractNum w:abstractNumId="40">
    <w:nsid w:val="520EEDD1"/>
    <w:multiLevelType w:val="hybridMultilevel"/>
    <w:lvl w:ilvl="0">
      <w:lvlJc w:val="left"/>
      <w:lvlText w:val="(%1)"/>
      <w:numFmt w:val="lowerRoman"/>
      <w:start w:val="14"/>
    </w:lvl>
  </w:abstractNum>
  <w:abstractNum w:abstractNumId="41">
    <w:nsid w:val="374A3FE6"/>
    <w:multiLevelType w:val="hybridMultilevel"/>
    <w:lvl w:ilvl="0">
      <w:lvlJc w:val="left"/>
      <w:lvlText w:val="%1"/>
      <w:numFmt w:val="lowerRoman"/>
      <w:start w:val="1"/>
    </w:lvl>
    <w:lvl w:ilvl="1">
      <w:lvlJc w:val="left"/>
      <w:lvlText w:val="(%2)"/>
      <w:numFmt w:val="lowerRoman"/>
      <w:start w:val="17"/>
    </w:lvl>
  </w:abstractNum>
  <w:abstractNum w:abstractNumId="42">
    <w:nsid w:val="4F4EF005"/>
    <w:multiLevelType w:val="hybridMultilevel"/>
    <w:lvl w:ilvl="0">
      <w:lvlJc w:val="left"/>
      <w:lvlText w:val="(%1)"/>
      <w:numFmt w:val="lowerRoman"/>
      <w:start w:val="10"/>
    </w:lvl>
    <w:lvl w:ilvl="1">
      <w:lvlJc w:val="left"/>
      <w:lvlText w:val="%2"/>
      <w:numFmt w:val="lowerRoman"/>
      <w:start w:val="1"/>
    </w:lvl>
  </w:abstractNum>
  <w:abstractNum w:abstractNumId="43">
    <w:nsid w:val="23F9C13C"/>
    <w:multiLevelType w:val="hybridMultilevel"/>
    <w:lvl w:ilvl="0">
      <w:lvlJc w:val="left"/>
      <w:lvlText w:val="(%1)"/>
      <w:numFmt w:val="lowerRoman"/>
      <w:start w:val="21"/>
    </w:lvl>
  </w:abstractNum>
  <w:abstractNum w:abstractNumId="44">
    <w:nsid w:val="649BB77C"/>
    <w:multiLevelType w:val="hybridMultilevel"/>
    <w:lvl w:ilvl="0">
      <w:lvlJc w:val="left"/>
      <w:lvlText w:val="(%1)"/>
      <w:numFmt w:val="lowerLetter"/>
      <w:start w:val="2"/>
    </w:lvl>
  </w:abstractNum>
  <w:abstractNum w:abstractNumId="45">
    <w:nsid w:val="275AC794"/>
    <w:multiLevelType w:val="hybridMultilevel"/>
    <w:lvl w:ilvl="0">
      <w:lvlJc w:val="left"/>
      <w:lvlText w:val="%1."/>
      <w:numFmt w:val="decimal"/>
      <w:start w:val="4"/>
    </w:lvl>
  </w:abstractNum>
  <w:abstractNum w:abstractNumId="46">
    <w:nsid w:val="39386575"/>
    <w:multiLevelType w:val="hybridMultilevel"/>
    <w:lvl w:ilvl="0">
      <w:lvlJc w:val="left"/>
      <w:lvlText w:val="(%1)"/>
      <w:numFmt w:val="lowerLetter"/>
      <w:start w:val="2"/>
    </w:lvl>
    <w:lvl w:ilvl="1">
      <w:lvlJc w:val="left"/>
      <w:lvlText w:val="%2."/>
      <w:numFmt w:val="decimal"/>
      <w:start w:val="5"/>
    </w:lvl>
  </w:abstractNum>
  <w:abstractNum w:abstractNumId="47">
    <w:nsid w:val="1CF10FD8"/>
    <w:multiLevelType w:val="hybridMultilevel"/>
    <w:lvl w:ilvl="0">
      <w:lvlJc w:val="left"/>
      <w:lvlText w:val="(%1)"/>
      <w:numFmt w:val="lowerLetter"/>
      <w:start w:val="1"/>
    </w:lvl>
  </w:abstractNum>
  <w:abstractNum w:abstractNumId="48">
    <w:nsid w:val="180115BE"/>
    <w:multiLevelType w:val="hybridMultilevel"/>
    <w:lvl w:ilvl="0">
      <w:lvlJc w:val="left"/>
      <w:lvlText w:val="(%1)"/>
      <w:numFmt w:val="lowerLetter"/>
      <w:start w:val="2"/>
    </w:lvl>
  </w:abstractNum>
  <w:abstractNum w:abstractNumId="49">
    <w:nsid w:val="235BA861"/>
    <w:multiLevelType w:val="hybridMultilevel"/>
    <w:lvl w:ilvl="0">
      <w:lvlJc w:val="left"/>
      <w:lvlText w:val="(%1)"/>
      <w:numFmt w:val="lowerLetter"/>
      <w:start w:val="7"/>
    </w:lvl>
    <w:lvl w:ilvl="1">
      <w:lvlJc w:val="left"/>
      <w:lvlText w:val="(%2)"/>
      <w:numFmt w:val="decimal"/>
    </w:lvl>
    <w:lvl w:ilvl="2">
      <w:lvlJc w:val="left"/>
      <w:lvlText w:val="(%3)"/>
      <w:numFmt w:val="upperLetter"/>
      <w:start w:val="1"/>
    </w:lvl>
  </w:abstractNum>
  <w:abstractNum w:abstractNumId="50">
    <w:nsid w:val="47398C89"/>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4"/>
    </w:lvl>
  </w:abstractNum>
  <w:abstractNum w:abstractNumId="51">
    <w:nsid w:val="354FE9F9"/>
    <w:multiLevelType w:val="hybridMultilevel"/>
    <w:lvl w:ilvl="0">
      <w:lvlJc w:val="left"/>
      <w:lvlText w:val="(%1)"/>
      <w:numFmt w:val="lowerLetter"/>
      <w:start w:val="8"/>
    </w:lvl>
  </w:abstractNum>
  <w:abstractNum w:abstractNumId="52">
    <w:nsid w:val="15B5AF5C"/>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6"/>
    </w:lvl>
  </w:abstractNum>
  <w:abstractNum w:abstractNumId="53">
    <w:nsid w:val="741226BB"/>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1"/>
    </w:lvl>
  </w:abstractNum>
  <w:abstractNum w:abstractNumId="54">
    <w:nsid w:val="D34B6A8"/>
    <w:multiLevelType w:val="hybridMultilevel"/>
    <w:lvl w:ilvl="0">
      <w:lvlJc w:val="left"/>
      <w:lvlText w:val="(%1)"/>
      <w:numFmt w:val="upperLetter"/>
      <w:start w:val="3"/>
    </w:lvl>
    <w:lvl w:ilvl="1">
      <w:lvlJc w:val="left"/>
      <w:lvlText w:val="%2"/>
      <w:numFmt w:val="lowerLetter"/>
      <w:start w:val="1"/>
    </w:lvl>
    <w:lvl w:ilvl="2">
      <w:lvlJc w:val="left"/>
      <w:lvlText w:val="%3"/>
      <w:numFmt w:val="decimal"/>
      <w:start w:val="1"/>
    </w:lvl>
  </w:abstractNum>
  <w:abstractNum w:abstractNumId="55">
    <w:nsid w:val="10233C99"/>
    <w:multiLevelType w:val="hybridMultilevel"/>
    <w:lvl w:ilvl="0">
      <w:lvlJc w:val="left"/>
      <w:lvlText w:val="%1"/>
      <w:numFmt w:val="lowerLetter"/>
      <w:start w:val="1"/>
    </w:lvl>
    <w:lvl w:ilvl="1">
      <w:lvlJc w:val="left"/>
      <w:lvlText w:val="(%2)"/>
      <w:numFmt w:val="lowerLetter"/>
      <w:start w:val="2"/>
    </w:lvl>
  </w:abstractNum>
  <w:abstractNum w:abstractNumId="56">
    <w:nsid w:val="3F6AB60F"/>
    <w:multiLevelType w:val="hybridMultilevel"/>
    <w:lvl w:ilvl="0">
      <w:lvlJc w:val="left"/>
      <w:lvlText w:val="(%1)"/>
      <w:numFmt w:val="lowerLetter"/>
      <w:start w:val="61"/>
    </w:lvl>
    <w:lvl w:ilvl="1">
      <w:lvlJc w:val="left"/>
      <w:lvlText w:val="%2"/>
      <w:numFmt w:val="lowerLetter"/>
      <w:start w:val="1"/>
    </w:lvl>
  </w:abstractNum>
  <w:abstractNum w:abstractNumId="57">
    <w:nsid w:val="61574095"/>
    <w:multiLevelType w:val="hybridMultilevel"/>
    <w:lvl w:ilvl="0">
      <w:lvlJc w:val="left"/>
      <w:lvlText w:val="(%1)"/>
      <w:numFmt w:val="lowerLetter"/>
      <w:start w:val="4"/>
    </w:lvl>
  </w:abstractNum>
  <w:abstractNum w:abstractNumId="58">
    <w:nsid w:val="7E0C57B1"/>
    <w:multiLevelType w:val="hybridMultilevel"/>
    <w:lvl w:ilvl="0">
      <w:lvlJc w:val="left"/>
      <w:lvlText w:val="(%1)"/>
      <w:numFmt w:val="lowerLetter"/>
      <w:start w:val="5"/>
    </w:lvl>
    <w:lvl w:ilvl="1">
      <w:lvlJc w:val="left"/>
      <w:lvlText w:val="%2."/>
      <w:numFmt w:val="decimal"/>
      <w:start w:val="7"/>
    </w:lvl>
  </w:abstractNum>
  <w:abstractNum w:abstractNumId="59">
    <w:nsid w:val="77AE35EB"/>
    <w:multiLevelType w:val="hybridMultilevel"/>
    <w:lvl w:ilvl="0">
      <w:lvlJc w:val="left"/>
      <w:lvlText w:val="(%1)"/>
      <w:numFmt w:val="lowerLetter"/>
      <w:start w:val="1"/>
    </w:lvl>
  </w:abstractNum>
  <w:abstractNum w:abstractNumId="60">
    <w:nsid w:val="579BE4F1"/>
    <w:multiLevelType w:val="hybridMultilevel"/>
    <w:lvl w:ilvl="0">
      <w:lvlJc w:val="left"/>
      <w:lvlText w:val="(%1)"/>
      <w:numFmt w:val="lowerLetter"/>
      <w:start w:val="3"/>
    </w:lvl>
    <w:lvl w:ilvl="1">
      <w:lvlJc w:val="left"/>
      <w:lvlText w:val="%2."/>
      <w:numFmt w:val="decimal"/>
      <w:start w:val="8"/>
    </w:lvl>
  </w:abstractNum>
  <w:abstractNum w:abstractNumId="61">
    <w:nsid w:val="310C50B3"/>
    <w:multiLevelType w:val="hybridMultilevel"/>
    <w:lvl w:ilvl="0">
      <w:lvlJc w:val="left"/>
      <w:lvlText w:val="%1"/>
      <w:numFmt w:val="lowerLetter"/>
      <w:start w:val="1"/>
    </w:lvl>
    <w:lvl w:ilvl="1">
      <w:lvlJc w:val="left"/>
      <w:lvlText w:val="%2."/>
      <w:numFmt w:val="decimal"/>
      <w:start w:val="10"/>
    </w:lvl>
  </w:abstractNum>
  <w:abstractNum w:abstractNumId="62">
    <w:nsid w:val="5FF87E05"/>
    <w:multiLevelType w:val="hybridMultilevel"/>
    <w:lvl w:ilvl="0">
      <w:lvlJc w:val="left"/>
      <w:lvlText w:val="(%1)"/>
      <w:numFmt w:val="lowerLetter"/>
      <w:start w:val="1"/>
    </w:lvl>
    <w:lvl w:ilvl="1">
      <w:lvlJc w:val="left"/>
      <w:lvlText w:val="%2"/>
      <w:numFmt w:val="decimal"/>
      <w:start w:val="1"/>
    </w:lvl>
  </w:abstractNum>
  <w:abstractNum w:abstractNumId="63">
    <w:nsid w:val="2F305DEF"/>
    <w:multiLevelType w:val="hybridMultilevel"/>
    <w:lvl w:ilvl="0">
      <w:lvlJc w:val="left"/>
      <w:lvlText w:val="%1."/>
      <w:numFmt w:val="decimal"/>
      <w:start w:val="11"/>
    </w:lvl>
  </w:abstractNum>
  <w:abstractNum w:abstractNumId="64">
    <w:nsid w:val="25A70BF7"/>
    <w:multiLevelType w:val="hybridMultilevel"/>
    <w:lvl w:ilvl="0">
      <w:lvlJc w:val="left"/>
      <w:lvlText w:val="%1."/>
      <w:numFmt w:val="decimal"/>
      <w:start w:val="12"/>
    </w:lvl>
  </w:abstractNum>
  <w:abstractNum w:abstractNumId="65">
    <w:nsid w:val="1DBABF00"/>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2026-06-03T05:16:46Z</dcterms:created>
  <dcterms:modified xsi:type="dcterms:W3CDTF">2026-06-03T05:16:46Z</dcterms:modified>
</cp:coreProperties>
</file>