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ea0202597-01.htm"/>
      <w:bookmarkStart w:id="1" w:name="ksea020259701"/>
      <w:bookmarkEnd w:id="0"/>
      <w:bookmarkEnd w:id="1"/>
      <w:r>
        <w:rPr>
          <w:rFonts w:ascii="Times New Roman PS Std;serif" w:hAnsi="Times New Roman PS Std;serif"/>
          <w:b/>
          <w:i w:val="false"/>
          <w:caps w:val="false"/>
          <w:smallCaps w:val="false"/>
          <w:sz w:val="20"/>
        </w:rPr>
        <w:t>As filed with the Securities and Exchange Commission on March 27, 2024</w:t>
      </w:r>
    </w:p>
    <w:p>
      <w:pPr>
        <w:pStyle w:val="TextBody"/>
        <w:keepNext w:val="true"/>
        <w:pageBreakBefore w:val="false"/>
        <w:widowControl/>
        <w:pBdr/>
        <w:bidi w:val="0"/>
        <w:spacing w:before="40" w:after="283"/>
        <w:ind w:left="0" w:right="500" w:hanging="0"/>
        <w:jc w:val="right"/>
        <w:rPr>
          <w:rFonts w:ascii="Times New Roman PS Std;serif" w:hAnsi="Times New Roman PS Std;serif"/>
          <w:b/>
          <w:i w:val="false"/>
          <w:caps w:val="false"/>
          <w:smallCaps w:val="false"/>
          <w:sz w:val="20"/>
          <w:bdr w:val="double" w:sz="16" w:space="4" w:color="000000"/>
        </w:rPr>
      </w:pPr>
      <w:r>
        <w:rPr>
          <w:rFonts w:ascii="Times New Roman PS Std;serif" w:hAnsi="Times New Roman PS Std;serif"/>
          <w:b/>
          <w:i w:val="false"/>
          <w:caps w:val="false"/>
          <w:smallCaps w:val="false"/>
          <w:sz w:val="20"/>
          <w:bdr w:val="double" w:sz="16" w:space="4" w:color="000000"/>
        </w:rPr>
        <w:t>Registration No. 333-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S-3</w:t>
        <w:br/>
        <w:t>REGISTRATION STATEMENT UNDER THE SECURITIES ACT OF 1933</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6"/>
        </w:rPr>
        <w:t>INTUITIVE MACHINES, INC.</w:t>
        <w:br/>
      </w:r>
      <w:r>
        <w:rPr>
          <w:rFonts w:ascii="Times New Roman PS Std;serif" w:hAnsi="Times New Roman PS Std;serif"/>
          <w:b w:val="false"/>
          <w:i w:val="false"/>
          <w:caps w:val="false"/>
          <w:smallCaps w:val="false"/>
          <w:sz w:val="20"/>
        </w:rPr>
        <w:t>(Exact Name of Registrant as Specified in Its Charter)</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________________________________</w:t>
      </w:r>
    </w:p>
    <w:tbl>
      <w:tblPr>
        <w:tblW w:w="5503" w:type="dxa"/>
        <w:jc w:val="left"/>
        <w:tblInd w:w="0" w:type="dxa"/>
        <w:tblLayout w:type="fixed"/>
        <w:tblCellMar>
          <w:top w:w="0" w:type="dxa"/>
          <w:left w:w="0" w:type="dxa"/>
          <w:bottom w:w="0" w:type="dxa"/>
          <w:right w:w="0" w:type="dxa"/>
        </w:tblCellMar>
      </w:tblPr>
      <w:tblGrid>
        <w:gridCol w:w="3016"/>
        <w:gridCol w:w="146"/>
        <w:gridCol w:w="2341"/>
      </w:tblGrid>
      <w:tr>
        <w:trPr/>
        <w:tc>
          <w:tcPr>
            <w:tcW w:w="30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Delaware</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36-5056189</w:t>
            </w:r>
          </w:p>
        </w:tc>
      </w:tr>
      <w:tr>
        <w:trPr/>
        <w:tc>
          <w:tcPr>
            <w:tcW w:w="30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br/>
              <w:t>Identification Number)</w:t>
            </w:r>
          </w:p>
        </w:tc>
      </w:tr>
    </w:tbl>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13467 Columbia Shuttle Street</w:t>
        <w:br/>
        <w:t>Houston, TX 77059</w:t>
        <w:br/>
        <w:t>(281) 520-3703</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Anna Chiara Jones</w:t>
        <w:br/>
        <w:t>General Counsel and Corporate Secretary</w:t>
        <w:br/>
        <w:t>13467 Columbia Shuttle Street</w:t>
        <w:br/>
        <w:t>Houston, TX 77059</w:t>
        <w:br/>
        <w:t>(281) 520-3703</w:t>
        <w:br/>
      </w: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________________________________</w:t>
      </w:r>
    </w:p>
    <w:p>
      <w:pPr>
        <w:pStyle w:val="TextBody"/>
        <w:keepNext w:val="false"/>
        <w:pageBreakBefore w:val="false"/>
        <w:widowControl/>
        <w:pBdr/>
        <w:bidi w:val="0"/>
        <w:spacing w:before="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With copies to:</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Nick S. Dhesi</w:t>
        <w:br/>
        <w:t>John J. Slater</w:t>
        <w:br/>
        <w:t>Latham &amp; Watkins LLP</w:t>
        <w:br/>
        <w:t>811 Main Street Suite 3700</w:t>
        <w:br/>
        <w:t>Houston, TX 77002</w:t>
        <w:br/>
        <w:t>(212) 906-1200</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________________________________</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Approximate date of commencement of proposed sale to the public:</w:t>
      </w:r>
      <w:r>
        <w:rPr>
          <w:rFonts w:ascii="Times New Roman PS Std;serif" w:hAnsi="Times New Roman PS Std;serif"/>
          <w:b w:val="false"/>
          <w:i w:val="false"/>
          <w:caps w:val="false"/>
          <w:smallCaps w:val="false"/>
          <w:sz w:val="20"/>
        </w:rPr>
        <w:t xml:space="preserve"> From time to time after this Registration Statement becomes effective.</w:t>
      </w:r>
    </w:p>
    <w:p>
      <w:pPr>
        <w:pStyle w:val="TextBody"/>
        <w:keepNext w:val="false"/>
        <w:pageBreakBefore w:val="false"/>
        <w:widowControl/>
        <w:pBdr/>
        <w:bidi w:val="0"/>
        <w:spacing w:before="55"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keepNext w:val="false"/>
        <w:pageBreakBefore w:val="false"/>
        <w:widowControl/>
        <w:pBdr/>
        <w:bidi w:val="0"/>
        <w:spacing w:before="55"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keepNext w:val="false"/>
        <w:pageBreakBefore w:val="false"/>
        <w:widowControl/>
        <w:pBdr/>
        <w:bidi w:val="0"/>
        <w:spacing w:before="55"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keepNext w:val="false"/>
        <w:pageBreakBefore w:val="false"/>
        <w:widowControl/>
        <w:pBdr/>
        <w:bidi w:val="0"/>
        <w:spacing w:before="55"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keepNext w:val="false"/>
        <w:pageBreakBefore w:val="false"/>
        <w:widowControl/>
        <w:pBdr/>
        <w:bidi w:val="0"/>
        <w:spacing w:before="55"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keepNext w:val="false"/>
        <w:pageBreakBefore w:val="false"/>
        <w:widowControl/>
        <w:pBdr/>
        <w:bidi w:val="0"/>
        <w:spacing w:before="55"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keepNext w:val="false"/>
        <w:pageBreakBefore w:val="false"/>
        <w:widowControl/>
        <w:pBdr/>
        <w:bidi w:val="0"/>
        <w:spacing w:before="55"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524" w:type="dxa"/>
        <w:jc w:val="left"/>
        <w:tblInd w:w="0" w:type="dxa"/>
        <w:tblLayout w:type="fixed"/>
        <w:tblCellMar>
          <w:top w:w="0" w:type="dxa"/>
          <w:left w:w="0" w:type="dxa"/>
          <w:bottom w:w="0" w:type="dxa"/>
          <w:right w:w="0" w:type="dxa"/>
        </w:tblCellMar>
      </w:tblPr>
      <w:tblGrid>
        <w:gridCol w:w="161"/>
        <w:gridCol w:w="146"/>
        <w:gridCol w:w="2341"/>
        <w:gridCol w:w="146"/>
        <w:gridCol w:w="316"/>
        <w:gridCol w:w="146"/>
        <w:gridCol w:w="2761"/>
        <w:gridCol w:w="146"/>
        <w:gridCol w:w="36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Large accelerated filer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filer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Non-accelerated 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Smaller reporting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Emerging growth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60" w:after="1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 PURSUANT TO RULE 429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registration statement contains two prospectuses: (i) a base prospectus and (ii) a sales agreement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429 under the Securities Act, as amended (the “Securities Act”), the base prospectus included herein is a combined prospectus, which relates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Intuitive Machines, Inc.’s (the “Company,” “we,” “us” and “our”) Registration Statement on Form S-1 (File No. 333-271014), which was declared effective on July 3, 2023 (the “First Registration Statement”), relating to (i) the resale from time to time of up to (1) 95,187,767 shares of the Company’s Class A common stock, par value $0.0001 per share (“Class A Common Stock”), (2) 6,845,000 warrants to purchase shares of Class A Common Stock at an exercise price of $11.50 per share (the “Private Placement Warrants”) originally issued in a private placement at a price of $1.00 per Private Placement Warrant to Inflection Point Holdings LLC (the “Sponsor”) in connection with the initial public offering of Inflection Point Acquisition Corp. (“IPAX”), (3) 1,450,000 public warrants to purchase shares of Class A Common Stock at an exercise price of $11.50 per share (the “Public Warrants” and, together with the Private Placement Warrants, the “Initial Resale Warrants”) originally issued by IPAX as part of its initial public offering of units at a price of $10.00 per unit, with each unit consisting of one IPAX Class A ordinary share and one-half of one warrant to purchase one IPAX Class A ordinary share and (4) 21,930,384 shares of Class A Common Stock issuable upon the exercise of the outstanding Initial Resale Warrants, and (ii) the issuance by the Company of (1) 72,499,922 shares of Class A Common Stock upon the redemption of Intuitive Machines OpCo Common Units (as defined below), (2) 21,930,384 shares of Class A Common Stock upon the exercise of the Initial Resale Warrants as required by that certain Warrant Agreement, dated as of September 24, 2021 (the “Warrant Agreement”), by and between IPAX and Continental Stock Transfer &amp; Trust Company, (3) 2,390,762 shares of Class A Common Stock upon the conversion of Series A Preferred Stock (as defined below) as required by the Series A Preferred Securities Purchase Agreement (as defined below) (which number of shares of Class A Common Stock issuable upon the conversion of the Series A Preferred Stock was subsequently increased to 9,597,534 shares) and (4) 541,667 shares of Class A Common Stock upon the exercise of Preferred Investor Warrants (as defined below) as required by the Series A Preferred Securities Purchase Agreement (which number of shares of Class A Common Stock issuable upon the exercise of the Preferred Investor Warrants was subsequently increased to 706,522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Registration Statement on Form S-1 (File No. 333-274621), which was declared effective on September 29, 2023 (the “Second Registration Statement”), relating to (i) the issuance by the Company of an aggregate of up to 9,411,766 shares of Class A Common Stock issuable upon the exercise of (1) that certain Series A Common Stock Purchase Warrant, which entitled the holder thereof to purchase up to 4,705,883 shares of Class A Common Stock at an exercise price of $4.75 per share (which such warrant was subsequently exercised in full at a reduced exercise price of $2.75 per share) (the “Series A Warrant”) and (2) that certain Series B Common Stock Purchase Warrant, which entitled the holder thereof to purchase up to 4,705,883 shares of Class A Common Stock at an exercise price of $4.75 per share (which such warrant was subsequently exercised in full at a reduced exercise price of $2.50 per share) (the “Series B Warrant” and, together with the Series A Warrant, the “Initial PIPE Warrants”), and (ii) the resale from time to time of up to 14,117,649 shares of Class A Common Stock, comprised of (1) 4,705,883 shares of Class A Common Stock issued to Armistice Capital Master Fund Ltd. (“Armistice”) in connection with the closing of a private placement (the “Armistice Private Placement”) on September 5, 2023 (the “PIPE Shares” and, together with the Initial PIPE Warrants, the “PIPE Securities”) and (2) up to 9,411,776 shares of Class A Common Stock issuable upon the exercise of the Initial PIPE Warrants (which, as of the date hereof, have been exercised by the holders in full);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Company’s Registration Statement on Form S-1 (File No. 333-276697), which was declared effective on February 5, 2024 (the “Third Registration Statement” and, together with the First Registration Statement and the Second Registration Statement, the “Prior Registration Statements”), relating to (i) the issuance by the Company of an aggregate of up to 9,411,766 shares of Class A Common Stock issuable upon the exercise of (1) that certain New Series A Common Stock Purchase Warrant, which entitles the holder thereof to purchase up to 4,705,883 shares of Class A Common Stock at an exercise price of $2.75 per share (which such warrant was subsequently exercised in full for cash) (the “New Series A Warrant”),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(2) that certain New Series B Common Stock Purchase Warrant, which entitled the holder thereof to purchase up to 4,705,883 shares of Class A Common Stock at an exercise price of $2.75 per share (which such warrant was subsequently exercised in full for cash) (the “New Series B Warrant” and, together with the New Series A Warrant, the “New PIPE Warrants”), and (ii) the resale from time to time of up to 9,411,766 shares of Class A Common Stock, comprised of 9,411,776 shares of Class A Common Stock issuable upon the exercise of the New PIPE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the issuance by the Company of an aggregate of up to 8,301,590 shares of Class A Common Stock issuable upon the exercise of (1) that certain Series A Common Stock Purchase Warrant (the “Conversion Series A Warrant”), which entitles the holder thereof to purchase up to an aggregate of 4,150,780 shares of, at the holder’s election, Class A Common Stock (at an exercise price per share equal to $2.57 per share), Class C common stock, par value $0.0001 per share (“Class C Common Stock”) (at an exercise price per share equal to $0.0001 per share) or a combination thereof, and (2) that certain Series B Common Stock Purchase Warrant (the “Conversion Series B Warrant” and, together with the Conversion Series B Warrant, the “Conversion Warrants”), which entitles the holder thereof to purchase up to an aggregate of 4,150,780 shares of, at the holder’s election, Class A Common Stock (at an exercise price per share equal to $2.57 per share), Class C Common Stock (at an exercise price per share equal to $0.0001 per share) or a combination thereof, and (ii) the resale from time to time of up to 11,788,838 shares of Class A Common Stock, comprised of (1) 3,487,278 shares of Class A Common Stock issued to Ghaffarian Enterprises, LLC (an affiliate of Dr. Kamal Ghaffarian) (“Ghaffarian Enterprises”) in connection with the Loan Conversion (as defined below) and (2) up to 8,301,560 shares of Class A Common Stock issuable upon the exercise of the Conversion Warrants;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offer and sale by the Company of up to $300,000,000 of Class A Common Stock from time to time in one or more offerings being newly registered pursuant to this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registration statement is also being filed to convert the Prior Registration Statements into a Registration Statement on Form S-3 (the “S-3 Registration Statement”). Pursuant to Rule 429 under the Securities Act, this S-3 Registration Statement also constitutes a post-effective amendment to each of the Prior Registration Statements, and such post-effective amendments shall hereafter become effective concurrently with the effectiveness of this S-3 Registration Statement in accordance with Section 8(c) of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prospectus immediately follows this explanatory note. The specific terms of any securities to be offered by us pursuant to the base prospectus will be specified in a prospectus supplement to the base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sales agreement prospectus supplement immediately follows the base prospectus. The $100,000,000 of Class A Common Stock that may be offered, issued and sold by us under the sales agreement prospectus supplement is included in the $300,000,000 of Class A Common Stock that may be offered, issued and sold by us under the base prospectus. Upon termination of the Sales Agreement, $300,000,000 less the aggregate value of any shares of Class A Common Stock sold pursuant to offerings under the sales agreement prospectus supplement will be available for sale in other offerings pursuant to the base prospectus and a corresponding prospectus supplement. If no shares are sold under the Sales Agreement, the full $300,000,000 of Class A Common Stock may be sold in other offerings pursuant to the base prospectus and a corresponding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Neither we nor the selling securityholders may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March 27,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PROSPECTUS</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581275" cy="7708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1275" cy="770890"/>
                    </a:xfrm>
                    <a:prstGeom prst="rect">
                      <a:avLst/>
                    </a:prstGeom>
                  </pic:spPr>
                </pic:pic>
              </a:graphicData>
            </a:graphic>
          </wp:inline>
        </w:drawing>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Up to $300,000,000</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Class A Common Stock</w:t>
        <w:br/>
        <w:t>Offered by Intuitive Machines, Inc.</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and</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159,808,031 Shares of Class A Common Stock</w:t>
        <w:br/>
        <w:t>8,295,000 Warrants to Purchase Class A Common Stock</w:t>
        <w:br/>
        <w:t>Offered by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Intuitive Machines, Inc. may from time to time offer and sell shares of Class A Common Stock in one or more offerings of up to $300,000,000 of Class A Common Stock in the aggregate.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this prospectus relates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resale from time to time of up to (i) 102,559,394 shares of Class A Common Stock (the “Initial Resale Shares”), (ii) 6,845,000 Private Placement Warrants to purchase shares of Class A Common Stock at an exercise price of $11.50 per share originally issued in a private placement at a price of $1.00 per Private Placement Warrant to the Sponsor in connection with the initial public offering of IPAX, (iii) 1,450,000 Public Warrants to purchase shares of Class A Common Stock at an exercise price of $11.50 per share originally issued by IPAX as part of its initial public offering of units at a price of $10.00 per unit, with each unit consisting of one IPAX Class A ordinary share and one-half of one warrant to purchase one IPAX Class A ordinary share, (iv) 21,930,384 shares of Class A Common Stock upon the exercise of the outstanding Initial Resale Warrants, (v) 14,117,649 shares of Class A Common Stock, comprised of (a) 4,705,883 PIPE Shares issued to Armistice in connection with the closing of the Armistice Private Placement and (b) 9,411,776 shares of Class A Common Stock issued to Armistice upon the exercise of the Initial PIPE Warrants by Armistice, (vi) 9,411,766 shares of Class A Common Stock issued to Armistice upon the exercise of the New PIPE Warrants by Armistice and (vii) 11,788,838 shares of Class A Common Stock, comprised of (a) 3,487,278 shares of Class A Common Stock issued to Ghaffarian Enterprises in connection with the Loan Conversion and (b) up to 8,301,560 shares of Class A Common Stock issuable upon the exercise of the Conversion Warrants;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by the Company of (i) 72,499,922 shares of Class A Common Stock upon the redemption of Intuitive Machines OpCo Common Units as required by the A&amp;R Registration Rights Agreement (as defined below), (ii) 21,930,384 shares of Class A Common Stock upon the exercise of Initial Resale Warrants as required by the Warrant Agreement, (iii) 9,597,534 shares of Class A Common Stock upon the conversion of the Series A Preferred Stock as required by the Series A Preferred Securities Purchase Agreement, (iv) 706,522 shares of Class A Common Stock upon the exercise of the Preferred Investor Warrants as required by the Series A Preferred Securities Purchase Agreement, and (v) an aggregate of up to 8,301,590 shares of Class A Common Stock issuable upon the exercise of (a) the Conversion Series A Warrant, which entitles the holder thereof to purchase up to an aggregate of 4,150,780 shares of, at the holder’s election, Class A Common Stock (at an exercise price per share equal to $2.57 per share), Class C Common Stock (at an exercise price per share equal to $0.0001 per share) or a combination thereof, and (b) the Conversion Series B Warrant, which entitles the holder thereof to purchase up to an aggregate of 4,150,780 shares of, at the holder’s election, Class A Common Stock (at an exercise price per share equal to $2.57 per share), Class C Common Stock (at an exercise price per share equal to $0.0001 per share) or a combination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102,559,394 Initial Resale Shares consist of (i) an aggregate of 11,460,416 shares of Class A Common Stock issued in connection with the Transactions (as defined below) by us to certain of the selling securityholders named in this prospectus (each, a “selling securityholder” and, collectively, the “selling securityholders”) at an equity consideration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of $10.00 per share, (ii) up to 72,499,922 shares of Class A Common Stock in exchange for 72,499,922 common units (“Intuitive Machines OpCo Common Units”) of Intuitive Machines, LLC, a Delaware limited liability company (“Intuitive Machines OpCo”) and a direct subsidiary of the Company, (including Intuitive Machines OpCo Common Units that may be issued in the future pursuant to the future exercise of currently-outstanding options to purchase such Intuitive Machines OpCo Common Units) originally issued to the members of Intuitive Machines OpCo (the “Intuitive Machines Members”) at an average price of $0.25 per Intuitive Machines Opco Common Unit tendered for redemption by one or more of Intuitive Machines Members, and including the possible resale from time to time of some or all of such shares of Class A Common Stock by certain of the selling securityholders, (iii) up to 9,597,534 shares of Class A Common Stock upon the conversion of 26,000 shares of Series A Preferred Stock originally issued to the Series A Investors (as defined below), (iv) up to 706,522 shares of Class A Common Stock issuable upon the exercise of the Preferred Investor Warrants at an exercise price of $11.50 originally issued to the Series A Investors at a price of $1,000 per share of Series A Preferred Stock and Preferred Investor Warrant in connection with the Series A Preferred Securities Purchase Agreement, (v) 6,845,000 shares of Class A Common Stock underlying the Private Placement Warrants and (vi) 1,450,000 shares of Class A Common Stock underlying the Public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10, 2023, as contemplated by that certain Business Combination Agreement, dated as of September 16, 2022 (the “Business Combination Agreement”), by and between IPAX and Intuitive Machines OpCo, IPAX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pursuant to which IPAX was domesticated and continued as a Delaware corporation, changing its name to “Intuitive Machines, Inc.” (the “Domestication”).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13, 2023 (the “Closing Date”), the Company consummated the transactions contemplated by the Business Combination Agreement, whereby (i) Intuitive Machines OpCo appointed the Company as its managing member, (ii) the Company issued to certain existing members of Intuitive Machines OpCo a number of shares of the Company’s Class B common stock, par value $0.0001 per share (“Class B Common Stock”), or Class C Common Stock, in each case, in exchange for payment from such Intuitive Machines Members of a per-share price equal to the par value per share of such stock, and equal to the number of Intuitive Machines OpCo Common Units held by such person as of and on the Closing Date, (iii) the Company contributed to Intuitive Machines OpCo an amount in cash in exchange for certain units in Intuitive Machines OpCo and (iv) the Company effected the other transactions contemplated by the Business Combination Agreement (together with the Domestication,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PIPE Securities were issued and sold to Armistice on September 5, 2023 in the Armistice Private Placement pursuant to that certain Securities Purchase Agreement (the “Armistice Purchase Agreement”), dated as of August 30, 2023, by and between the Company and Armistice for aggregate gross proceeds of approximately $20.0 million, before deducting expenses relating to the Armistice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PIPE Warrants were issued to Armistice on January 12, 2024 in a private placement (the “New Warrants Private Placement”) pursuant to Section 4(a)(2) of the Securities Act pursuant to that certain Warrant Exercise Agreement (the “Warrant Exercise Agreement”), dated as of January 10, 2024, by and between the Company and Armistice. Pursuant to the Warrant Exercise Agreement, Armistice exercised in full (the “Exercise”) the Series B Warrant. In consideration for the immediate and full exercise of the Series B Warrant for cash, Armistice received the New PIPE Warrants in the New Warrants Private Placement. In connection with the Exercise, the Company also agreed to reduce the exercise price of the Series B Warrant from $4.75 to $2.50 per share and the exercise price of the Series A Warrant from $4.75 to $2.75 per share. The gross proceeds to the Company from the Exercise were approximately $11.8 million, prior to deducting estimated offering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exercise notices delivered by Armistice to the Company on February 9, 2024, February 12, 2024 and February 15, 2024, Armistice exercised in full (the “Series A Warrant Exercise”) the Series A Warrant for cash. The gross proceeds to the Company from the Series A Warrant Exercise were approximately $12.9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exercise notices delivered by Armistice to the Company between February 16, 2024 and February 23, 2024, Armistice exercised in full the New Series B Warrant for cash (the “New Series B Warrant Exercise”) and the New Series A Warrant for cash (the “New Series A Warrant Exercise”). The gross proceeds to the Company from the New Series B Warrant Exercise and the New Series A Warrant Exercise were approximately $25.9 million.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10, 2024, Intuitive Machines Opco entered into a series of loan documents with Pershing LLC, an affiliate of Bank of New York Mellon (the “Lender”), pursuant to which the Lender extended credit in an amount not to exceed $10 million (the “Credit Line”) to Intuitive Machines Opco. The Credit Line was guaranteed by Ghaffarian Enterprises with collateral including marketable securities, in favor of the Lender for the benefit of Intuitive Machines Opco. On the same day, Intuitive Machines Opco borrowed against the Credit Line in the amount of $10.0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28, 2024, the Company, Intuitive Machines Opco and Ghaffarian Enterprises entered into a letter agreement pursuant to which, on January 29, 2024, Ghaffarian Enterprises contributed (the “Contribution”) $10.0 million to the Company and Intuitive Machines OpCo for purposes of repaying the principal amount owed by Intuitive Machines Opco to the Lender under the Credit Line. In exchange for the Contribution, the Company issued to Ghaffarian Enterprises (i) 3,487,278 shares of Class A Common Stock, (ii) the Conversion Series A Warrant to purchase up to an aggregate of 4,150,780 shares of, at Ghaffarian Enterprises’ election, Class A Common Stock (at an exercise price per share equal to $2.57 per share), Class C Common Stock (at an exercise price per share equal to $0.0001 per share) or a combination thereof, and (iii) the “Conversion Series B Warrant to purchase up to an aggregate of 4,150,780 shares of, at Ghaffarian Enterprises’ election, Class A Common Stock (at an exercise price per share equal to $2.57 per share), Class C Common Stock (at an exercise price per share equal to $0.0001 per share) or a combination thereof (such transactions, collectively, the “Loan Conversion”). The Conversion Series A Warrant is immediately exercisable and has an expiration date of January 29, 2029. The Conversion Series B Warrant is immediately exercisable and has an expiration date of July 29,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the proceeds from the issuance and sale of the Class A Common Stock offered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the proceeds from any exercise of the Initial Resale Warrants and the Preferred Investor Warrants for cash, but not from the issuance of any shares of Class A Common Stock upon exchange of Intuitive Machines OpCo Common Units or the resale of any shares of Class A Common Stock or Initial Resale Warrants by the applicable selling securityholders covered by this prospectus. Each Initial Resale Warrant and Preferred Investor Warrant entitles the holder thereof to purchase one share of our Class A Common Stock at a price of $11.50 per share. If the price of our Class A Common Stock remains below $11.50 per share, which is the exercise price of our Initial Resale Warrants and our Preferred Investor Warrants, the holders of the Initial Resale Warrants or the Preferred Investor Warrants, as applicable, will be unlikely to cash exercise their Initial Resale Warrants or Preferred Investor Warrants, as applicable, resulting in little to no cash proceeds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the proceeds from any exercise of the New PIPE Warrants for cash, but not from the resale of any shares of Class A Common Stock by the applicable selling securityholder covered by this prospectus. Each of the New PIPE Warrants entitles the holder thereof to purchase up to 4,705,883 shares of our Class A Common Stock at a price of $2.75 per share. If the price of our Class A Common Stock is below $2.75 per share, the holders of the New PIPE Warrants will be unlikely to cash exercise such New PIPE Warrants, resulting in little to no cash proceeds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the proceeds from any exercise of the Conversion Warrants for cash, but not from the resale of any shares of Class A Common Stock by the applicable selling securityholder covered by this prospectus. Each of the Conversion Warrants entitles the holder thereof to purchase up to 4,150,780 shares of, at the holder’s election, our Class A Common Stock (at an exercise price per share equal to $2.57 per share), our Class C Common Stock (at an exercise price per share equal to $0.0001 per share) or a combination thereof. If the price of our Class A Common Stock is below $2.57 per share, the holder of the Conversion Warrants will be unlikely to cash exercise such New PIPE Warrants, resulting in little to no cash proceeds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bear all costs, expenses, and fees in connection with the registration of the securities covered by this prospectus. The selling securityholders will bear all commissions and discounts, if any, attributable to their respective sales of the securities covered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Stock and Public Warrants are listed on the Nasdaq Stock Market LLC (“Nasdaq”) under the symbols “LUNR” and “LUNRW,” respectively. On March 25, 2024, the closing price of our Class A Common Stock was $6.15 per share and the closing price of our Public Warrants was $1.61 per warrant.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in the section entitled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and a “smaller reporting company” under the federal securities laws and will be subject to reduced disclosure and public reporting requirements. See “</w:t>
      </w:r>
      <w:r>
        <w:rPr>
          <w:rFonts w:ascii="Times New Roman PS Std;serif" w:hAnsi="Times New Roman PS Std;serif"/>
          <w:b w:val="false"/>
          <w:i/>
          <w:caps w:val="false"/>
          <w:smallCaps w:val="false"/>
          <w:sz w:val="20"/>
        </w:rPr>
        <w:t>Prospectus Summary — Implications of Being an Emerging Growth Company and Smaller Reporting Company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See the section entitled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U.S. Securities and Exchange Commission (the “SEC”) nor any state securities commission has approved or disapproved of the securities to be issued under this prospectus or determined if this prospectus is truthful or complete. Any representation to the contrary is a criminal offense.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dated            ,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6433" w:type="dxa"/>
        <w:jc w:val="left"/>
        <w:tblInd w:w="0" w:type="dxa"/>
        <w:tblLayout w:type="fixed"/>
        <w:tblCellMar>
          <w:top w:w="0" w:type="dxa"/>
          <w:left w:w="0" w:type="dxa"/>
          <w:bottom w:w="0" w:type="dxa"/>
          <w:right w:w="0" w:type="dxa"/>
        </w:tblCellMar>
      </w:tblPr>
      <w:tblGrid>
        <w:gridCol w:w="5626"/>
        <w:gridCol w:w="146"/>
        <w:gridCol w:w="661"/>
      </w:tblGrid>
      <w:tr>
        <w:trPr/>
        <w:tc>
          <w:tcPr>
            <w:tcW w:w="56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Cautionary Note Regarding Forward-Looking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Description of Securities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Selling Securityholders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Certain U.S. Federal Income Tax Considerations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Plan of Distribution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Information Incorporated By Reference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9901"/>
      <w:bookmarkEnd w:id="3"/>
      <w:r>
        <w:rPr>
          <w:rFonts w:ascii="Times New Roman PS Std;serif" w:hAnsi="Times New Roman PS Std;serif"/>
          <w:b/>
          <w:i w:val="false"/>
          <w:caps/>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S-3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This prospectus provides you with a general description of the securities that we and the selling securityholders may offer. Each time we sell securities, we will provide a prospectus supplement that will contain specific information about the terms of that offering. More specific terms of any securities that the selling securityholders offer and sell may be provided in a prospectus supplement that describes, among other things, specific information about the terms of that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Information Incorporated by Reference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Nasdaq ticker symbols for our Class A Common Stock and Public Warrants are “LUNR” and “LUNRW,”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9902"/>
      <w:bookmarkEnd w:id="4"/>
      <w:r>
        <w:rPr>
          <w:rFonts w:ascii="Times New Roman PS Std;serif" w:hAnsi="Times New Roman PS Std;serif"/>
          <w:b/>
          <w:i w:val="false"/>
          <w:caps/>
          <w:sz w:val="20"/>
        </w:rPr>
        <w:t>Cautionary Note Regarding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any prospectus supplement and the documents incorporated by reference herein each contain “forward-looking statements” within the meaning of the Private Securities Litigation Reform Act of 1995, as amended. All statements other than statements of historical facts contained in this prospectus, any prospectus supplement and the documents incorporated by reference herein are forward-looking statements. Such statements can be identified by the fact that they do not relate strictly to historical or current facts. When used in this prospectus, any prospectus supplement and the documents incorporated by reference herein,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expectations and plans relating to our first mission to the Moon, including the expected timing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upon the efforts of our board of directors (the “Board”) and key personnel to be successful;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limited operating history;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failure to manage our growth effectively;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from existing or new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unsatisfactory safety performance of our spaceflight systems or security incidents at our facilities;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the market for commercial spaceflight to achieve the growth potential we expect;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customer concentration;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associated with commercial spaceflight, including any accident on launch or during the journey into space;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associated with the handling, production and disposition of potentially explosive and ignitable energetic materials and other dangerous chemicals in our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on a limited number of suppliers for certain materials and supplied components;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our products to operate in the expected manner or defects in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counterparty risks on contracts entered into with our customers and failure of our prime contractors to maintain their relationships with their counterparties and fulfill their contractual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comply with various laws and regulations relating to various aspects of our business and any changes in the funding levels of various governmental entities with which we do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failure to protect the confidentiality of our trade secrets and know how;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failure to comply with the terms of third-party open source software our systems utilize;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an effective system of internal control over financial reporting, and to address and remediate existing material weaknesses in our internal control over financial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 government’s budget deficit and the national debt, as well as any inability of the U.S. government to complete its budget process for any government fiscal year, and our dependence on U.S. government 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failure to comply with U.S. export and import control laws and regulations and U.S. economic sanctions and trade control laws and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 global macro-economic and political conditions (including as a result of a failure to raise the “debt ceiling”) and rising inflation;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history of losses and failure to achieve profitability in the future or failure of our business to generate sufficient funds to continue operations;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public securities’ potential liquidity and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they are made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 There may be events in the future that the Company is not able to predict accurately or over which it has no control. The sections in the documents incorporated by reference herein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Management’s Discussion and Analysis of Financial Condition and Results of Operations</w:t>
      </w:r>
      <w:r>
        <w:rPr>
          <w:rFonts w:ascii="Times New Roman PS Std;serif" w:hAnsi="Times New Roman PS Std;serif"/>
          <w:b w:val="false"/>
          <w:i w:val="false"/>
          <w:caps w:val="false"/>
          <w:smallCaps w:val="false"/>
          <w:sz w:val="20"/>
        </w:rPr>
        <w:t>” and the other cautionary language discussed in this prospectus, any prospectus supplement and the documents incorporated herein and therein provide examples of risks, uncertainties and events that may cause actual results to differ materially from the expectations described by the Company in such forward-looking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5" w:name="T9903"/>
      <w:bookmarkEnd w:id="5"/>
      <w:r>
        <w:rPr>
          <w:rFonts w:ascii="Times New Roman PS Std;serif" w:hAnsi="Times New Roman PS Std;serif"/>
          <w:b/>
          <w:i w:val="false"/>
          <w:caps/>
          <w:sz w:val="20"/>
          <w:bdr w:val="single" w:sz="8" w:space="10" w:color="000000"/>
        </w:rPr>
        <w:t>Prospectus 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or incorporated by reference into, this prospectus. Because it is only a summary, it does not contain all of the information that you should consider before investing in our securities, and it is qualified in its entirety by, and should be read in conjunction with, the more detailed information appearing elsewhere in this prospectus, any applicable prospectus supplement, any free writing prospectus that we have authorized for use in connection with this offering and the documents incorporated by reference in this prospectus and any applicable prospectus supplement. You should read all such documents carefully, and you should pay special attention to the information contained under the caption entitled “Risk Factors” in this prospectus, any applicable prospectus supplement, in our Annual Report on Form 10-K, in any subsequent Quarterly Reports on Form 10-Q</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and in our other reports filed from time to time with the SEC, which are incorporated by reference into this prospectus, before making an investment decision.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space infrastructure and services company founded in 2013 that is contributing to the establishment of lunar infrastructure and commerce on the Moon. We believe we have a leading position in the development of lunar space operating in four business lines: Lunar Access Services, Lunar Data Services, Orbital Services, and Space Products and Infrastructure. We are initially focused on establishing the lunar infrastructure and basis for commerce to inform and sustain human presence off Earth. We believe our business is well positioned for continued growth and expansion: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u w:val="single"/>
          <w:bdr w:val="single" w:sz="8" w:space="10" w:color="000000"/>
        </w:rPr>
        <w:t>Right Now</w:t>
      </w:r>
      <w:r>
        <w:rPr>
          <w:rFonts w:ascii="Times New Roman PS Std;serif" w:hAnsi="Times New Roman PS Std;serif"/>
          <w:b w:val="false"/>
          <w:i w:val="false"/>
          <w:caps w:val="false"/>
          <w:smallCaps w:val="false"/>
          <w:sz w:val="20"/>
          <w:bdr w:val="single" w:sz="8" w:space="10" w:color="000000"/>
        </w:rPr>
        <w:t>:    Servicing the National Aeronautics and Space Administration (“NASA”) and a worldwide set of commercial payload customers, working to provide access to the lunar surface, cislunar space and data transmission for science, technology, and infrastructure.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u w:val="single"/>
          <w:bdr w:val="single" w:sz="8" w:space="10" w:color="000000"/>
        </w:rPr>
        <w:t>Tomorrow</w:t>
      </w:r>
      <w:r>
        <w:rPr>
          <w:rFonts w:ascii="Times New Roman PS Std;serif" w:hAnsi="Times New Roman PS Std;serif"/>
          <w:b w:val="false"/>
          <w:i w:val="false"/>
          <w:caps w:val="false"/>
          <w:smallCaps w:val="false"/>
          <w:sz w:val="20"/>
          <w:bdr w:val="single" w:sz="8" w:space="10" w:color="000000"/>
        </w:rPr>
        <w:t>:    Working to provide a thriving, diverse lunar economy, creating new opportunities and markets to enable on-orbit applications, a permanent presence on the Moon, and expand the commercial space exploration marketplace.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three Commercial Lunar Payload Services (“CLPS”) awards to date as of December 31, 2023. On February 22, 2024, Intuitive Machines’ Nova-C lander became the first U.S. vehicle to softly land on the lunar surface since 1972 and landed the vehicle further south than any vehicle in the world has ever soft-landed on the Moon. Our Nova-C lander on the IM-1 mission carried approximately 100 kilograms of payloads and shuttled numerous experiments and technology demonstrations at the lunar surface near the south pole. Our goal is to follow the successful IM-1 mission with IM-2, which will continue to execute experiments and technology demonstrations at the Shackleton Connecting Ridge at the lunar south pole, and IM-3, our third CLPS award, which will land at Reiner Gamma. These missions, along with additional expeditions, are in partnership with NASA, Nokia Corporation, Columbia Sportswear Company, Aegis Aerospace, Inc. and other commercial players. Intuitive Machines offers its customers the flexibility needed to pioneer a thriving, diverse lunar economy and to enable a permanent presence on the Moon.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Additionally, the U.S. Space Forces’ (the “Space Force”) requirement to ensure freedom of action in space is driving their initial focus on cislunar Space Domain Awareness sensors and xGEO Position Navigation and Timing solutions as a result of the ongoing efforts by the United States and the People’s Republic of China (“China”) to return to the lunar surface in a sustainable manner. We believe the U.S. Department of Defense funding for cislunar activities will drive the Space Force to rely on purchasing cislunar commercial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16, 2022, we entered into the Business Combination Agreement. On February 10, 2023, as contemplated by the Business Combination Agreement and described in the section titled “The Business Combination Proposal” of the final prospectus and definitive proxy statement of IPAX, dated January 24, 2023 (the “Proxy Statement/Prospectus”) and filed with the SEC on January 24, 2023, IPAX filed a notice of deregistration with the Cayman Islands Registrar of Companies, together with the necessary accompanying documents, and filed the Certificate of Incorporation and a certificate of corporate domestication with the Secretary of State of the State of Delaware, pursuant to which IPAX was domesticated and continued as a Delaware corporation, changing its name to “Intuitive Machines,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prior to the Domestication, each of the then issued and outstanding Class B ordinary shares of IPAX, par value $0.0001 per share (each, a “Cayman Class B Share”), converted automatically, on a one-for-one basis, into a Class A ordinary share of IPAX, par value $0.0001 per share (each, a “Cayman Class A Share”). As a result of and upon the effective time of the Domestication, among other things, (i) each of the then issued and outstanding Cayman Class A Shares automatically converted, on a one-for-one basis, into a share of Class A Common Stock; (ii) each of the then issued and outstanding warrants representing the right to purchase one Cayman Class A Share automatically converted into a Public Warrant; and (iii) each of the then issued and outstanding units of IPAX were cancelled and each holder thereof was entitled to one share of Class A Common Stock and one-half of one Public Warrant per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the Closing Date, as contemplated by the Business Combination Agreement and described in the Proxy Statement/Prospectus, we consummated the Business Combination, whereby (i) Intuitive Machines OpCo appointed us as its managing member, (ii) we issued to certain Intuitive Machines Members a number of shares of Class B Common Stock, having one vote per share and no economic rights, or Class C Common Stock, having three votes per share and no economic rights, in each case, in exchange for payment from such Intuitive Machines Members of a per-share price equal to the par value per share of such stock, and equal to the number of Intuitive Machines OpCo Common Units held by such person as of and on the Closing Date and (iii) we contributed to Intuitive Machines OpCo an amount in cash equal to the sum of (without duplication): (a) all amounts in the trust account of IPAX, less (x) amounts required for the redemptions of Cayman Class A Shares by stockholders of IPAX prior to the Business Combination and (y) transaction expenses of Intuitive Machines OpCo and IPAX, plus (b) the aggregate proceeds actually received by IPAX from the Securities Purchase Agreement (the “Series A Preferred Securities Purchase Agreement”) with certain investors (collectively, the “Series A Investors”), pursuant to which the Series A Investors purchased $26.0 million (the “Series A Investment”) of 10% Series A Cumulative Convertible Preferred Stock, par value $0.0001 per share, of Intuitive Machines, Inc. (the “Series A Preferred Stock”) and warrants exercisable to purchase shares of Class A Common Stock at an initial exercise price of $15.00 (the “Preferred Investor Warrants”), plus (c) all other cash and cash equivalents of IPAX, determined in accordance with U.S. Generally Accepted Accounting Principles (“GAAP”) as of 11:59 p.m. Eastern Time on February 12, 2023, plus (d) the Founder Subscription Amount (as defined in the Business Combination Agreement) in exchange for the issuance by Intuitive Machines OpCo to us of (w) a number of Intuitive Machines OpCo Common Units equal to the number of shares of Class A Common Stock issued and outstanding as of the Closing Date, (x) a number of warrants of Intuitive Machines OpCo equal to the number of Public Warrants issued and outstanding as of the Closing Date, (y) a number of Series A preferred units of Intuitive Machines OpCo equal to the number of shares of Series A Preferred Stock issued and outstanding as of the Closing Date and issued to the Series A Investors and (z) a number of Intuitive Machines OpCo preferred investor warrants equal to the number of Preferred Investor Warrants delivered to the Series A Investors on the Closing Date (together with the Domestication, the “Transactions”). Upon the consummation of the Transactions, as of the open of business on February 13, 2023, IPAX’s ordinary shares, warrants and units ceased trading on Nasdaq, and our Class A Common Stock and Public Warrants began trading on Nasdaq on February 14, 2023 under the symbols “LUNR” and “LUNRW,”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Armistice Private Placement and the Warrant Exercise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5, 2023, we consummated the Armistice Purchase Agreement. Pursuant to the Armistice Purchase Agreement, we agreed to sell the PIPE Securities to Armistice in the Armistice Private Placement. The Armistice Private Placement resulted in aggregate gross proceeds to the Company of $20.0 million, before deducting related transaction costs of $1.4 million.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Warrant Exercise Agreement, on January 10, 2024, Armistice exercised in full the Series B Warrant. In consideration for the immediate and full exercise of the Series B Warrant for cash, Armistice received the New PIPE Warrants in the New Warrants Private Placement. In connection with the Exercise, the Company also agreed to reduce the exercise price of the Series B Warrant from $4.75 to $2.50 per share and the exercise price of the Series A Warrant from $4.75 to $2.75 per share. The gross proceeds to the Company from the Exercise were approximately $11.8 million, prior to deducting estimated offering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Loan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10, 2024, Intuitive Machines Opco entered into a series of loan documents with the Lender, pursuant to which the Lender extended the “Credit Line to Intuitive Machines Opco. The Credit Line was guaranteed by Ghaffarian Enterprises with collateral including marketable securities, in favor of the Lender for the benefit of Intuitive Machines Opco. On the same day, Intuitive Machines Opco borrowed against the Credit Line in the amount of $10.0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28, 2024, the Company, Intuitive Machines Opco and Ghaffarian Enterprises entered into a letter agreement pursuant to which, on January 29, 2024, Ghaffarian Enterprises contributed $10.0 million to the Company and Intuitive Machines OpCo for purposes of repaying the principal amount owed by Intuitive Machines Opco to the Lender under the Credit Line. In exchange for the Contribution, the Company issued to Ghaffarian Enterprises (i) 3,487,278 shares of Class A Common Stock, (ii) the Conversion Series A Warrant to purchase up to an aggregate of 4,150,780 shares of, at Ghaffarian Enterprises’ election, Class A Common Stock (at an exercise price per share equal to $2.57 per share), Class C Common Stock (at an exercise price per share equal to $0.0001 per share) or a combination thereof, and (iii) the Conversion Series B Warrant to purchase up to an aggregate of 4,150,780 shares of, at Ghaffarian Enterprises’ election, Class A Common Stock (at an exercise price per share equal to $2.57 per share), Class C Common Stock (at an exercise price per share equal to $0.0001 per share) or a combination thereof. The Conversion Series A Warrant is immediately exercisable and has an expiration date of January 29, 2029. The Conversion Series B Warrant is immediately exercisable and has an expiration date of July 29,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Series A Warrant Exercise; the New Series B Warrant Exercise and the New Series A Warrant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exercise notices delivered by Armistice to the Company on February 9, 2024, February 12, 2024 and February 15, 2024, Armistice exercised in full the Series A Warrant for cash. The gross proceeds to the Company from the Series A Warrant Exercise were approximately $12.9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exercise notices delivered by Armistice to the Company between February 16, 2024 and February 23, 2024, Armistice exercised in full the New Series B Warrant for cash and the New Series A Warrant for cash. The gross proceeds to the Company from the New Series B Warrant Exercise and the New Series A Warrant Exercise were approximately $25.9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 and Smaller Reporting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being permitted to present only two years of audited financial statements and selected financial data and only two years of related “</w:t>
      </w:r>
      <w:r>
        <w:rPr>
          <w:rFonts w:ascii="Times New Roman PS Std;serif" w:hAnsi="Times New Roman PS Std;serif"/>
          <w:b w:val="false"/>
          <w:i/>
          <w:caps w:val="false"/>
          <w:smallCaps w:val="false"/>
          <w:sz w:val="20"/>
          <w:bdr w:val="single" w:sz="8" w:space="10" w:color="000000"/>
        </w:rPr>
        <w:t>Management’s Discussion and Analysis of Financial Condition and Results of Operations</w:t>
      </w:r>
      <w:r>
        <w:rPr>
          <w:rFonts w:ascii="Times New Roman PS Std;serif" w:hAnsi="Times New Roman PS Std;serif"/>
          <w:b w:val="false"/>
          <w:i w:val="false"/>
          <w:caps w:val="false"/>
          <w:smallCaps w:val="false"/>
          <w:sz w:val="20"/>
          <w:bdr w:val="single" w:sz="8" w:space="10" w:color="000000"/>
        </w:rPr>
        <w:t>” in our periodic reports and registration statements, subject to certain exceptions;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the auditor attestation requirements of Section 404 of the Sarbanes-Oxley Act of 2002, as amended (“SOX”);</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obligations regarding executive compensation in our periodic reports, proxy statements, and registration statements, including in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of holding a nonbinding advisory vote on executive compensation and stockholder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earliest to occur of: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December 31, 2026 (the last day of the fiscal year that follows the fifth anniversary of the completion of IPAX’s initial public offering);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last day of the fiscal year in which we have total annual gross revenue of at least $1.235 billion;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date on which we are deemed to be a “large accelerated filer,” as defined in the U.S. Securities Exchange Act of 1934, as amended (the “Exchange Act”);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date on which we have issued more than $1 billion in non-convertible debt over a three-year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take advantage of certain of the reduced disclosure obligations in this prospectus and may elect to take advantage of other reduced reporting requirements in our future filings with the SEC. As a result, the information that we provide to holders of our Class A Common Stock may be different than what you might receive from other public reporting companies in which you hold equity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IPAX was a blank check company incorporated on January 27, 2021 as a Cayman Islands exempted company for the purpose of effecting a merger, share exchange, asset acquisition, share purchase, reorganization, or similar business combination with one or more businesses. On February 10, 2023, IPAX domesticated into a Delaware corporation and changed its name to “Intuitive Machines, Inc.” in connection with the Domestication. Intuitive Machines, Inc. is a holding company whose principal assets are the Intuitive Machines OpCo Common Units it holds in Intuitive Machines OpCo.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 is located at 13467 Columbia Shuttle Street, Houston, TX 77059. Our telephone number is (281) 520-3703. Our website address is </w:t>
      </w:r>
      <w:r>
        <w:rPr>
          <w:rFonts w:ascii="Times New Roman PS Std;serif" w:hAnsi="Times New Roman PS Std;serif"/>
          <w:b w:val="false"/>
          <w:i/>
          <w:caps w:val="false"/>
          <w:smallCaps w:val="false"/>
          <w:sz w:val="20"/>
          <w:bdr w:val="single" w:sz="8" w:space="10" w:color="000000"/>
        </w:rPr>
        <w:t>www.intuitivemachines.com</w:t>
      </w:r>
      <w:r>
        <w:rPr>
          <w:rFonts w:ascii="Times New Roman PS Std;serif" w:hAnsi="Times New Roman PS Std;serif"/>
          <w:b w:val="false"/>
          <w:i w:val="false"/>
          <w:caps w:val="false"/>
          <w:smallCaps w:val="false"/>
          <w:sz w:val="20"/>
          <w:bdr w:val="single" w:sz="8" w:space="10" w:color="000000"/>
        </w:rPr>
        <w:t>. Information contained on our website is not a part of this prospectus, and the inclusion of our website address in this prospectus is an inactive textual reference only.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 w:name="T9904"/>
      <w:bookmarkEnd w:id="6"/>
      <w:r>
        <w:rPr>
          <w:rFonts w:ascii="Times New Roman PS Std;serif" w:hAnsi="Times New Roman PS Std;serif"/>
          <w:b/>
          <w:i w:val="false"/>
          <w:caps/>
          <w:sz w:val="2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An investment in our securities involves a high degree of risk. You should carefully consider the risk factors and all of the other information included in or incorporated by reference into this prospectus, including those in our most recent Annual Report on Form 10-K, our Quarterly Reports on Form 10-Q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other documents we file with the SEC,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a substantial number of our securities in the public market by the selling securityholders and/or by our existing securityholders could cause the price of our shares of Class A Common Stock to fall.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can sell, under this prospectus, up to (i) 102,559,394 Initial Resale Shares, consisting of (a) an aggregate of 11,460,416 shares of Class A Common Stock, issued in connection with the Transactions by us to the selling securityholders at an equity consideration value of $10.00 per share, (b) up to 72,499,922 shares of Class A Common Stock in exchange for 72,499,922 Intuitive Machines OpCo Common Units originally issued to the Intuitive Machines Members at an average price of $0.25 per Intuitive Machines OpCo Common Unit tendered for redemption by one or more of Intuitive Machines Members, and including the possible resale from time to time of some or all of such shares of Class A Common Stock by certain of the selling securityholders, (c) up to 9,597,534 shares of Class A Common Stock issued or issuable upon the conversion of 26,000 shares of Series A Preferred Stock originally issued to the Series A Investors, (d) up to 706,522 shares of Class A Common Stock issuable upon the exercise of the Preferred Investor Warrants at an exercise price of $11.50 originally issued to the Series A Investors at a price of $1,000 per Series A Preferred Stock and Preferred Investor Warrants in connection with the Series A Preferred Securities Purchase Agreement, (e) 6,845,000 shares of Class A Common Stock underlying the Private Placement Warrants and (f) 1,450,000 shares of Class A Common Stock underlying the Public Warrants; (ii) 23,529,415 shares of Class A Common Stock, consisting of (a) 4,705,883 PIPE Shares, (b) 4,705,883 shares of Class A Common Stock issued upon the exercise of the Series A Warrant, (c) 4,705,883 shares of Class A Common Stock issued upon the exercise of the Series B Warrant, (d) 4,705,883 shares of Class A Common Stock issued upon the exercise of the New Series B Warrant and (e) 4,705,883 shares of Class A Common Stock issued upon the exercise of the New Series A Warrant; and (iii) 11,788,838 shares of Class A Common Stock, comprised of (a) 3,487,278 shares of Class A Common Stock issued to Ghaffarian Enterprises in connection with the Loan Conversion and (b) up to 8,301,560 shares of Class A Common Stock issuable upon the exercise of the Conversion Warrants. Depending on the price, the public securityholders may have paid significantly more than the selling security holders for any shares of Class A Common Stock or Initial Resale Warrants they may have purchased in the open market based on variable market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 substantial number of our shares of Class A Common Stock and/or Initial Resale Warrants in the public market by the selling securityholders and/or by our other existing securityholders, or the perception that those sales might occur, could depress the market price of our Class A Common Stock and Initial Resale Warrants and could impair our ability to raise capital through the sale of additional equity securities. We are unable to predict the effect that such sales may have on the prevailing market price of our Class A Common Stock and Initial Resale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 of all the shares of Class A Common Stock being offered in this prospectus could result in a significant decline in the public trading price of our Class A Common Stock. Despite such a decline in the public trading price, the selling securityholders may still experience a positive rate of return on the securities it purchased due to the differences in the purchase prices described elsewhere in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7" w:name="T9905"/>
      <w:bookmarkEnd w:id="7"/>
      <w:r>
        <w:rPr>
          <w:rFonts w:ascii="Times New Roman PS Std;serif" w:hAnsi="Times New Roman PS Std;serif"/>
          <w:b/>
          <w:i w:val="false"/>
          <w:caps/>
          <w:sz w:val="20"/>
        </w:rPr>
        <w:t>Use of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the proceeds from the issuance and sale of our Class A Common Stock pursuant to this prospectus. All of the shares of Class A Common Stock and warrants offered by the selling securityholders pursuant to this prospectus will be sold by them for their respective accounts. We will not receive any of the proceeds from these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will pay any underwriting fees, discounts, selling commissions, stock transfer taxes and certain legal expenses incurred by such selling securityholders in disposing of their shares of Class A Common Stock and warrants,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any proceeds from the exercise of the Initial Resale Warrants and the Preferred Investor Warrants for cash, but not from the resale of the shares of Class A Common Stock issuable upon such exercise. Assuming the exercise of all outstanding Initial Resale Warrants and Preferred Investor Warrants for cash, we will receive an aggregate of approximately $260.0 million. There is no assurance that the holders of the Initial Resale Warrants or the Preferred Investor Warrants will elect to exercise for cash any or all of such Initial Resale Warrants or Preferred Investor Warrants, as applicable. Each Initial Resale Warrant and Preferred Investor Warrant entitles the holder thereof to purchase one share of our Class A Common Stock at a price of $11.50 per share. On March 25, 2024, the closing price of our Class A Common Stock was $6.15. If the price of our Class A Common Stock remains below $11.50 per share, which is the exercise price of the Initial Resale Warrants and the Preferred Investor Warrants, holders of the Initial Resale Warrants or the Preferred Investor Warrants, as applicable, will be unlikely to cash exercise their Initial Resale Warrants or Preferred Investor Warrants, as applicable, resulting in little to no cash proceeds to us. To the extent that any Initial Resale Warrants or Preferred Investor Warrants are exercised on a “cashless basis,” the amount of cash we would receive from the exercise of the Initial Resale Warrants or the Preferred Investor Warrants will decrease.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also receive any proceeds from the exercise of the Conversion Warrants for cash, but not from the resale of the shares of Class A Common Stock issuable upon such exercise. Each of the Conversion Warrants entitles the holder thereof to purchase up to 4,150,780 shares of, at the holder’s election, our Class A Common Stock (at an exercise price per share equal to $2.57 per share), our Class C Common Stock (at an exercise price per share equal to $0.0001 per share) or a combination thereof. Assuming the exercise in full of the Conversion Warrants for cash, we would receive an aggregate of approximately $21.3 million. There is no assurance that the holder of the Conversion Warrants will elect to exercise for cash the Conversion Warrants or any portions thereof. On March 25, 2024, the closing price of our Class A Common Stock on Nasdaq was $6.15. If the price of our Class A Common Stock is below $2.57 per share, the holder of the Conversion Series A Warrant and the Conversion Series B Warrant will be unlikely to cash exercise the Conversion Warrants, resulting in little to no cash proceeds to us. The Conversion Warrants can be exercised on a “cashless basis” for shares of Class A Common Stock at any time on or after July 29, 2024 if and to the extent that the shares of Class A Common Stock underlying such Conversion Warrants are not registered under the Securities Act. To the extent that any Conversion Warrants are exercised on a “cashless basis” for shares of Class A Common Stock, the amount of cash we would receive from the exercise of the Conversion Warrants will decrease.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proceeds received from the issuance and sale by us of any Class A Common Stock and the cash exercise of the Initial Resale Warrants, the Preferred Investor Warrants, the New PIPE Warrants and the Conversion Warrants, if any, for general corporate purposes.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8" w:name="T9906"/>
      <w:bookmarkEnd w:id="8"/>
      <w:r>
        <w:rPr>
          <w:rFonts w:ascii="Times New Roman PS Std;serif" w:hAnsi="Times New Roman PS Std;serif"/>
          <w:b/>
          <w:i w:val="false"/>
          <w:caps/>
          <w:sz w:val="20"/>
        </w:rPr>
        <w:t>Description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summary of the material terms of our securities is not intended to be a complete summary of the rights and preferences of such securities. The full text of the Certificate of Incorporation and By-Laws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are included as exhibits to the registration statement of which this prospectus forms a part. You are encouraged to read the applicable provisions of Delaware law, the Certificate of Incorporation and the By-Laws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in their entirety for a complete description of the rights and preferences of our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authorizes the issuance of 725,000,000 shares, consisting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500,000,000 shares of Class A Common Stock, par value $0.0001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100,000,000 shares of Class B Common Stock, par value $0.0001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100,000,000 shares of Class C Common Stock, par value $0.0001 per share (together with the Class A Common Stock and Class B Common Stock, the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25,000,000 shares of preferred stock, par value $0.0001 per share (the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the Certificate of Incorporation, the holders of shares of Class A Common Stock, Class B Common Stock and Class C Common Stock shall vote together as a single class (or, if any holders of shares of Preferred Stock are entitled to vote together with the holders of Class A Common Stock, Class B Common Stock and Class C Common Stock, as a single class with such holders of Preferred Stock) on all matters submitted to a vote of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provisions of the Certificate of Incorporation and By-Laws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A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Each holder of Class A Common Stock is entitled to one vote for each share of Class A Common Stock held of record in person or by proxy on all matters submitted to a vote of the holders of Class A Common Stock, whether voting separately as a class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 rights.    </w:t>
      </w:r>
      <w:r>
        <w:rPr>
          <w:rFonts w:ascii="Times New Roman PS Std;serif" w:hAnsi="Times New Roman PS Std;serif"/>
          <w:b w:val="false"/>
          <w:i w:val="false"/>
          <w:caps w:val="false"/>
          <w:smallCaps w:val="false"/>
          <w:sz w:val="20"/>
        </w:rPr>
        <w:t>Subject to applicable law and the rights and preferences of any holders of any outstanding series of Preferred Stock or any class or series of stock having a preference over or the right to participate with the Class A Common Stock with respect to the payment of dividends, holders of Class A Common Stock, as such, shall be entitled to the payment of dividends on the Class A Common Stock when, as and if declared by the Board in accordance with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of future dividends on the shares of Class A Common Stock will depend on our financial condition, and subject to the discretion of the Board. There can be no guarantee that cash dividends will be declared. Our ability to declare dividends may be limited by the terms and conditions of other financing and other agreements entered into by us or any of our subsidiaries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upon liquidation.    </w:t>
      </w:r>
      <w:r>
        <w:rPr>
          <w:rFonts w:ascii="Times New Roman PS Std;serif" w:hAnsi="Times New Roman PS Std;serif"/>
          <w:b w:val="false"/>
          <w:i w:val="false"/>
          <w:caps w:val="false"/>
          <w:smallCaps w:val="false"/>
          <w:sz w:val="20"/>
        </w:rPr>
        <w:t>In the event of liquidation, dissolution or winding up of the affairs of Intuitive Machines, whether voluntary or involuntary, after payment or provision for payment of the debts and other liabilities of Intuitive Machines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Intuitive Machines available for distribution shall be divided among and paid ratably to the holders of all outstanding shares of our Class A Common Stock in proportion to the number of shares held by each such stockholder.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Other rights.    </w:t>
      </w:r>
      <w:r>
        <w:rPr>
          <w:rFonts w:ascii="Times New Roman PS Std;serif" w:hAnsi="Times New Roman PS Std;serif"/>
          <w:b w:val="false"/>
          <w:i w:val="false"/>
          <w:caps w:val="false"/>
          <w:smallCaps w:val="false"/>
          <w:sz w:val="20"/>
        </w:rPr>
        <w:t>The holders of Class A Common Stock have no pre-emptive or conversion rights or other subscription rights. There are no redemption or sinking fund provisions applicable to the Class A Common Stock. The rights, preferences and privileges of holders of the Class A Common Stock are subject to those of the holders of any shares of the Preferred Stock that we may issue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Each holder of Class B Common Stock is entitled to one vote for each share of Class B Common Stock held of record in person or by proxy on all matters submitted to a vote of the holders of Class B Common Stock, whether voting separately as a class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 rights.    </w:t>
      </w:r>
      <w:r>
        <w:rPr>
          <w:rFonts w:ascii="Times New Roman PS Std;serif" w:hAnsi="Times New Roman PS Std;serif"/>
          <w:b w:val="false"/>
          <w:i w:val="false"/>
          <w:caps w:val="false"/>
          <w:smallCaps w:val="false"/>
          <w:sz w:val="20"/>
        </w:rPr>
        <w:t>Other than in connection with a dividend declared by the Board in connection with a “poison pill” or similar stockholder rights plan, dividends shall not be declared or paid on the Class B Common Stock and the holders of shares of Class B Common Stock shall have no right to receive dividends in respect of such shares of Class B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upon liquidation.    </w:t>
      </w:r>
      <w:r>
        <w:rPr>
          <w:rFonts w:ascii="Times New Roman PS Std;serif" w:hAnsi="Times New Roman PS Std;serif"/>
          <w:b w:val="false"/>
          <w:i w:val="false"/>
          <w:caps w:val="false"/>
          <w:smallCaps w:val="false"/>
          <w:sz w:val="20"/>
        </w:rPr>
        <w:t>Each holder of shares of Class B Common Stock shall be entitled to receive $0.0001 per share of Class B Common Stock owned of record by such holder on the record date for such distribution, and upon receiving such amount, the holders of shares of Class B Common Stock, in their capacity as such, shall not be entitled to receive any other assets or funds of 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Permitted Ownership.    </w:t>
      </w:r>
      <w:r>
        <w:rPr>
          <w:rFonts w:ascii="Times New Roman PS Std;serif" w:hAnsi="Times New Roman PS Std;serif"/>
          <w:b w:val="false"/>
          <w:i w:val="false"/>
          <w:caps w:val="false"/>
          <w:smallCaps w:val="false"/>
          <w:sz w:val="20"/>
        </w:rPr>
        <w:t>Shares of Class B Common Stock may be issued only to, and registered only in the name of, the Intuitive Machines Members, their respective successors and assigns and their respective permitted transferees (the Intuitive Machines Members, together with all such subsequent successors, assigns and permitted transferees, collectively, the “Permitted Class B Owners”), and the aggregate number of shares of Class B Common Stock at any time registered in the name of each such Permitted Class B Owner must be equal to the aggregate number of Intuitive Machines OpCo Common Units held of record at such time by such Permitted Class B Owner under the Second Amended and Restated Limited Liability Company Agreement of Intuitive Machines OpCo (the “A&amp;R Operating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C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Each holder of Class C Common Stock is entitled to three votes for each share of Class C Common Stock held of record in person or by proxy on all matters submitted to a vote of the holders of Class C Common Stock, whether voting separately as a class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 rights.    </w:t>
      </w:r>
      <w:r>
        <w:rPr>
          <w:rFonts w:ascii="Times New Roman PS Std;serif" w:hAnsi="Times New Roman PS Std;serif"/>
          <w:b w:val="false"/>
          <w:i w:val="false"/>
          <w:caps w:val="false"/>
          <w:smallCaps w:val="false"/>
          <w:sz w:val="20"/>
        </w:rPr>
        <w:t>Other than in connection with a dividend declared by the Board in connection with a “poison pill” or similar stockholder rights plan, dividends shall not be declared or paid on the Class C Common Stock and the holders of shares of Class C Common Stock shall have no right to receive dividends in respect of such shares of Class C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upon liquidation.    </w:t>
      </w:r>
      <w:r>
        <w:rPr>
          <w:rFonts w:ascii="Times New Roman PS Std;serif" w:hAnsi="Times New Roman PS Std;serif"/>
          <w:b w:val="false"/>
          <w:i w:val="false"/>
          <w:caps w:val="false"/>
          <w:smallCaps w:val="false"/>
          <w:sz w:val="20"/>
        </w:rPr>
        <w:t>Each holder of shares of Class C Common Stock shall be entitled to receive $0.0001 per share of Class C Common Stock owned of record by such holder on the record date for such distribution, and upon receiving such amount, the holders of shares of Class C Common Stock, in their capacity as such, shall not be entitled to receive any other assets or funds of 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Permitted Ownership.    </w:t>
      </w:r>
      <w:r>
        <w:rPr>
          <w:rFonts w:ascii="Times New Roman PS Std;serif" w:hAnsi="Times New Roman PS Std;serif"/>
          <w:b w:val="false"/>
          <w:i w:val="false"/>
          <w:caps w:val="false"/>
          <w:smallCaps w:val="false"/>
          <w:sz w:val="20"/>
        </w:rPr>
        <w:t>Shares of Class C Common Stock may be issued only to, and registered only in the name of, our founders, their respective successors and assigns and their respective permitted transferees (our founders, together with all such subsequent successors, assigns and permitted transferees, collectively, the “Permitted Class C Owners”), and the aggregate number of shares of Class C Common Stock at any time registered in the name of each such Permitted Class C Owner must be equal to the aggregate number of Intuitive Machines OpCo Common Units held of record at such time by such Permitted Class C Owner under the A&amp;R Operating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Conversion of Class B Common Stock and Class C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upon transfer.    </w:t>
      </w:r>
      <w:r>
        <w:rPr>
          <w:rFonts w:ascii="Times New Roman PS Std;serif" w:hAnsi="Times New Roman PS Std;serif"/>
          <w:b w:val="false"/>
          <w:i w:val="false"/>
          <w:caps w:val="false"/>
          <w:smallCaps w:val="false"/>
          <w:sz w:val="20"/>
        </w:rPr>
        <w:t>A holder of Class B Common Stock or Class C Common Stock may surrender shares of Class B Common Stock or Class C Common Stock to us for cancellation for no consideration at any time. Following the surrender or other acquisition of any shares of Class B Common Stock or Class C Common Stock to or by us, we will take all actions necessary to cancel and retire such shares and such shares shall not be re-issued by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Class B Common Stock or Class C Common Stock may transfer or assign shares of Class B Common Stock or Class C Common Stock (or any legal or beneficial interest in such shares) (directly or indirectly, including by operation of law) only to a permitted transferee of such holder or to a non-permitted transferee with our approval in advance and in writing, and only if such holder also simultaneously transfers, in each case, an equal number of such holder’s Intuitive Machines OpCo Common Units to such permitted transferee or such non-permitted transferee, as applicable, in compliance with the A&amp;R Operating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(including a majority of the directors who are disinterested with respect to the relevant transaction serving on the Board at such time) may, to the extent permitted by law, from time to time establish, modify, amend or rescind, by bylaw or otherwise, regulations and procedures not inconsistent with the provisions described herein for determining whether any transfer or acquisition of shares of Class B Common Stock or Class C Common Stock would violate the restrictions described herein and for the orderly application, administration and implementation of the provisions of the Certificate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Voluntary Conversion.    </w:t>
      </w:r>
      <w:r>
        <w:rPr>
          <w:rFonts w:ascii="Times New Roman PS Std;serif" w:hAnsi="Times New Roman PS Std;serif"/>
          <w:b w:val="false"/>
          <w:i w:val="false"/>
          <w:caps w:val="false"/>
          <w:smallCaps w:val="false"/>
          <w:sz w:val="20"/>
        </w:rPr>
        <w:t>Each one share of Class C Common Stock shall be convertible into one share of Class B Common Stock at the option of the holder thereof at any time upon written notice to our transfer agent. Shares of Class C Common Stock that are converted into shares of Class B Common Stock as provided in the Certificate of Incorporation shall be retired and may not be reissued.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Automatic Conversion.    </w:t>
      </w:r>
      <w:r>
        <w:rPr>
          <w:rFonts w:ascii="Times New Roman PS Std;serif" w:hAnsi="Times New Roman PS Std;serif"/>
          <w:b w:val="false"/>
          <w:i w:val="false"/>
          <w:caps w:val="false"/>
          <w:smallCaps w:val="false"/>
          <w:sz w:val="20"/>
        </w:rPr>
        <w:t>On the earliest to occur of: (i) the date that is seven (7) years from the date of the Certificate of Incorporation and (ii) the first date on which the Permitted Class C Owners cease to own, in the aggregate, at least 33.0% of the number of shares of Class C Common Stock issued and held by the Permitted Class C Owners immediately following the closing of the Transactions (adjusted as appropriate to reflect any stock splits, reverse stock splits, stock dividends (including any dividend or distribution of securities convertible into Common Stock), reorganization, recapitalization, reclassification, combination, exchange of shares or other like change or transaction) (such date, the “Automatic Conversion Date”), each outstanding share of Class C Common Stock shall automatically, without any further action by us or any stockholder, convert into one fully paid and nonassessable share of Class B Common Stock. Following such conversion, the reissuance of such shares of Class C Common Stock shall be prohibited, and such shares of Class C Common Stock shall be retired and cancelled in accordance with the applicable provisions of the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to Class A Common Stock.    </w:t>
      </w:r>
      <w:r>
        <w:rPr>
          <w:rFonts w:ascii="Times New Roman PS Std;serif" w:hAnsi="Times New Roman PS Std;serif"/>
          <w:b w:val="false"/>
          <w:i w:val="false"/>
          <w:caps w:val="false"/>
          <w:smallCaps w:val="false"/>
          <w:sz w:val="20"/>
        </w:rPr>
        <w:t>After the expiration of the Lock-Up Period, holders of certain Intuitive Machines OpCo Common Units will be permitted to exchange such Intuitive Machines OpCo Common Units (along with the cancellation of the paired share of Class B Common Stock or share of Class C Common Stock) for shares of Class A Common Stock on a one-for-one basis pursuant to the A&amp;R Operating Agreement (subject to customary conversion rate adjustments for stock splits, stock dividends and reclassifications) or, at our election (determined by a majority of our directors who are disinterested with respect to such determination), cash from a substantially concurrent public offering or private sale in an amount equal to the net amount, on a per share basis, of cash received as a result of such public offering or private sale.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of our authorized shares of Preferred Stock is 25,000,000 shares. In a series of notifications to the Company during February 2024, the registered holder of 21,000 shares of Series A Preferred Stock elected to convert all of its Series A Preferred Stock holdings into Class A Common Stock at a conversion price of $3.00 per share (the “Preferred Stock Conversion”). The Company issued 7,738,743 shares of Class A Common Stock as a result of the Preferred Stock Conversion. We currently have 5,000 shares of Series A Preferred Stock issued and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Certificate of Incorporation authorizes the Board to establish one or more series of Preferred Stock. Unless required by law or any stock exchange, the authorized shares of Preferred Stock are available for issuance without further action by the holders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Intuitive Machines without further action by the stockholders. Additionally, the issuance of Preferred Stock may adversely affect the holders of our Common Stock by restricting dividends 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Common Stock, diluting the voting power of the Common Stock or subordinating the liquidation rights of the Common Stock. As a result of these or other factors, the issuance of Preferred Stock could have an adverse impact on the market price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Dividends.    </w:t>
      </w:r>
      <w:r>
        <w:rPr>
          <w:rFonts w:ascii="Times New Roman PS Std;serif" w:hAnsi="Times New Roman PS Std;serif"/>
          <w:b w:val="false"/>
          <w:i w:val="false"/>
          <w:caps w:val="false"/>
          <w:smallCaps w:val="false"/>
          <w:sz w:val="20"/>
        </w:rPr>
        <w:t>The Series A Preferred Stock pays dividends, semi-annually at the rate of 10% of the original price per share, plus the amount of previously accrued, but unpaid dividends, compounded semi-annually, and participates with our Common Stock on all other dividends. Accrued dividends may be paid (i) in cash, (ii) subject to satisfaction of certain equity conditions, in shares of Class A Common Stock or (iii) accumulated, compounded and added to the liquidation preference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Liquidation Preference.    </w:t>
      </w:r>
      <w:r>
        <w:rPr>
          <w:rFonts w:ascii="Times New Roman PS Std;serif" w:hAnsi="Times New Roman PS Std;serif"/>
          <w:b w:val="false"/>
          <w:i w:val="false"/>
          <w:caps w:val="false"/>
          <w:smallCaps w:val="false"/>
          <w:sz w:val="20"/>
        </w:rPr>
        <w:t>Upon any liquidation or deemed liquidation event, the holders of Series A Preferred Stock will be entitled to receive out of the available proceeds, before any distribution is made to holders of common stock or any other junior securities, an amount per share equal to the greater of (i) 100% of the Accrued Value (as defined in the Certificate of Designation) or (ii) such amount per share as would have been payable had all shares of Series A Preferred Stock been converted into Class A Common Stock immediately prior to the liquidation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w:t>
      </w:r>
      <w:r>
        <w:rPr>
          <w:rFonts w:ascii="Times New Roman PS Std;serif" w:hAnsi="Times New Roman PS Std;serif"/>
          <w:b w:val="false"/>
          <w:i w:val="false"/>
          <w:caps w:val="false"/>
          <w:smallCaps w:val="false"/>
          <w:sz w:val="20"/>
        </w:rPr>
        <w:t>The Series A Preferred Stock votes together with our Common Stock on an as-converted basis, except as required by law and (ii) as noted below under “</w:t>
      </w:r>
      <w:r>
        <w:rPr>
          <w:rFonts w:ascii="Times New Roman PS Std;serif" w:hAnsi="Times New Roman PS Std;serif"/>
          <w:b w:val="false"/>
          <w:i/>
          <w:caps w:val="false"/>
          <w:smallCaps w:val="false"/>
          <w:sz w:val="20"/>
        </w:rPr>
        <w:t>Protective Provisions</w:t>
      </w:r>
      <w:r>
        <w:rPr>
          <w:rFonts w:ascii="Times New Roman PS Std;serif" w:hAnsi="Times New Roman PS Std;serif"/>
          <w:b w:val="false"/>
          <w:i w:val="false"/>
          <w:caps w:val="false"/>
          <w:smallCaps w:val="false"/>
          <w:sz w:val="20"/>
        </w:rPr>
        <w:t>.” Each holder of Series A Preferred Stock shall be entitled to cast the number of votes equal to the number of whole shares of Class A Common Stock into which the shares of Series A Preferred Stock held by such holder are convertible as of the record date for determining stockholders entitled to vote on such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Protective Provisions.    </w:t>
      </w:r>
      <w:r>
        <w:rPr>
          <w:rFonts w:ascii="Times New Roman PS Std;serif" w:hAnsi="Times New Roman PS Std;serif"/>
          <w:b w:val="false"/>
          <w:i w:val="false"/>
          <w:caps w:val="false"/>
          <w:smallCaps w:val="false"/>
          <w:sz w:val="20"/>
        </w:rPr>
        <w:t>For as long as 25% of the shares of Series A Preferred Stock issued as of the Closing Date are outstanding, we shall not, without the affirmative vote or action by written consent of holders of more than 50% of the issued and outstanding shares of Series A Preferred Stock (the “Requisite Holders”), take any of the following actions: (i) liquidate, dissolve or wind up the affairs of Intuitive Machines; (ii) amend, alter, or repeal any provision of the Certificate of Incorporation, By-Laws or any similar document of Intuitive Machines in a manner adverse to the Series A Preferred Stock; (iii) create or authorize the creation of or issue any other security convertible into or exercisable for any equity security unless such security ranks junior to the Series A Preferred Stock with respect to its rights, preferences and privileges, or increase the authorized number of shares of Series A Preferred Stock; provided, that Intuitive Machines shall be permitted to issue up to $50.0 million in equity securities without the consent of the Requisite Holders; (iv) purchase or redeem or pay any cash dividend on any capital stock prior to the Series A Preferred Stock, other than stock repurchased at cost from former employees and consultants in connection with the cessation of their service; or (v) incur or guarantee any indebtedness, if the aggregate indebtedness of Intuitive Machines and its subsidiaries for borrowed money following such action would exceed $100,000,000; provided, however, that the Series A Preferred Stock shall not be considered indebtedness for purposes of this calculation (irrespective of the accounting treatment that the Series A Preferred Stock receives under Intuitive Machines’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w:t>
      </w:r>
      <w:r>
        <w:rPr>
          <w:rFonts w:ascii="Times New Roman PS Std;serif" w:hAnsi="Times New Roman PS Std;serif"/>
          <w:b w:val="false"/>
          <w:i w:val="false"/>
          <w:caps w:val="false"/>
          <w:smallCaps w:val="false"/>
          <w:sz w:val="20"/>
        </w:rPr>
        <w:t>Each share of Series A Preferred Stock will be convertible at the holder’s option into shares of Class A Common Stock at an initial conversion ratio determined by dividing the Accrued Value (as defined in the Certificate of Designation) of such shares of Series A Preferred Stock by the conversion price of $12.00 per share subject to adjustment in accordance with the terms of the Certificate of Designation.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Put Rights.    </w:t>
      </w:r>
      <w:r>
        <w:rPr>
          <w:rFonts w:ascii="Times New Roman PS Std;serif" w:hAnsi="Times New Roman PS Std;serif"/>
          <w:b w:val="false"/>
          <w:i w:val="false"/>
          <w:caps w:val="false"/>
          <w:smallCaps w:val="false"/>
          <w:sz w:val="20"/>
        </w:rPr>
        <w:t>Unless prohibited by applicable law governing distributions to stockholders, the Series A Preferred Stock shall be redeemable at the option of the Requisite Holders commencing any time after the 5th year anniversary of the Closing at a price equal to the 100% of the sum of (i) original purchase price plus (ii) all accrued/declared but unpaid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Call Rights.    </w:t>
      </w:r>
      <w:r>
        <w:rPr>
          <w:rFonts w:ascii="Times New Roman PS Std;serif" w:hAnsi="Times New Roman PS Std;serif"/>
          <w:b w:val="false"/>
          <w:i w:val="false"/>
          <w:caps w:val="false"/>
          <w:smallCaps w:val="false"/>
          <w:sz w:val="20"/>
        </w:rPr>
        <w:t>Unless prohibited by applicable law governing distributions to stockholders, the Series A Preferred Stock shall be redeemable at our option commencing any time (A) after the 3rd year anniversary of the Closing at a price equal to the 115% of the Accrued Value, (B) after the 4th anniversary of the Closing at a price equal to the 110% of the Accrued Value and (C) after the 5th anniversary of the Closing at a price equal to the 100% of the Accrued Value.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and upon the effective time of the Domestication, amongst other things (a) each IPAX warrant was automatically converted into a redeemable warrant on the same terms as the IPAX warrants, and (b) each unit of IPAX (the “IPAX unit”) issued and outstanding as of immediately prior to the Domestication was automatically canceled and each holder received one share of Class A Common Stock and one-half of one warrant. No fractional warrants were issued upon separation of the IPAX units.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whole warrant received upon conversion of a Public Warrant entitles the registered holder to purchase one share of Class A Common Stock at a price of $11.50 per share, subject to adjustment as discussed below, at any time commencing 30 days after the Closing Date, provided that we have an effective registration statement under the Securities Act covering the shares of Class A Common Stock issuable upon exercise of such warrants and a current prospectus relating to them is available (or we permit holders to exercise such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Public Warrants only for a whole number of shares of Class A Common Stock. This means only a whole Public Warrant may be exercised at a given time by a warrant holder. No fractional Public Warrants were issued upon separation of the IPAX Units and only whole Public Warrants trade. The Public Warrants will expire on February 13, 2028, at 5:00 p.m., New York City time,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obligated to deliver any shares of Class A Common Stock pursuant to the exercise of a warrant issued upon conversion of a Public Warrant and have no obligation to settle such warrant exercise unless a registration statement under the Securities Act with respect to the shares of Class A Common Stock underlying such warrants is then effective and a prospectus relating thereto is current, subject to us satisfying our obligations described below with respect to registration. No warrant issued upon conversion of a Public Warrant is exercisable and we are not obligated to issue a share of Class A Common Stock upon exercise of such warrant unless the share of Class A Common Stock issuable upon exercise of such warrant has been registered, qualified or deemed to be exempt under the securities laws of the state of residence of the registered holder of such warrant. In the event that the conditions in the two immediately preceding sentences are not satisfied with respect to a warrant issued upon conversion of a Public Warrant, the holder of such warrant is not entitled to exercise such warrant and such warrant may have no value and expire worthless. In no event are we required to net cash settle any Public Warrant. In the event that a registration statement is not effective for the shares of Class A Common Stock underlying the exercised Public Warrants, the purchaser of an IPAX unit containing the Public Warrant that has been converted into a warrant will have paid the full purchase price for the IPAX unit solely for the share of Class A Common Stock underlying such IPAX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agreed that as soon as practicable, but in no event later than 30 business days after the closing of the Transactions, we will use commercially reasonable efforts to file with the SEC a registration statement for the registration, under the Securities Act, of the shares of our Class A Common Stock issuable upon exercise of the Public Warrants and thereafter, will use commercially reasonable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Public Warrants is not effective by the sixtieth (60th) business day after the closing of the Transactions, holders of Public Warrants may, until such time as there is an effective registration statement and during any period when we have failed to maintain an effective registration statement, exercise their Public Warrants on a “cashless basis” in accordance with Section 3(a)(9) of the Securities Act or another exemption. Notwithstanding the above, if the Class A Common Stock is at the time of any exercise of a Public Warrant not listed on a national securities exchange such that they satisfy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and in the event we do not so elect, we must use our best efforts to register or qualify the shares of Class A Common Stock under applicable blue sky laws to the extent an exemption is not available. In such event, each holder would pay the exercise price by surrendering the Public Warrants for that number of shares of Class A Common Stock equal to the quotient obtained by dividing (x) the product of the number of shares of Class A Common Stock underlying the Public Warrants,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multiplied by the excess of the “fair market value” (defined below) less the exercise price of such Public Warrants by (y) the fair market value. The “fair market value” as used in this paragraph means the volume weighted average price of the Class A Common Stock for the 10 trading days ending on the trading day prior to the date on which the notice of exercise is received by the warrant agent.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of Public Warrants when the price per share of Class A Common Stock equals or exceeds $18.00.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the Public Warrants become exercisable, we may redeem the outstanding Public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Public Warrant;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(the “30-day redemption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closing price of the Class A Common Stock equals or exceeds $18.00 per share (as adjusted for adjustments to the number of shares issuable upon exercise or the exercise price of a Public Warrant as described under the heading “— Anti-dilution Adjustments”) for any 20 trading days within a 30-trading day period ending three business days before we send the notice of redemption to the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and when the Public Warrants become redeemable by us, we may exercise our redemption right even if we are unable to register or qualify the underlying securities for sale under all applicable state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foregoing conditions are satisfied and we issue a notice of redemption of the Public Warrants, each holder of Public Warrants will be entitled to exercise his, her or its Public Warrants prior to the scheduled redemption date. However, the price of the Class A Common Stock may fall below the $18.00 per share redemption trigger price (as adjusted for stock dividends, split-ups, reorganizations, recapitalizations and the like) as well as the $11.50 Public Warrant exercise price after the redemption notice is issued.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Anti-dilution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the quotient of (x) the price per share of Class A Common Stock paid in such rights offering and (y) the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fair market value means the volume weighted average price of shares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we, at any time while the Public Warrants are outstanding and unexpired, pay a dividend or make a distribution in cash, securities or other assets to all or substantially all the holders of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Intuitive Machines with or into another corporation (other than a consolidation or merger in which Intuitive Machines is the continuing corporation and that does not result in any reclassification or reorganization of its issued and outstanding shares of Class A Common Stock), or in the case of any sale or conveyance to another corporation or entity of the assets or other property of Intuitive Machines as an entirety or substantially as an entirety in connection with which Intuitive Machines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are issued in registered form under the Warrant Agreement. The Warrant Agreement provides that the terms of the Public Warrants may be amended without the consent of any holder to cure any ambiguity or correct any defective provision, but requires the approval by the holders of at least a majority of then-outstanding Public Warrants to make any change that adversely affects the interests of the registered holders of such Public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may be exercised upon surrender of the warrant certificate on or prior to the expiration date at the offices of Continental Stock Transfer &amp; Trust Company,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Class A Common Stock or any voting rights until they exercise their Public Warrants and receive shares of our Class A Common Stock. After the issuance of shares of our Class A Common Stock upon exercise of the Public Warrants, each holder will be entitled to one vote for each share held of record on all matters to be voted on by stockholders.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received upon conversion of the Private Placement Warrants (including the shares of Class A Common Stock issuable upon exercise of such warrants) will not be transferable, assignable or saleable until 30 days after the Closing Date (except, among other limited exceptions, to IPAX’s officers and directors and other persons or entities affiliated with the Sponsor). Except as described herein, the warrants received upon conversion of the Private Placement Warrants have terms and provisions that are identical to those of the warrants received upon conversion of the Public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Investor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Preferred Investor Warrants were immediately exercisable upon issuance at the consummation of the Transactions and expire on February 13, 2028 at 5:00 p.m., New York City time (the “PIW Termination Date”). The Preferred Investor Warrants include customary cash and cashless exercise provisions. Each Preferred Investor Warrant is initially exercisable at $15.00 per share of Class A Common Stock, subject to certain adjustments including those resulting from (i) stock dividends and splits, (ii) subsequent rights offerings, (iii) pro-rata distributions, (iv) fundamental transactions, (v) certain voluntary adjustments and (vi) issuances or deemed issuances of shares of Class A Common Stock at a price below the exercise price then in effect, subject in the case of adjustments described in this clause (vi), to an exercise price floor of $11.50, in each case, in accordance with the terms of the Preferred Investor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Preferred Investor Warrants do not include any redemption features. The Preferred Investor Warrants may be exercised on a cashless basis if, at any time after the six-month anniversary of the Closing Date, there is not an effective registration statement with respect to the shares of Class A Common Stock issuable upon the exercise of the Preferred Investor Warrants. On the PIW Termination Date, the Preferred Investor Warrants will be automatically exercised on a cashless basis. To exercise on a cashless basis, the holder of the Preferred Investor Warrant would pay the exercise price by surrendering the Preferred Investor Warrant (or part thereof) for that number of shares of Class A Common Stock equal to the quotient obtained by dividing (x) the product of the number of shares of Class A Common Stock underlying the Preferred Investor Warrant, multiplied by the excess of the daily volume weighted average price of the Class A Common Stock on the date specified by the Preferred Investor Warrant less the exercise price of such Preferred Investor Warrant by (y) the daily volume weighted average price of the Class A Common Stock on the date specified by the Preferred Investor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Preferred Investor Warrants do not have the rights or privileges of holders of shares of Class A Common Stock or any voting rights in respect of the Preferred Investor Warrants or underlying shares of Class A Common Stock until they exercise their Preferred Investor Warrants and receive shares of Class A Common Stock. After the issuance of shares of Class A Common Stock upon exercise of the Preferred Investor Warrants, each holder will be entitled to one vote for each share of Class A Common Stock held of record on all matters to be voted on by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Series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Warrant was immediately exercisable upon issuance in the Armistice Private Placement. Pursuant to the Series A Warrant Exercise, Armistice exercised in full the Series A Warrant for cash.</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Series B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B Warrant was immediately exercisable upon issuance in the Armistice Private Placement. Pursuant to the Warrant Exercise Agreement, on January 10, 2024, Armistice exercised in full the Series B Warrant for cash.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New Series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Series A Warrant became exercisable on February 15, 2024. Pursuant to the New Series A Warrant Exercise, Armistice exercised in full the New Series A Warrant for cash.</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New Series B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Series B Warrant became exercisable on February 15, 2024. Pursuant to the New Series B Warrant Exercise, Armistice exercised in full the New Series B Warrant for cash.</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Conversion Series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Series A Warrant was immediately exercisable upon issuance in connection with the Loan Conversion and expires on January 29, 2029. The Conversion Series A Warrant contains customary cash exercise provisions. The Conversion Series A Warrant is exercisable for up to an aggregate of 4,150,780 shares of, at the holder’s election, Class A Common Stock (at an exercise price per share equal to $2.57 per share), Class C Common Stock (at an exercise price per share equal to $0.0001 per share) or a combination thereof, subject to standard adjustments to the exercise price including for (i) stock dividends and splits, (ii) subsequent rights offerings, (iii) pro rata distributions and (iv) fundamental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Series A Warrant does not include any redemption features. The Conversion Series A Warrant may be exercised on a cashless basis for shares of Class A Common Stock at any time on or after July 29, 2024, if and to the extent that the shares of Class A Common Stock underlying the Conversion Series A Warrant are not registered under the Securities Act. On January 29, 2029, the Conversion Series A Warrant will be automatically exercised on a cashless basis for shares of Class A Common Stock. To exercise on a cashless basis, the holder of the Conversion Series A Warrant would pay the exercise price by surrendering the Conversion Series A Warrant (or part thereof) for that number of shares of Class A Common Stock equal to the quotient obtained by dividing (x) the product of the number of shares of Class A Common Stock underlying the Conversion Series A Warrant, multiplied by the excess of the daily volume weighted average price of the Class A Common Stock on the date specified by the Conversion Series A Warrant less the exercise price of such Conversion Series A Warrant by (y) the daily volume weighted average price of the Class A Common Stock on the date specified by the Conversion Series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of the Conversion Series A Warrant does not have the rights or privileges of holders of shares of Class A Common Stock or Class C Common Stock or any voting rights in respect of the Conversion Series A Warrant or underlying shares of Class A Common Stock and/or Class C Common Stock until it exercises the Conversion Series A Warrant and receives shares of Class A Common Stock and/or Class C Common Stock. After the issuance of shares of Class A Common Stock and/or Class C Common Stock upon exercise of the Conversion Series A Warrant, the holder will be entitled to one vote for each share of Class A Common Stock and/or three votes for each share of Class C Common Stock, as applicable, held of record on all matters to be voted on by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Conversion Series B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Series B Warrant was immediately exercisable upon issuance in connection with the Loan Conversion and expires on July 25, 2025. The Conversion Series B Warrant contains customary cash exercise provisions. The Conversion Series B Warrant is exercisable for up to an aggregate of 4,150,780 shares of, at the holder’s election, Class A Common Stock (at an exercise price per share equal to $2.57 per share), Class C Common Stock (at an exercise price per share equal to $0.0001 per share) or a combination thereof, subject to standard adjustments to the exercise price including for (i) stock dividends and splits, (ii) subsequent rights offerings, (iii) pro rata distributions and (iv) fundamental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Conversion Series B Warrant does not include any redemption features. The Conversion Series B Warrant may be exercised on a cashless basis for shares of Class A Common Stock at any time on or after July 29, 2024, if and to the extent that the shares of Class A Common Stock underlying the Conversion Series B Warrant are not registered under the Securities Act. On July 25, 2025, the Conversion Series B Warrant will be automatically exercised on a cashless basis for shares of Class A Common Stock. To exercise on a cashless basis, the holder of the Conversion Series B Warrant would pay the exercise price by surrendering the Conversion Series B Warrant (or part thereof) for that number of shares of Class A Common Stock equal to the quotient obtained by dividing (x) the product of the number of shares of Class A Common Stock underlying the Conversion Series B Warrant, multiplied by the excess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daily volume weighted average price of the Class A Common Stock on the date specified by the Conversion Series B Warrant less the exercise price of such Conversion Series B Warrant by (y) the daily volume weighted average price of the Class A Common Stock on the date specified by the Conversion Series B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of the Conversion Series B Warrant does not have the rights or privileges of holders of shares of Class A Common Stock or Class C Common Stock or any voting rights in respect of the Conversion Series B Warrant or underlying shares of Class A Common Stock and/or Class C Common Stock until it exercises the Conversion Series B Warrant and receives shares of Class A Common Stock and/or Class C Common Stock. After the issuance of shares of Class A Common Stock and/or Class C Common Stock upon exercise of the Conversion Series B Warrant, the holder will be entitled to one vote for each share of Class A Common Stock and/or three votes for each share of Class C Common Stock, as applicable, held of record on all matters to be voted on by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Effects of the Certificate of Incorporation, the By-Laws and Certain Provisions of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the Certificate of Incorporation, the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Certificate of Incorporation and By-Laws contain certain provisions that are intended to enhance the likelihood of continuity and stability in the composition of the Board and that may have the effect of delaying, deferring or preventing a future takeover or change in control of us unless such takeover or change in control is approved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Authorized but Unissued Capital Stock.    </w:t>
      </w:r>
      <w:r>
        <w:rPr>
          <w:rFonts w:ascii="Times New Roman PS Std;serif" w:hAnsi="Times New Roman PS Std;serif"/>
          <w:b w:val="false"/>
          <w:i w:val="false"/>
          <w:caps w:val="false"/>
          <w:smallCaps w:val="false"/>
          <w:sz w:val="20"/>
        </w:rPr>
        <w:t>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Common Stock by means of a proxy contest, tender offer, merger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Director Designees; Classes of Directors.    </w:t>
      </w:r>
      <w:r>
        <w:rPr>
          <w:rFonts w:ascii="Times New Roman PS Std;serif" w:hAnsi="Times New Roman PS Std;serif"/>
          <w:b w:val="false"/>
          <w:i w:val="false"/>
          <w:caps w:val="false"/>
          <w:smallCaps w:val="false"/>
          <w:sz w:val="20"/>
        </w:rPr>
        <w:t>Pursuant to the Certificate of Incorporation, our directors are divided into three classes, with each class serving staggered three-year terms.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Cumulative Voting for Directors.    </w:t>
      </w:r>
      <w:r>
        <w:rPr>
          <w:rFonts w:ascii="Times New Roman PS Std;serif" w:hAnsi="Times New Roman PS Std;serif"/>
          <w:b w:val="false"/>
          <w:i w:val="false"/>
          <w:caps w:val="false"/>
          <w:smallCaps w:val="false"/>
          <w:sz w:val="20"/>
        </w:rPr>
        <w:t>The DGCL provides that stockholders are not entitled to cumulate votes in the election of directors unless a corporation’s certificate of incorporation provides otherwise. The Certificate of Incorporation does not provide for cumulative voting. As a result, the holders of shares of Common Stock representing a majority of the voting power of all of the outstanding shares of our capital stock of are able to elect all of the directors then standing for election.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Quorum.    </w:t>
      </w:r>
      <w:r>
        <w:rPr>
          <w:rFonts w:ascii="Times New Roman PS Std;serif" w:hAnsi="Times New Roman PS Std;serif"/>
          <w:b w:val="false"/>
          <w:i w:val="false"/>
          <w:caps w:val="false"/>
          <w:smallCaps w:val="false"/>
          <w:sz w:val="20"/>
        </w:rPr>
        <w:t>The By-Laws provide that at any meeting of the Board, a majority of the total number of directors then in office constitutes a quorum for the transaction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Action by Written Consent.    </w:t>
      </w:r>
      <w:r>
        <w:rPr>
          <w:rFonts w:ascii="Times New Roman PS Std;serif" w:hAnsi="Times New Roman PS Std;serif"/>
          <w:b w:val="false"/>
          <w:i w:val="false"/>
          <w:caps w:val="false"/>
          <w:smallCaps w:val="false"/>
          <w:sz w:val="20"/>
        </w:rPr>
        <w:t xml:space="preserve">The Certificate of Incorporation provides that, for so long as we qualify as a controlled company (as defined in Nasdaq Listing Rule 5615(c)(1)), any action required or permitted to be taken by our stockholders may be effected by the consent in writing of the holders of our outstanding capital stock having not less than the minimum number of votes that would be necessary to authorize or take such action at a meeting at which all shares entitled to vote thereon were present and voted. From and after the date that we cease to qualify as a controlled company, any action required or permitted to be taken by our stockholders must be effected at a duly called annual or special meeting of our stockholders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us in accordance with the applicable provisions of the DGCL.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Special Meetings of Stockholders.    </w:t>
      </w:r>
      <w:r>
        <w:rPr>
          <w:rFonts w:ascii="Times New Roman PS Std;serif" w:hAnsi="Times New Roman PS Std;serif"/>
          <w:b w:val="false"/>
          <w:i w:val="false"/>
          <w:caps w:val="false"/>
          <w:smallCaps w:val="false"/>
          <w:sz w:val="20"/>
        </w:rPr>
        <w:t>Subject to the special rights of the holders of one or more series of Preferred Stock, special meetings of our stockholders may be called, for any purpose or purposes, at any time only by or at the direction of (i) the Board, the chairperson of the Board, the chief executive officer or president, and (ii) for so long as we are a controlled company (as defined above), by our secretary at the request of any holder of record of at least 25% of the voting power of the issued and outstanding shares of our capital stock. Subject to the special rights of the holders of one or more series of Preferred Stock, from and after the date we cease to qualify as a controlled company, special meetings of our stockholders may not be called by our stockholders or any other 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Advance Notice Procedures.    </w:t>
      </w:r>
      <w:r>
        <w:rPr>
          <w:rFonts w:ascii="Times New Roman PS Std;serif" w:hAnsi="Times New Roman PS Std;serif"/>
          <w:b w:val="false"/>
          <w:i w:val="false"/>
          <w:caps w:val="false"/>
          <w:smallCaps w:val="false"/>
          <w:sz w:val="20"/>
        </w:rPr>
        <w:t>The By-Laws establish an advance notice procedure for stockholder proposals to be brought before an annual meeting of our stockholders, and for stockholder nominations of persons for election to the Board to be brought before an annual or special meeting of stockholders. Stockholders at an annual meeting will only be able to consider proposals or nominations specified in the notice of meeting or brought before the meeting by or at the direction of the Board or by a stockholder who was a stockholder of record on the record date for the meeting, who is entitled to vote at the meeting and who has given our secretary timely written notice, in proper form, of the stockholder’s intention to bring that business or nomination before the meeting. Although the By-Laws do not give the Board the power to approve or disapprove stockholder nominations of candidates or proposals regarding other business to be conducted at a special or annual meeting, as applicable,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Limitations on Liability and Indemnification of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authorizes corporations to limit or eliminate the personal liability of directors to corporations and their stockholders for monetary damages for breaches of directors’ fiduciary duties, subject to certain exceptions. The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our rights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By-Laws provide that we must indemnify and advance expenses to directors and officers to the fullest extent authorized by the DGCL. We are also expressly authorized to carry directors’ and officers’ liability insurance providing indemnification for directors, officers and certain employees for some liabilities. We believe that these indemnification and advancement provisions and insurance are useful to attract and retain qualified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limitation of liability, indemnification and advancement provisions in the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We believe that these provisions, liability insurance and any indemnity agreements that may be entered into are necessary to attract and retain talented and experienced directors and officers.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currently no pending material litigation or proceeding involving our respective directors, officers or employees for which indemnification is sought.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Dissenters’ Rights of Appraisal and Payment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with certain exceptions, our stockholders have appraisal rights in connection with a merger or consolidation of Intuitive Machines. Pursuant to Section 262 of the DGCL, stockholders who properly demand and perfect appraisal rights in connection with such merger or consolidation will have the right to receive payment of the fair value of their shares as determined by the Court of Chancery of the State of Delaware (the “Delaware Court of Chancery”).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Derivative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Forum Selection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provides that unless we consent in writing to the selection of an alternative forum, the Delaware Court of Chancery is, to the fullest extent permitted by applicable law, the sole and exclusive forum for: (i) any derivative action brought by a stockholder on behalf of the Company, (ii) any claim of breach of a fiduciary duty owed by any of our directors, officers, stockholders or employees, (iii) any claim against us arising under our Certificate of Incorporation, By-Laws or the DGCL or (iv) any claim against us governed by the internal affairs doctrine. Our Certificate of Incorporation designates the federal district courts of the United States as the exclusive forum for the resolution of any complaint asserting a cause of action arising under the Securities 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Transfer Agent and Registrar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registrar for our shares of Class A Common Stock is Continental Stock Transfer &amp; Trust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Trading Symbol and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Stock and Public Warrants are listed on Nasdaq under the symbols “LUNR” and “LUNRW,”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9907"/>
      <w:bookmarkEnd w:id="9"/>
      <w:r>
        <w:rPr>
          <w:rFonts w:ascii="Times New Roman PS Std;serif" w:hAnsi="Times New Roman PS Std;serif"/>
          <w:b/>
          <w:i w:val="false"/>
          <w:caps/>
          <w:sz w:val="20"/>
        </w:rPr>
        <w:t>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resale from time to time of an aggregate of (i) 159,808,031 shares of our Class A Common Stock, (ii) 6,845,000 Private Placement Warrants and (iii) 1,450,000 Public Warrants.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securities other than through a public sale. Such selling securityholders may currently hold shares of our Class A Common Stock registered pursuant to the registration statement of which this prospectus forms a part, or may receive shares of Class A Common Stock registered pursuant to the registration statement of which this prospectus forms a part upon exchange of Intuitive Machines OpCo Common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resale offering and no other purchase or sales of our securities by the selling securityholders will have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securityholder information for each additional selling securityholder, if any, will be set forth by prospectus supplement to the extent required prior to the time of any offer or sale of shares of securities covered by this prospectus by the selling securityholders.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resale offering. See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the date of this prospectus, (i) the names of the selling securityholders, (ii) the number of Intuitive Machines OpCo Common Units, shares of Series A Preferred Stock and Preferred Investor Warrants held by such selling securityholders prior to the exchange of such units or preferred stock or exercise of such preferred warrants (as applicable) by them for Class A Common Stock, (iii) the number of shares of Class A Common Stock, shares of Class B Common Stock, shares of Class C Common Stock, Private Placement Warrants and Public Warrants held by such selling securityholders prior to any exchange by them of Intuitive Machines OpCo Common Units, (iv) the aggregate number of shares of Class A Common Stock that will be owned by such selling securityholders after the exchange of all Intuitive Machines OpCo Common Units held by them, and (v) the aggregate number of shares of Class A Common Stock, Private Placement Warrants and Public Warrants that will be owned by such selling securityholders following the exchange of all Intuitive Machines OpCo Common Units or Series A Preferred Stock or exercise of such Private Placement Warrants, Public Warrants, Conversion Warrants or Preferred Investor Warrants (as applicable) held by them and this offering. Except as set forth above, the table does not include the issuance by us of up to 15,085,283 shares of Class A Common Stock upon the exercise of outstanding Public Warrants, each of which is also covered by this prospectus. The percentage ownership of shares of Class A Common Stock is based on 51,080,059 shares of Class A Common Stock issued and outstanding as of March 25,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6375" w:type="dxa"/>
        <w:jc w:val="left"/>
        <w:tblInd w:w="0" w:type="dxa"/>
        <w:tblLayout w:type="fixed"/>
        <w:tblCellMar>
          <w:top w:w="0" w:type="dxa"/>
          <w:left w:w="0" w:type="dxa"/>
          <w:bottom w:w="0" w:type="dxa"/>
          <w:right w:w="0" w:type="dxa"/>
        </w:tblCellMar>
      </w:tblPr>
      <w:tblGrid>
        <w:gridCol w:w="1606"/>
        <w:gridCol w:w="146"/>
        <w:gridCol w:w="1291"/>
        <w:gridCol w:w="146"/>
        <w:gridCol w:w="1186"/>
        <w:gridCol w:w="146"/>
        <w:gridCol w:w="991"/>
        <w:gridCol w:w="146"/>
        <w:gridCol w:w="1186"/>
        <w:gridCol w:w="146"/>
        <w:gridCol w:w="961"/>
        <w:gridCol w:w="146"/>
        <w:gridCol w:w="1066"/>
        <w:gridCol w:w="146"/>
        <w:gridCol w:w="1066"/>
        <w:gridCol w:w="146"/>
        <w:gridCol w:w="1186"/>
        <w:gridCol w:w="146"/>
        <w:gridCol w:w="526"/>
        <w:gridCol w:w="146"/>
        <w:gridCol w:w="940"/>
        <w:gridCol w:w="166"/>
        <w:gridCol w:w="395"/>
        <w:gridCol w:w="146"/>
        <w:gridCol w:w="1066"/>
        <w:gridCol w:w="146"/>
        <w:gridCol w:w="991"/>
      </w:tblGrid>
      <w:tr>
        <w:trPr/>
        <w:tc>
          <w:tcPr>
            <w:tcW w:w="160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Name of Selling Securityholder</w:t>
            </w:r>
            <w:r>
              <w:rPr>
                <w:rFonts w:ascii="Times New Roman PS Std;serif" w:hAnsi="Times New Roman PS Std;serif"/>
                <w:b/>
                <w:i w:val="false"/>
                <w:caps w:val="false"/>
                <w:smallCaps w:val="false"/>
                <w:sz w:val="12"/>
              </w:rPr>
              <w:t>(1)</w:t>
            </w:r>
          </w:p>
        </w:tc>
        <w:tc>
          <w:tcPr>
            <w:tcW w:w="146" w:type="dxa"/>
            <w:vMerge w:val="restart"/>
            <w:tcBorders/>
            <w:vAlign w:val="bottom"/>
          </w:tcPr>
          <w:p>
            <w:pPr>
              <w:pStyle w:val="TableContents"/>
              <w:bidi w:val="0"/>
              <w:spacing w:before="0" w:after="283"/>
              <w:jc w:val="left"/>
              <w:rPr/>
            </w:pPr>
            <w:r>
              <w:rPr/>
              <w:t> </w:t>
            </w:r>
          </w:p>
        </w:tc>
        <w:tc>
          <w:tcPr>
            <w:tcW w:w="129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Intuitive</w:t>
              <w:br/>
              <w:t>Machines</w:t>
              <w:br/>
              <w:t>OpCo</w:t>
              <w:br/>
              <w:t>Common</w:t>
              <w:br/>
              <w:t>Units Owned</w:t>
              <w:br/>
              <w:t>Prior to</w:t>
              <w:br/>
              <w:t>Exchange</w:t>
              <w:br/>
              <w:t>and this</w:t>
              <w:br/>
              <w:t>Offering</w:t>
            </w:r>
          </w:p>
        </w:tc>
        <w:tc>
          <w:tcPr>
            <w:tcW w:w="146" w:type="dxa"/>
            <w:vMerge w:val="restart"/>
            <w:tcBorders/>
            <w:vAlign w:val="bottom"/>
          </w:tcPr>
          <w:p>
            <w:pPr>
              <w:pStyle w:val="TableContents"/>
              <w:bidi w:val="0"/>
              <w:spacing w:before="0" w:after="283"/>
              <w:jc w:val="left"/>
              <w:rPr/>
            </w:pPr>
            <w:r>
              <w:rPr/>
              <w:t> </w:t>
            </w:r>
          </w:p>
        </w:tc>
        <w:tc>
          <w:tcPr>
            <w:tcW w:w="7186" w:type="dxa"/>
            <w:gridSpan w:val="11"/>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Intuitive Machines, Inc. Securities Beneficially</w:t>
              <w:br/>
              <w:t>Owned Before Exchange and this Offering</w:t>
            </w:r>
          </w:p>
        </w:tc>
        <w:tc>
          <w:tcPr>
            <w:tcW w:w="146" w:type="dxa"/>
            <w:tcBorders/>
            <w:vAlign w:val="bottom"/>
          </w:tcPr>
          <w:p>
            <w:pPr>
              <w:pStyle w:val="TableContents"/>
              <w:bidi w:val="0"/>
              <w:spacing w:before="0" w:after="283"/>
              <w:jc w:val="left"/>
              <w:rPr/>
            </w:pPr>
            <w:r>
              <w:rPr/>
              <w:t> </w:t>
            </w:r>
          </w:p>
        </w:tc>
        <w:tc>
          <w:tcPr>
            <w:tcW w:w="18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Shares of Class A</w:t>
              <w:br/>
              <w:t>Common Stock</w:t>
              <w:br/>
              <w:t>Beneficially</w:t>
              <w:br/>
              <w:t>Owned Following</w:t>
              <w:br/>
              <w:t>Exchange</w:t>
            </w:r>
            <w:r>
              <w:rPr>
                <w:rFonts w:ascii="Times New Roman PS Std;serif" w:hAnsi="Times New Roman PS Std;serif"/>
                <w:b/>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3850"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Intuitive Machines, Inc.</w:t>
              <w:br/>
              <w:t>Securities Beneficially</w:t>
              <w:br/>
              <w:t>Owned Following</w:t>
              <w:br/>
              <w:t>Exchange and</w:t>
              <w:br/>
              <w:t>this Offering</w:t>
            </w:r>
            <w:r>
              <w:rPr>
                <w:rFonts w:ascii="Times New Roman PS Std;serif" w:hAnsi="Times New Roman PS Std;serif"/>
                <w:b/>
                <w:i w:val="false"/>
                <w:caps w:val="false"/>
                <w:smallCaps w:val="false"/>
                <w:sz w:val="12"/>
              </w:rPr>
              <w:t>(4)</w:t>
            </w:r>
          </w:p>
        </w:tc>
      </w:tr>
      <w:tr>
        <w:trPr/>
        <w:tc>
          <w:tcPr>
            <w:tcW w:w="16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Shares of</w:t>
              <w:br/>
              <w:t>Class A</w:t>
              <w:br/>
              <w:t>Common</w:t>
              <w:br/>
              <w:t>Stock</w:t>
            </w:r>
            <w:r>
              <w:rPr>
                <w:rFonts w:ascii="Times New Roman PS Std;serif" w:hAnsi="Times New Roman PS Std;serif"/>
                <w:b/>
                <w:i w:val="false"/>
                <w:caps w:val="false"/>
                <w:smallCaps w:val="false"/>
                <w:sz w:val="12"/>
              </w:rPr>
              <w:t>(2)</w:t>
            </w:r>
          </w:p>
        </w:tc>
        <w:tc>
          <w:tcPr>
            <w:tcW w:w="146" w:type="dxa"/>
            <w:vMerge w:val="restart"/>
            <w:tcBorders/>
            <w:vAlign w:val="bottom"/>
          </w:tcPr>
          <w:p>
            <w:pPr>
              <w:pStyle w:val="TableContents"/>
              <w:bidi w:val="0"/>
              <w:spacing w:before="0" w:after="283"/>
              <w:jc w:val="left"/>
              <w:rPr/>
            </w:pPr>
            <w:r>
              <w:rPr/>
              <w:t> </w:t>
            </w:r>
          </w:p>
        </w:tc>
        <w:tc>
          <w:tcPr>
            <w:tcW w:w="99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 of</w:t>
              <w:br/>
              <w:t>Class B</w:t>
              <w:br/>
              <w:t>Common</w:t>
              <w:br/>
              <w:t>Stock</w:t>
            </w:r>
          </w:p>
        </w:tc>
        <w:tc>
          <w:tcPr>
            <w:tcW w:w="146" w:type="dxa"/>
            <w:vMerge w:val="restart"/>
            <w:tcBorders/>
            <w:vAlign w:val="bottom"/>
          </w:tcPr>
          <w:p>
            <w:pPr>
              <w:pStyle w:val="TableContents"/>
              <w:bidi w:val="0"/>
              <w:spacing w:before="0" w:after="283"/>
              <w:jc w:val="left"/>
              <w:rPr/>
            </w:pPr>
            <w:r>
              <w:rPr/>
              <w:t> </w:t>
            </w:r>
          </w:p>
        </w:tc>
        <w:tc>
          <w:tcPr>
            <w:tcW w:w="11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 of</w:t>
              <w:br/>
              <w:t>Class C</w:t>
              <w:br/>
              <w:t>Common</w:t>
              <w:br/>
              <w:t>Stock</w:t>
            </w:r>
          </w:p>
        </w:tc>
        <w:tc>
          <w:tcPr>
            <w:tcW w:w="146" w:type="dxa"/>
            <w:vMerge w:val="restart"/>
            <w:tcBorders/>
            <w:vAlign w:val="bottom"/>
          </w:tcPr>
          <w:p>
            <w:pPr>
              <w:pStyle w:val="TableContents"/>
              <w:bidi w:val="0"/>
              <w:spacing w:before="0" w:after="283"/>
              <w:jc w:val="left"/>
              <w:rPr/>
            </w:pPr>
            <w:r>
              <w:rPr/>
              <w:t> </w:t>
            </w:r>
          </w:p>
        </w:tc>
        <w:tc>
          <w:tcPr>
            <w:tcW w:w="96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 of</w:t>
              <w:br/>
              <w:t>Series A</w:t>
              <w:br/>
              <w:t>Preferred</w:t>
            </w:r>
          </w:p>
        </w:tc>
        <w:tc>
          <w:tcPr>
            <w:tcW w:w="146" w:type="dxa"/>
            <w:vMerge w:val="restart"/>
            <w:tcBorders/>
            <w:vAlign w:val="bottom"/>
          </w:tcPr>
          <w:p>
            <w:pPr>
              <w:pStyle w:val="TableContents"/>
              <w:bidi w:val="0"/>
              <w:spacing w:before="0" w:after="283"/>
              <w:jc w:val="left"/>
              <w:rPr/>
            </w:pPr>
            <w:r>
              <w:rPr/>
              <w:t> </w:t>
            </w:r>
          </w:p>
        </w:tc>
        <w:tc>
          <w:tcPr>
            <w:tcW w:w="106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Private</w:t>
              <w:br/>
              <w:t>Placement</w:t>
              <w:br/>
              <w:t>Warrants</w:t>
            </w:r>
          </w:p>
        </w:tc>
        <w:tc>
          <w:tcPr>
            <w:tcW w:w="146" w:type="dxa"/>
            <w:vMerge w:val="restart"/>
            <w:tcBorders/>
            <w:vAlign w:val="bottom"/>
          </w:tcPr>
          <w:p>
            <w:pPr>
              <w:pStyle w:val="TableContents"/>
              <w:bidi w:val="0"/>
              <w:spacing w:before="0" w:after="283"/>
              <w:jc w:val="left"/>
              <w:rPr/>
            </w:pPr>
            <w:r>
              <w:rPr/>
              <w:t> </w:t>
            </w:r>
          </w:p>
        </w:tc>
        <w:tc>
          <w:tcPr>
            <w:tcW w:w="106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Public</w:t>
              <w:br/>
              <w:t>Warrants</w:t>
            </w:r>
          </w:p>
        </w:tc>
        <w:tc>
          <w:tcPr>
            <w:tcW w:w="146" w:type="dxa"/>
            <w:vMerge w:val="restart"/>
            <w:tcBorders/>
            <w:vAlign w:val="bottom"/>
          </w:tcPr>
          <w:p>
            <w:pPr>
              <w:pStyle w:val="TableContents"/>
              <w:bidi w:val="0"/>
              <w:spacing w:before="0" w:after="283"/>
              <w:jc w:val="left"/>
              <w:rPr/>
            </w:pPr>
            <w:r>
              <w:rPr/>
              <w:t> </w:t>
            </w:r>
          </w:p>
        </w:tc>
        <w:tc>
          <w:tcPr>
            <w:tcW w:w="11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vMerge w:val="restart"/>
            <w:tcBorders/>
            <w:vAlign w:val="bottom"/>
          </w:tcPr>
          <w:p>
            <w:pPr>
              <w:pStyle w:val="TableContents"/>
              <w:bidi w:val="0"/>
              <w:spacing w:before="0" w:after="283"/>
              <w:jc w:val="left"/>
              <w:rPr/>
            </w:pPr>
            <w:r>
              <w:rPr/>
              <w:t> </w:t>
            </w:r>
          </w:p>
        </w:tc>
        <w:tc>
          <w:tcPr>
            <w:tcW w:w="52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vMerge w:val="restart"/>
            <w:tcBorders/>
            <w:vAlign w:val="bottom"/>
          </w:tcPr>
          <w:p>
            <w:pPr>
              <w:pStyle w:val="TableContents"/>
              <w:bidi w:val="0"/>
              <w:spacing w:before="0" w:after="283"/>
              <w:jc w:val="left"/>
              <w:rPr/>
            </w:pPr>
            <w:r>
              <w:rPr/>
              <w:t> </w:t>
            </w:r>
          </w:p>
        </w:tc>
        <w:tc>
          <w:tcPr>
            <w:tcW w:w="1501" w:type="dxa"/>
            <w:gridSpan w:val="3"/>
            <w:tcBorders/>
            <w:vAlign w:val="bottom"/>
          </w:tcPr>
          <w:p>
            <w:pPr>
              <w:pStyle w:val="TableContents"/>
              <w:keepNext w:val="false"/>
              <w:widowControl/>
              <w:pBdr/>
              <w:bidi w:val="0"/>
              <w:spacing w:before="4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 of</w:t>
              <w:br/>
              <w:t>Class A</w:t>
              <w:br/>
              <w:t>Common Stock</w:t>
            </w:r>
          </w:p>
        </w:tc>
        <w:tc>
          <w:tcPr>
            <w:tcW w:w="146" w:type="dxa"/>
            <w:tcBorders/>
            <w:vAlign w:val="bottom"/>
          </w:tcPr>
          <w:p>
            <w:pPr>
              <w:pStyle w:val="TableContents"/>
              <w:bidi w:val="0"/>
              <w:spacing w:before="0" w:after="283"/>
              <w:jc w:val="left"/>
              <w:rPr/>
            </w:pPr>
            <w:r>
              <w:rPr/>
              <w:t> </w:t>
            </w:r>
          </w:p>
        </w:tc>
        <w:tc>
          <w:tcPr>
            <w:tcW w:w="106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Private</w:t>
              <w:br/>
              <w:t>Placement</w:t>
              <w:br/>
              <w:t>Warrants</w:t>
            </w:r>
          </w:p>
        </w:tc>
        <w:tc>
          <w:tcPr>
            <w:tcW w:w="146" w:type="dxa"/>
            <w:vMerge w:val="restart"/>
            <w:tcBorders/>
            <w:vAlign w:val="bottom"/>
          </w:tcPr>
          <w:p>
            <w:pPr>
              <w:pStyle w:val="TableContents"/>
              <w:bidi w:val="0"/>
              <w:spacing w:before="0" w:after="283"/>
              <w:jc w:val="left"/>
              <w:rPr/>
            </w:pPr>
            <w:r>
              <w:rPr/>
              <w:t> </w:t>
            </w:r>
          </w:p>
        </w:tc>
        <w:tc>
          <w:tcPr>
            <w:tcW w:w="99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Public</w:t>
              <w:br/>
              <w:t>Warrants</w:t>
            </w:r>
          </w:p>
        </w:tc>
      </w:tr>
      <w:tr>
        <w:trPr/>
        <w:tc>
          <w:tcPr>
            <w:tcW w:w="16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6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0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vMerge w:val="continue"/>
            <w:tcBorders/>
            <w:vAlign w:val="bottom"/>
          </w:tcPr>
          <w:p>
            <w:pPr>
              <w:pStyle w:val="Normal"/>
              <w:bidi w:val="0"/>
              <w:jc w:val="left"/>
              <w:rPr/>
            </w:pPr>
            <w:r>
              <w:rPr/>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Kingstown 1740 Fund L.P.</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2,156,556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1,768,750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1,450,000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5,375,306</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Intuitive Machines KG Parent,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1,393,824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1,393,824</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1,393,824</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Ghaffarian Enterprises,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40,406,013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13,847,827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40,406,013</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54,253,840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59.3</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GM Enterprises,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2,026,015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2,026,015</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2,026,015</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Stephen and Brunella Altemus Living Trust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16,581,703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16,581,703</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16,581,703</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Timothy Crain</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10,501,457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10,501,457</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10,501,457</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17.1</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Jack Fischer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2,224</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Jonathan Kraeuter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4,171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4,171</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Matthew Ashmore</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4,171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4,171</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Donnie Hicks II</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1,104</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Michael Kalontarov</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Jacob Killelea</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Breanne McNerney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2,781</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Ronnie Montgomery II</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Sabra Braveheart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1,111,111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1,111,111</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Mavrik America Corp.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333,333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333,333</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Tactico IM 01-22 USA, </w:t>
              <w:br/>
              <w:t>LP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444,444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444,444</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Capital Factory Ventures, LP – A3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11,111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11,111</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Capital Factory 6, LP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16,667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16,667</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Guy Shanon</w:t>
            </w:r>
            <w:r>
              <w:rPr>
                <w:rFonts w:ascii="Times New Roman PS Std;serif" w:hAnsi="Times New Roman PS Std;serif"/>
                <w:b w:val="false"/>
                <w:i w:val="false"/>
                <w:caps w:val="false"/>
                <w:smallCaps w:val="false"/>
                <w:sz w:val="12"/>
              </w:rPr>
              <w:t>(5)(6)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3,819,229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4,306,875</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8,126,104</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Michael Blitzer</w:t>
            </w:r>
            <w:r>
              <w:rPr>
                <w:rFonts w:ascii="Times New Roman PS Std;serif" w:hAnsi="Times New Roman PS Std;serif"/>
                <w:b w:val="false"/>
                <w:i w:val="false"/>
                <w:caps w:val="false"/>
                <w:smallCaps w:val="false"/>
                <w:sz w:val="12"/>
              </w:rPr>
              <w:t>(5)(7)</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3,819,229</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4,306,875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8,126,104</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Armistice Capital, </w:t>
              <w:br/>
              <w:t>LLC</w:t>
            </w:r>
            <w:r>
              <w:rPr>
                <w:rFonts w:ascii="Times New Roman PS Std;serif" w:hAnsi="Times New Roman PS Std;serif"/>
                <w:b w:val="false"/>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23,529,415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23,529,415</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46.1</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vAlign w:val="bottom"/>
          </w:tcPr>
          <w:p>
            <w:pPr>
              <w:pStyle w:val="TableContents"/>
              <w:bidi w:val="0"/>
              <w:spacing w:before="0" w:after="283"/>
              <w:jc w:val="left"/>
              <w:rPr/>
            </w:pPr>
            <w:r>
              <w:rPr/>
              <w:t> </w:t>
            </w:r>
          </w:p>
        </w:tc>
        <w:tc>
          <w:tcPr>
            <w:tcW w:w="3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6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ACM ARRT O LLC</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7,738,743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7,738,743</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of those listed in the table above is 13467 Columbia Shuttle Street, Houston, TX 77059.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(i) shares of Class A Common Stock, (ii) shares of Class A Common Stock issuable upon exercise of the Preferred Investor Warrants, (iii) shares of Class A Common Stock issuable upon conversion of Series A Preferred Stock and (iv) shares of Class A Common Stock issuable upon exercise of the Conversion Warrants, assuming that the Conversion Warrants are each exercised in full to purchase shares of Class A Common Stock.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Assumes that we exchange the Intuitive Machines OpCo Common Units of such selling securityholder for shares of Class A Common Stock, regardless of whether such Intuitive Machines OpCo Common Units are currently exchangeable and that such selling securityholder exercises in full all of its Private Placement Warrants and Public Warrants (as applicable) in full for shares of Class A Common Stock (the “Exchange”). The percentage ownership is determined for each selling securityholder by taking into account the issuance and sale of shares of Class A Common Stock of only such selling securityholder. Also assumes that no transactions with respect to share of Class A Common Stock or Intuitive Machines OpCo Common Units occur other than the Exchange.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Assumes that the selling securityholders sell all of their shares of Class A Common Stock offered pursuant to this prospectus. The percentage ownership is determined for each selling securityholder by taking into account the issuance and sale of shares of Class A Common Stock of only such selling securityholder.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Kingstown 1740 Fund, LP (“Kingstown 1740”) is the record holder of such shares. Kingstown Capital Management, L.P. (“KCM”) is the investment manager of Kingstown 1740. Kingstown Management GP LLC (“KMGP”) is the general partner of KCM. Kingstown Capital Partners LLC (“KCP”) is the general partner of Kingstown 1740. Michael Blitzer and Guy Shanon are the managing members of KMGP and KCP. KCM, KMGP, KCP and Mr. Shanon share voting investment discretion with respect to the securities held by Kingstown 1740. Notwithstanding his roles with KCM, KMGP and KCP, Mr. Blitzer has relinquished voting power and dispositive power over securities held by entities managed or controlled by KCM, KMGP and/or KMGP. Each of KCM, KMGP, KCP, Mr. Blitzer and Mr. Shanon disclaims beneficial ownership over any securities directly held by Kingstown 1740 other than to the extent of its/his respective pecuniary interest therein, directly or indirectly. Such amounts consist of the following securities owned by Kingstown 1740 (i) 1,585,904 shares of Class A Common Stock, (ii) 3,218,750 shares of Class A Common Stock underlying warrants which are currently exercisable and (iii) 570,652 shares of Class A Common Stock issuable upon exercise of Preferred Investor Warrants purchased by Kingstown 1740 in connection with the Series A Investment which are currently convertible (without giving effect to the 9.9% beneficial ownership blocker described in the form of Preferred Investor Warrant). The principal business office of Kingstown 1740 is c/o Kingstown Capital Management L.P., 167 Madison Avenue, Suite 205 #1033, New York, New York 10016.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(i) 1,662,673 shares of Class A Common Stock and (ii) 2,538,125 shares of Class A Common Stock underlying Private Placement Warrants which are currently exercisable (without giving effect to the 9.8% beneficial ownership blocker described in the Warrant Agreement). Such securities were distributed by Inflection Point Holdings LLC to Guy Shanon for no consideration in accordance with Inflection Point Holdings LLC’s limited liability company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(i) 1,662,673 shares of Class A Common Stock and (ii) 2,538,125 shares of Class A Common Stock underlying Private Placement Warrants which are currently exercisable (without giving effect to the 9.8% beneficial ownership blocker described in the Warrant Agreement). Such securities were distributed by Inflection Point Holdings LLC to Mr. Blitzer for no consideration in accordance with Inflection Point Holdings LLC’s limited liability company agreement. Mr. Blitzer’s principal place of business in located at 167 Madison Avenue, Suite 205 #1033, New York, New York 10016.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(i) 4,705,883 PIPE Shares, (ii) 4,705,883 shares of Class A Common Stock issued upon the exercise of the Series A Warrant, (iii) 4,705,883 shares of Class A Common Stock issued upon the exercise of the Series B Warrant, (iv) 4,705,883 shares of Class A Common Stock issued upon the exercise of the New Series B Warrant and (v) 4,705,883 shares of Class A Common Stock issued upon the exercise of the New Series A Warrant held by Armistice Capital Master Fund Ltd., a Cayman Islands exempted company (the “Master Fund”). The securities are directly held by the Master Fund and may be deemed to be beneficially owned by: (i) Armistice Capital, LLC (“Armistice Capital”), as the investment manager of the Master Fund</w:t>
      </w:r>
      <w:r>
        <w:rPr>
          <w:rFonts w:ascii="Times New Roman;serif" w:hAnsi="Times New Roman;serif"/>
          <w:b w:val="false"/>
          <w:i w:val="false"/>
          <w:caps w:val="false"/>
          <w:smallCaps w:val="false"/>
          <w:sz w:val="18"/>
        </w:rPr>
        <w:t>;</w:t>
      </w:r>
      <w:r>
        <w:rPr>
          <w:rFonts w:ascii="Times New Roman PS Std;serif" w:hAnsi="Times New Roman PS Std;serif"/>
          <w:b w:val="false"/>
          <w:i w:val="false"/>
          <w:caps w:val="false"/>
          <w:smallCaps w:val="false"/>
          <w:sz w:val="18"/>
        </w:rPr>
        <w:t xml:space="preserve"> and (ii) Steven Boyd, as the Managing Member of Armistice Capital. The principal place of business of Armistice Capital, LLC and the Master Fund is 510 Madison Avenue, 7th Floor, New York, NY 10022.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ACM ARRT O LLC (“ACM”) is the record holder of such shares. Midtown Madison Management LLC is the manager of ACM.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9908"/>
      <w:bookmarkEnd w:id="10"/>
      <w:r>
        <w:rPr>
          <w:rFonts w:ascii="Times New Roman PS Std;serif" w:hAnsi="Times New Roman PS Std;serif"/>
          <w:b/>
          <w:i w:val="false"/>
          <w:caps/>
          <w:sz w:val="20"/>
        </w:rPr>
        <w:t>MATERIAL U.S. FEDERAL INCOME TAX CONSEQUENCES FOR HOLDERS OF CLASS A COMMON STOCK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summary of the material U.S. federal income tax consequences to U.S. Holders and Non-U.S. Holders (each as defined below) relating to the purchase, ownership, and disposition of our Class A Common Stock, Private Placement Warrants and Public Warrants (together with the Private Placement Warrants, the “Warrants”), which we collectively refer to as our “securities,”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our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limited to holders who hold our securities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 and former citizens or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securities as part of a hedge, straddle, or other risk reduction strategy or as part of a conversion transaction or other integrated investment;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insurance companies, and other financial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dealers, or traders in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 “passive foreign investment companies,” and corporations that accumulate earnings to avoid U.S. federal income tax;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entities or arrangements treated as partnerships for U.S. federal income tax purposes (and investors therein);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or governmental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deemed to sell our securities under the constructive sale provisions of the Code;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special tax accounting rules of as a result of any item of gross income with respect to our securities being taken into account in an “applicable financial statement” (as defined in the Code);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hold or receive our securities pursuant to the exercise of any employee stock option or otherwise as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tax-qualified retirement plans;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qualified foreign pension funds” as defined in Section 897(l)(2) of the Code and entities all of the interests of which are held by qualified foreign pension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(or other arrangement) treated as a partnership for U.S. federal income tax purposes holds our securities, the tax treatment of a partner in the partnership will depend on the status of the partner, the activities of the partnership, and certain determinations made at the partner level. Accordingly, partnerships holding our securities and the partners in such partnerships should consult their tax advisors regarding the U.S. federal income tax consequences to them.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DISCUSSION IS FOR INFORMATIONAL PURPOSES ONLY AND IS NOT TAX ADVICE. PROSPECTIVE PURCHASERS SHOULD CONSULT THEIR TAX ADVISORS WITH RESPECT TO THE APPLICATION OF THE U.S. FEDERAL INCOME TAX LAWS TO THEIR PARTICULAR SITUATIONS AS WELL AS ANY TAX CONSEQUENCES OF THE PURCHASE, OWNERSHIP, AND DISPOSITION OF OUR SECURITIES ARISING UNDER THE U.S. FEDERAL ESTATE OR GIFT TAX LAWS OR UNDER THE LAWS OF ANY STATE, LOCAL, OR NON-U.S. TAXING JURISDICTION OR UNDER ANY APPLICABLE INCOME TAX TREATY.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“U.S. Holder” is any beneficial owner of our securities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created or organized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Taxation of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make distributions, the gross amount of distributions made with respect to the Class A Common Stock generally will be includible in a U.S. Holder’s gross income, in accordance with such U.S. Holder’s method of accounting for U.S. federal income tax purposes, as dividend income, but only to the extent that such distributions are paid out of our current or accumulated earnings and profits as determined under U.S. federal income tax principles. The dividends will be taxable to a corporate U.S. Holder at regular corporate tax rates and will generally be eligible for the dividends received deduction if the requisite holding period is satisfied. Distributions in excess of such earnings and profits generally will be applied against and reduce the U.S. Holder’s basis in its Class A Common Stock (but not below zero), and to the extent in excess of such basis, will be treated as gain from the sale or exchange of such Class A Common Stock, as described under “— Gain or Loss on Sale, Taxable Exchange, or Other Taxable Disposition of Securities”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non-corporate U.S. Holders and with certain exceptions, dividends may be “qualified dividend income,” which is taxed at the lower applicable long-term capital gain rate provided that the U.S. Holder satisfies certain holding period requirements and the U.S. Holder is not under an obligation to make related payments with respect to positions in substantially similar or related property. If the holding period requirements are not satisfied, corporate U.S. Holders may not be able to qualify for the dividends received deduction and would have taxable income equal to the entire dividend amount, and non-corporate U.S. Holders may be subject to tax on such dividends at regular ordinary income tax rates instead of the preferential rate that applies to qualified dividend income.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or Loss on Sale, Taxable Exchange, or Other Taxable Disposition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 sale or other taxable disposition of our securities, a U.S. Holder generally will recognize capital gain or loss. Generally, the amount of gain or loss recognized by a U.S. Holder is an amount equal to the difference between (i) the sum of the amount of cash and the fair market value of any property received in such disposition and (ii) the U.S. Holder’s adjusted tax basis in its securities so disposed of. A U.S. Holder’s adjusted tax basis in its securities generally will equal the U.S. Holder’s adjusted cost less, in the case of a share of Class A Common Stock, any prior distributions treated as a return of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such capital gain or loss generally will be long-term capital gain or loss if the U.S. Holder’s holding period for the securities so disposed of exceeds one year. If the holding period requirements are not satisfied, any gain on a sale or taxable disposition of the securities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Exercise, Lapse, or Redemption of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discussed below with respect to the cashless exercise of a warrant, a U.S. Holder generally will not recognize gain or loss upon the acquisition of a share of Class A Common Stock on the exercise of a Warrant for cash. A U.S. Holder’s tax basis in a share of our Class A Common Stock received upon exercise of the Warrant generally will be an amount equal to the sum of the U.S. Holder’s purchase price for the Warrant and the exercise price. The U.S. Holder’s holding period for the share of Class A Common Stock received upon exercise of the Warrant generally will commence on the date of exercise of the Warrant or the date following the date of exercise of the Warrant; however, in either case the holding period will not include the period during which the U.S. Holder held the Warrant. If a Warrant is allowed to lapse unexercised, a U.S. Holder generally will recognize a capital loss equal to such holder’s tax basis in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share of Class A Common Stock received would equal the holder’s basis in the Warrants used to effect the cashless exercise. If the cashless exercise is not treated as a realization event, a U.S. Holder’s holding period in the Class A Common Stock generally would be treated as commencing on the date following the date of exercise (or possibly the date of exercise of the Warrant). If the cashless exercise were treated as a recapitalization, the holding period of the Class A Common Stock would include the holding period of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could be deemed to have surrendered Warrants having an aggregate fair market value equal to the exercise price for the total number of Warrants deemed to be exercised. The U.S. Holder would recognize capital gain or loss in an amount equal to the difference between the fair market value of the Warrants deemed surrendered and the U.S. Holder’s tax basis in such Warrants. In this case, a U.S. Holder’s tax basis in the Class A Common Stock received would equal the sum of the U.S. Holder’s purchase price for the Warrants deemed exercised and the exercise price of such Warrants. A U.S. Holder’s holding period for the Class A Common Stock in such case generally would commence on the date following the date of exercise (or possibly the date of exercise) of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redeem Warrants for cash pursuant to the redemption provisions described in the section of this prospectus entitled “</w:t>
      </w:r>
      <w:r>
        <w:rPr>
          <w:rFonts w:ascii="Times New Roman PS Std;serif" w:hAnsi="Times New Roman PS Std;serif"/>
          <w:b w:val="false"/>
          <w:i/>
          <w:caps w:val="false"/>
          <w:smallCaps w:val="false"/>
          <w:sz w:val="20"/>
        </w:rPr>
        <w:t>Description of Securities — Warrants — Public Warrants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Description of Securities — Warrants — Private Placement Warrants</w:t>
      </w:r>
      <w:r>
        <w:rPr>
          <w:rFonts w:ascii="Times New Roman PS Std;serif" w:hAnsi="Times New Roman PS Std;serif"/>
          <w:b w:val="false"/>
          <w:i w:val="false"/>
          <w:caps w:val="false"/>
          <w:smallCaps w:val="false"/>
          <w:sz w:val="20"/>
        </w:rPr>
        <w:t>” or if we purchase Warrants in an open market transaction, such redemption or purchase generally will be treated as a taxable disposition to the U.S. Holder, taxed as described above under “</w:t>
      </w:r>
      <w:r>
        <w:rPr>
          <w:rFonts w:ascii="Times New Roman PS Std;serif" w:hAnsi="Times New Roman PS Std;serif"/>
          <w:b w:val="false"/>
          <w:i/>
          <w:caps w:val="false"/>
          <w:smallCaps w:val="false"/>
          <w:sz w:val="20"/>
        </w:rPr>
        <w:t>U.S. Holders — Gain or Loss on Sale, Taxable Exchange or Other Taxable Disposition of Securities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Possible Constructive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each Warrant provide for an adjustment to the number of shares of Class A Common Stock for which the Warrant may be exercised or to the exercise price of the Warrant in certain events as discussed in the section of this registration statement captioned “</w:t>
      </w:r>
      <w:r>
        <w:rPr>
          <w:rFonts w:ascii="Times New Roman PS Std;serif" w:hAnsi="Times New Roman PS Std;serif"/>
          <w:b w:val="false"/>
          <w:i/>
          <w:caps w:val="false"/>
          <w:smallCaps w:val="false"/>
          <w:sz w:val="20"/>
        </w:rPr>
        <w:t>Description of Securities — Warrants — Anti-dilution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Adjustments</w:t>
      </w:r>
      <w:r>
        <w:rPr>
          <w:rFonts w:ascii="Times New Roman PS Std;serif" w:hAnsi="Times New Roman PS Std;serif"/>
          <w:b w:val="false"/>
          <w:i w:val="false"/>
          <w:caps w:val="false"/>
          <w:smallCaps w:val="false"/>
          <w:sz w:val="20"/>
        </w:rPr>
        <w:t xml:space="preserve">.” An adjustment that has the effect of preventing dilution generally is not taxable. U.S. Holders of Warrants would, however, be treated as receiving a constructive distribution from us if, for example, the adjustment increases the Warrant holders’ proportionate interest in our assets or earnings and profits (for instance, through an increase in the number of shares of Class A Common Stock that would be obtained upon exercise or through a decrease in the exercise price of the Warrant) as a result of a distribution of cash or other property such as other securities to the holders of our Class A Common Stock which is taxable to such holders of our Class A Common Stock as a distribution. Such constructive distributions would generally be subject to tax in the same manner as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U.S. Holders of the Warrants received a cash distribution from us equal to the fair market value of such increased interest.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we may rely on prior to the issuance of final regulations, specify how the date and amount of constructive distributions are determined.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with respect to the Class A Common Stock to a U.S. Holder, regardless of whether such distributions constitute dividends, and proceeds from the sale, exchange or redemption of the securities by a U.S. Holder generally are subject to information reporting to the IRS and possible U.S. backup withholding, unless the U.S. Holder is an exempt recipient. Backup withholding may apply to such payments if a U.S. Holder fails to furnish a correct taxpayer identification number, a certification of exempt status or has been notified by the IRS that it is subject to backup withholding (and such notification has not been withdrawn).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Amounts withheld as backup withholding may be credited against a U.S. Holder’s U.S. federal income tax liability, and such holder may obtain a refund of any excess amounts withheld under the backup withholding rules by timely filing the appropriate claim for refund with the IRS and furnishing any required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“Non-U.S. Holder” is any beneficial owner of our securities that is not a U.S. Holder.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Taxation of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w:t>
      </w:r>
      <w:r>
        <w:rPr>
          <w:rFonts w:ascii="Times New Roman PS Std;serif" w:hAnsi="Times New Roman PS Std;serif"/>
          <w:b w:val="false"/>
          <w:i/>
          <w:caps w:val="false"/>
          <w:smallCaps w:val="false"/>
          <w:sz w:val="20"/>
        </w:rPr>
        <w:t>Gain or Loss on Sale, Taxable Exchange, or Other Taxable Disposition of Securities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or Loss on Sale, Taxable Exchange, or other Taxable Disposition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will not be subject to U.S. federal income tax on any gain realized upon the sale or other taxable disposition of our securities (including an expiration or redemption of Warrants)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 nonresident alien individual present in the United States for 183 days or more during the taxable year of the disposition and certain other requirements are met;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securities constitute U.S. real property interests (“USRPI”) by reason of our status as a U.S. real property holding corporation (“USRPHC”)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described in the second bullet point above will be subject to U.S. federal income tax at a rate of 30% (or such lower rate specified by an applicable income tax treaty) on gain realized upon the sale or other taxable disposition of our securities,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Holders should consult their tax advisors regarding potentially applicable income tax treaties that may provide for different rules.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Exercise, Lapse or Redemption of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federal income tax characterization of the exercise, redemption or lapse of a Warrant held by a Non-U.S. Holder generally will follow the U.S. federal income tax characterization of the exercise, redemption or lapse of a Warrant by a U.S. Holder, as described above “</w:t>
      </w:r>
      <w:r>
        <w:rPr>
          <w:rFonts w:ascii="Times New Roman PS Std;serif" w:hAnsi="Times New Roman PS Std;serif"/>
          <w:b w:val="false"/>
          <w:i/>
          <w:caps w:val="false"/>
          <w:smallCaps w:val="false"/>
          <w:sz w:val="20"/>
        </w:rPr>
        <w:t>U.S. Holders — Exercise, Lapse or Redemption of a Warrant</w:t>
      </w:r>
      <w:r>
        <w:rPr>
          <w:rFonts w:ascii="Times New Roman PS Std;serif" w:hAnsi="Times New Roman PS Std;serif"/>
          <w:b w:val="false"/>
          <w:i w:val="false"/>
          <w:caps w:val="false"/>
          <w:smallCaps w:val="false"/>
          <w:sz w:val="20"/>
        </w:rPr>
        <w:t>” above, and the tax consequences of such characterizations will be as set forth above and below in this “</w:t>
      </w:r>
      <w:r>
        <w:rPr>
          <w:rFonts w:ascii="Times New Roman PS Std;serif" w:hAnsi="Times New Roman PS Std;serif"/>
          <w:b w:val="false"/>
          <w:i/>
          <w:caps w:val="false"/>
          <w:smallCaps w:val="false"/>
          <w:sz w:val="20"/>
        </w:rPr>
        <w:t>Non-U.S. Holders</w:t>
      </w:r>
      <w:r>
        <w:rPr>
          <w:rFonts w:ascii="Times New Roman PS Std;serif" w:hAnsi="Times New Roman PS Std;serif"/>
          <w:b w:val="false"/>
          <w:i w:val="false"/>
          <w:caps w:val="false"/>
          <w:smallCaps w:val="false"/>
          <w:sz w:val="20"/>
        </w:rPr>
        <w:t>” 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redeem Warrants for cash pursuant to the redemption provisions described in the section of this prospectus entitled “</w:t>
      </w:r>
      <w:r>
        <w:rPr>
          <w:rFonts w:ascii="Times New Roman PS Std;serif" w:hAnsi="Times New Roman PS Std;serif"/>
          <w:b w:val="false"/>
          <w:i/>
          <w:caps w:val="false"/>
          <w:smallCaps w:val="false"/>
          <w:sz w:val="20"/>
        </w:rPr>
        <w:t>Description of Securities — Warrants — Public Warrants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Description of Securities — Warrants — Private Placement Warrants</w:t>
      </w:r>
      <w:r>
        <w:rPr>
          <w:rFonts w:ascii="Times New Roman PS Std;serif" w:hAnsi="Times New Roman PS Std;serif"/>
          <w:b w:val="false"/>
          <w:i w:val="false"/>
          <w:caps w:val="false"/>
          <w:smallCaps w:val="false"/>
          <w:sz w:val="20"/>
        </w:rPr>
        <w:t>” or if we purchase Warrants in an open market transaction, such redemption or purchase generally will be treated as a taxable disposition to the Non-U.S. Holder, taxed as described above under “</w:t>
      </w:r>
      <w:r>
        <w:rPr>
          <w:rFonts w:ascii="Times New Roman PS Std;serif" w:hAnsi="Times New Roman PS Std;serif"/>
          <w:b w:val="false"/>
          <w:i/>
          <w:caps w:val="false"/>
          <w:smallCaps w:val="false"/>
          <w:sz w:val="20"/>
        </w:rPr>
        <w:t>Non U.S. Holders — Gain or Loss on Sale, Taxable Exchange or Other Taxable Disposition of Securities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Possible Constructive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Times New Roman PS Std;serif" w:hAnsi="Times New Roman PS Std;serif"/>
          <w:b w:val="false"/>
          <w:i/>
          <w:caps w:val="false"/>
          <w:smallCaps w:val="false"/>
          <w:sz w:val="20"/>
        </w:rPr>
        <w:t>Description of Securities — Warrants — Anti-dilution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Adjustments</w:t>
      </w:r>
      <w:r>
        <w:rPr>
          <w:rFonts w:ascii="Times New Roman PS Std;serif" w:hAnsi="Times New Roman PS Std;serif"/>
          <w:b w:val="false"/>
          <w:i w:val="false"/>
          <w:caps w:val="false"/>
          <w:smallCaps w:val="false"/>
          <w:sz w:val="20"/>
        </w:rPr>
        <w:t xml:space="preserve">.” An adjustment that has the effect of preventing dilution generally is not taxable. Non-U.S. Holders of Warrants would, however, be treated as receiving a constructive distribution from us if, for example, the adjustment increases the Non-U.S. Holders’ proportionate interest in our assets or earnings and profits (for instance, through an increase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number of shares of Class A Common Stock that would be obtained upon exercise or through a decrease in the exercise price of the Warrant) as a result of a distribution of cash or other property such as other securities to the holders of shares of our Class A Common Stock, which is taxable to such holders of our Class A Common Stock as a distribution. Such constructive distribution to a Non-U.S. Holder of Warrants would be treated as if such Non-U.S. Holder had received a cash distribution from us equal to the fair market value of such increased interest (taxed as described above under “</w:t>
      </w:r>
      <w:r>
        <w:rPr>
          <w:rFonts w:ascii="Times New Roman PS Std;serif" w:hAnsi="Times New Roman PS Std;serif"/>
          <w:b w:val="false"/>
          <w:i/>
          <w:caps w:val="false"/>
          <w:smallCaps w:val="false"/>
          <w:sz w:val="20"/>
        </w:rPr>
        <w:t>Non U.S. Holders — Taxation of Distributions</w:t>
      </w:r>
      <w:r>
        <w:rPr>
          <w:rFonts w:ascii="Times New Roman PS Std;serif" w:hAnsi="Times New Roman PS Std;serif"/>
          <w:b w:val="false"/>
          <w:i w:val="false"/>
          <w:caps w:val="false"/>
          <w:smallCaps w:val="false"/>
          <w:sz w:val="20"/>
        </w:rPr>
        <w:t>”).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taxpayers may generally rely on prior to the issuance of final regulations, specify how the date and amount of constructive distributions are determined.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securities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securities conducted through a non-U.S. office of a non-U.S. broker generally will not be subject to backup withholding or information reporting. Copies of information returns that are filed with the IRS may also be made available under the provisions of an applicable treaty or agreement to the tax authorities of the country in which the Non-U.S. Holder resides or is established.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Additional Withholding Tax on Payments Made to Foreign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(i) dividends on our Class A Common Stock, and (ii) subject to the proposed Treasury Regulations discussed below) gross proceeds from the sale or other disposition of our Class A Common Stock and Warrants, or constructive distributions deemed paid, if any, with respect to our Warrants,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applicable Treasury Regulations and administrative guidance, withholding under FATCA generally applies to payments of dividends on our Class A Common Stock and, under certain circumstances, constructive distributions, if any, on our securities. While withholding under FATCA would have applied also to payments of gross proceeds from the sale or other disposition of our Class A Common Stock or Warrants on or after January 1, 2019, proposed Treasury Regulations eliminate FATCA withholding on payments of gross proceeds entirely. Taxpayers generally may rely on these proposed Treasury Regulations until final Treasury Regulations are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Prospective purchasers should consult their tax advisors regarding the potential application of withholding under FATCA to their purchase of our securities from the Selling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DISCUSSION ABOVE IS A GENERAL SUMMARY. IT DOES NOT COVER ALL TAX MATTERS THAT MAY BE IMPORTANT TO YOU. EACH PROSPECTIVE PURCHASER SHOULD CONSULT ITS TAX ADVISOR ABOUT THE TAX CONSEQUENCES OF AN INVESTMENT IN OUR SECURITIES BASED ON THE INVESTOR’S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9909"/>
      <w:bookmarkEnd w:id="11"/>
      <w:r>
        <w:rPr>
          <w:rFonts w:ascii="Times New Roman PS Std;serif" w:hAnsi="Times New Roman PS Std;serif"/>
          <w:b/>
          <w:i w:val="false"/>
          <w:caps/>
          <w:sz w:val="20"/>
        </w:rPr>
        <w:t>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the selling securityholders, which as used herein includes our or their donees, pledgees, transferees, distributees, or other successors-in-interest selling the securities covered by this prospectus or interests in the securities covered by this prospectus received after the date of this prospectus from the selling securityholders as a gift, pledge, distribution, or other transfer, may, from time to time, sell, transfer, distribute, or otherwise dispose of certain of the securities covered by this prospectus or interests in the securities covered by this prospectus on any stock exchange, market, or trading facility on which the securities are traded or in private transactions. These dispositions may be at fixed prices, at prevailing market prices at the time of sale, at prices related to the prevailing market prices, at varying prices determined at the time of sale, or at negotiated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the selling securityholders may use any one or more of the following methods when disposing of our or their securities or interests therein: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 or more underwritten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securities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accounts;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distributions to their members, partners, or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short sales effected after the date of the registration statement of which this prospectus forms a part is declared effective by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or other hedging transactions, whether through an options exchange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market transactions, including transactions on a national securities exchange or quotations service or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to one or more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 who may agree with the selling securityholders to sell a specified number of such securities at a stipulated price per share or warrant;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and to our knowledge, the selling securityholders have not, entered into any agreements, understandings or arrangements with any underwriters or broker/dealers regarding the sale of the securities covered by this prospectus. At any time a particular offer of the securities covered by this prospectus is made, a revised prospectus or prospectus supplement, if required, will set forth the aggregate amount of securities covered by this prospectus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revised prospectus or prospectus supplement. Any such required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required, any applicable prospectus supplement will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from time to time, pledge or grant a security interest in the securities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securities or interests therein, the selling securityholders may enter into hedging transactions with broker-dealers or other financial institutions, which may in turn engage in short sales of such securities in the course of hedging the positions they assume. The selling securityholders may also sell securities short and deliver these securities to close out their short positions, or loan or pledge securities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proceeds to the selling securityholders from the sale of securities offered by them will be the purchase price of such securities, less discounts or commissions, if any. The selling securityholders reserve the right to accept and, together with their agents from time to time, to reject, in whole or in part, any proposed purchase of securities to be made directly or through agents. We will not receive any of the proceeds from any offering by the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also may in the future resell a portion of securities in open-market transactions in reliance upon Rule 144 under the Securities Act (provided that they meet the criteria and conform to the requirements of that rule), or pursuant to other available exemptions from the registration requirements of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underwriters, broker-dealers, or agents that participate in the sale of securities or interests therein may be “underwriters” within the meaning of Section 2(11) of the Securities Act. Any discounts, commissions, concessions, or profit they earn on any resale of such securities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required, the number of securities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the offering of securities offered by the selling securityholders, certain persons participating in the offering may engage in transactions that stabilize, maintain, or otherwise affect the price of the securities. This may include over-allotments or short sales,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each of (i) the Amended and Restated Registration Rights Agreement, dated as of February 14, 2023 (the “A&amp;R Registration Rights Agreement”), by and among the Company and each of the shareholders listed on the signature pages thereto, (ii) the Registration Rights Agreement, dated as of August 30, 2023 (the “Initial PIPE Registration Rights Agreement”), by and among the Company and the Purchaser named therein, and (iii) certain subscription agreements that held simple agreements for future equity of Intuitive Machines OpCo entered into from September 2021 through February 2022 and February 10, 2023 (collectively, the “SAFE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A&amp;R Registration Rights Agreement, the Initial PIPE Registration Rights Agreement and the SAFE Agreements.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use this prospectus in connection with resales of the securities covered by this prospectus. This prospectus and any accompanying prospectus supplement will identify the selling securityholders, the terms of the securities and any material relationships between us and the selling securityholders. The selling securityholders may be deemed to be underwriters under the Securities Act in connection with the securities they resell and any profits on the sales may be deemed to be underwriting discounts and commissions under the Securities Act. Unless otherwise set forth in a prospectus supplement, the selling securityholders will receive all the net proceeds from the resale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selling securityholder that is an entity may elect to make an in-kind distribution of securities to its members, partners, or stockholders pursuant to the registration statement of which this prospectus forms a part by delivering a prospectus. To the extent that such members, partners or stockholders are not affiliates of ours, such members, partners or stockholders would thereby receive freely tradable securities pursuant to the distribution through a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above, we are required to pay all fees and expenses incident to the registration of securities to be offered and sold pursuant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we or any selling securityholder will sell any or all of the securities registered pursuant to the registration statement of which this prospectus is a part.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9910"/>
      <w:bookmarkEnd w:id="12"/>
      <w:r>
        <w:rPr>
          <w:rFonts w:ascii="Times New Roman PS Std;serif" w:hAnsi="Times New Roman PS Std;serif"/>
          <w:b/>
          <w:i w:val="false"/>
          <w:caps/>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hereby will be passed upon for us by Latham &amp; Watkins LLP, Houston, Texas.</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9911"/>
      <w:bookmarkEnd w:id="13"/>
      <w:r>
        <w:rPr>
          <w:rFonts w:ascii="Times New Roman PS Std;serif" w:hAnsi="Times New Roman PS Std;serif"/>
          <w:b/>
          <w:i w:val="false"/>
          <w:caps/>
          <w:sz w:val="20"/>
        </w:rPr>
        <w:t>Experts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4" w:name="T9912"/>
      <w:bookmarkEnd w:id="14"/>
      <w:r>
        <w:rPr>
          <w:rFonts w:ascii="Times New Roman PS Std;serif" w:hAnsi="Times New Roman PS Std;serif"/>
          <w:b/>
          <w:i w:val="false"/>
          <w:caps/>
          <w:sz w:val="20"/>
        </w:rPr>
        <w:t>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file annual, quarterly, and current reports, proxy statements, and other information with the SEC. We have also filed a registration statement on Form S-3, including exhibits, under the Securities Act with respect to the securities offered by this prospectus. This prospectus is part of the registration statement but does not contain all of the information included in the registration statement or the exhibits filed with the registration statement. For further information about us and the securities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 filings are available to the public on the internet at a website maintained by the SEC located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Those filings are also available to the public on, or accessible through, our website under the heading “Investors” at </w:t>
      </w:r>
      <w:r>
        <w:rPr>
          <w:rFonts w:ascii="Times New Roman PS Std;serif" w:hAnsi="Times New Roman PS Std;serif"/>
          <w:b w:val="false"/>
          <w:i/>
          <w:caps w:val="false"/>
          <w:smallCaps w:val="false"/>
          <w:sz w:val="20"/>
        </w:rPr>
        <w:t>www.intuitivemachines.com</w:t>
      </w:r>
      <w:r>
        <w:rPr>
          <w:rFonts w:ascii="Times New Roman PS Std;serif" w:hAnsi="Times New Roman PS Std;serif"/>
          <w:b w:val="false"/>
          <w:i w:val="false"/>
          <w:caps w:val="false"/>
          <w:smallCaps w:val="false"/>
          <w:sz w:val="20"/>
        </w:rPr>
        <w:t>. Information contained on our website is not a part of this prospectus and the inclusion of our website address in this prospectus is an inactive textual reference only.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9913"/>
      <w:bookmarkEnd w:id="15"/>
      <w:r>
        <w:rPr>
          <w:rFonts w:ascii="Times New Roman PS Std;serif" w:hAnsi="Times New Roman PS Std;serif"/>
          <w:b/>
          <w:i w:val="false"/>
          <w:caps/>
          <w:sz w:val="20"/>
        </w:rPr>
        <w:t>Information Incorporated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incorporating by reference the filings listed below and any additional documents that we may file with the SEC pursuant to Section 13(a), 13(c), 14 or 15(d) of the Exchange Act on or after the date hereof and prior to the termination of any offering (in each case, other than documents or information deemed to have been furnished and not filed in accordance with SEC rules):</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year ended December 31, 2023, filed with the SEC on March 25, 2024;</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Form 8-K and Current Reports on Form 8-K/A filed with the SEC on </w:t>
      </w:r>
      <w:hyperlink r:id="rId4">
        <w:r>
          <w:rPr>
            <w:rStyle w:val="InternetLink"/>
            <w:rFonts w:ascii="Times New Roman PS Std;serif" w:hAnsi="Times New Roman PS Std;serif"/>
            <w:b w:val="false"/>
            <w:i w:val="false"/>
            <w:caps w:val="false"/>
            <w:smallCaps w:val="false"/>
            <w:sz w:val="20"/>
          </w:rPr>
          <w:t>January 11, 2024</w:t>
        </w:r>
      </w:hyperlink>
      <w:r>
        <w:rPr>
          <w:rFonts w:ascii="Times New Roman PS Std;serif" w:hAnsi="Times New Roman PS Std;serif"/>
          <w:b w:val="false"/>
          <w:i w:val="false"/>
          <w:caps w:val="false"/>
          <w:smallCaps w:val="false"/>
          <w:sz w:val="20"/>
        </w:rPr>
        <w:t xml:space="preserve">, </w:t>
      </w:r>
      <w:hyperlink r:id="rId5">
        <w:r>
          <w:rPr>
            <w:rStyle w:val="InternetLink"/>
            <w:rFonts w:ascii="Times New Roman PS Std;serif" w:hAnsi="Times New Roman PS Std;serif"/>
            <w:b w:val="false"/>
            <w:i w:val="false"/>
            <w:caps w:val="false"/>
            <w:smallCaps w:val="false"/>
            <w:sz w:val="20"/>
          </w:rPr>
          <w:t>January 16, 2024</w:t>
        </w:r>
      </w:hyperlink>
      <w:r>
        <w:rPr>
          <w:rFonts w:ascii="Times New Roman PS Std;serif" w:hAnsi="Times New Roman PS Std;serif"/>
          <w:b w:val="false"/>
          <w:i w:val="false"/>
          <w:caps w:val="false"/>
          <w:smallCaps w:val="false"/>
          <w:sz w:val="20"/>
        </w:rPr>
        <w:t xml:space="preserve">, </w:t>
      </w:r>
      <w:hyperlink r:id="rId6">
        <w:r>
          <w:rPr>
            <w:rStyle w:val="InternetLink"/>
            <w:rFonts w:ascii="Times New Roman PS Std;serif" w:hAnsi="Times New Roman PS Std;serif"/>
            <w:b w:val="false"/>
            <w:i w:val="false"/>
            <w:caps w:val="false"/>
            <w:smallCaps w:val="false"/>
            <w:sz w:val="20"/>
          </w:rPr>
          <w:t>January 30, 2024</w:t>
        </w:r>
      </w:hyperlink>
      <w:r>
        <w:rPr>
          <w:rFonts w:ascii="Times New Roman PS Std;serif" w:hAnsi="Times New Roman PS Std;serif"/>
          <w:b w:val="false"/>
          <w:i w:val="false"/>
          <w:caps w:val="false"/>
          <w:smallCaps w:val="false"/>
          <w:sz w:val="20"/>
        </w:rPr>
        <w:t xml:space="preserve">, </w:t>
      </w:r>
      <w:hyperlink r:id="rId7">
        <w:r>
          <w:rPr>
            <w:rStyle w:val="InternetLink"/>
            <w:rFonts w:ascii="Times New Roman PS Std;serif" w:hAnsi="Times New Roman PS Std;serif"/>
            <w:b w:val="false"/>
            <w:i w:val="false"/>
            <w:caps w:val="false"/>
            <w:smallCaps w:val="false"/>
            <w:sz w:val="20"/>
          </w:rPr>
          <w:t>February 1, 2024</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February 12, 2024</w:t>
        </w:r>
      </w:hyperlink>
      <w:r>
        <w:rPr>
          <w:rFonts w:ascii="Times New Roman PS Std;serif" w:hAnsi="Times New Roman PS Std;serif"/>
          <w:b w:val="false"/>
          <w:i w:val="false"/>
          <w:caps w:val="false"/>
          <w:smallCaps w:val="false"/>
          <w:sz w:val="20"/>
        </w:rPr>
        <w:t xml:space="preserve">, and </w:t>
      </w:r>
      <w:hyperlink r:id="rId9">
        <w:r>
          <w:rPr>
            <w:rStyle w:val="InternetLink"/>
            <w:rFonts w:ascii="Times New Roman PS Std;serif" w:hAnsi="Times New Roman PS Std;serif"/>
            <w:b w:val="false"/>
            <w:i w:val="false"/>
            <w:caps w:val="false"/>
            <w:smallCaps w:val="false"/>
            <w:sz w:val="20"/>
          </w:rPr>
          <w:t>March 27, 2024</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contained in Item 1 of the Registration Statement on </w:t>
      </w:r>
      <w:hyperlink r:id="rId10">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xml:space="preserve"> (File No. 001-40823) filed with the SEC on February 14, 2023, including any amendment or report filed for the purpose of updating such description.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documents incorporated by reference, excluding exhibits except to the extent such exhibits are specifically incorporated by reference, are available from us without charge, upon oral or written request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Intuitive Machines, Inc.</w:t>
        <w:br/>
        <w:t>13467 Columbia Shuttle Street</w:t>
        <w:br/>
        <w:t>Houston, TX 77059</w:t>
        <w:br/>
        <w:t>(281) 520-3703</w:t>
        <w:br/>
        <w:t>Attention: Corporate Secretary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preliminary prospectus supplement is not complete and may be changed. We may not sell these securities until the registration statement filed with the Securities and Exchange Commission is effective. This preliminary prospectus supplement is not an offer to sell these securities and it is not soliciting an offer to buy these securities in any jurisdiction where the offer or sale is not permitted.</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March 27, 2024</w:t>
      </w:r>
    </w:p>
    <w:p>
      <w:pPr>
        <w:pStyle w:val="TextBody"/>
        <w:keepNext w:val="true"/>
        <w:pageBreakBefore w:val="false"/>
        <w:widowControl/>
        <w:pBdr/>
        <w:bidi w:val="0"/>
        <w:spacing w:before="1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br/>
        <w:t>(To Prospectus Dated                  , 2024)</w:t>
      </w:r>
    </w:p>
    <w:p>
      <w:pPr>
        <w:pStyle w:val="TextBody"/>
        <w:keepNext w:val="true"/>
        <w:pageBreakBefore w:val="false"/>
        <w:widowControl/>
        <w:pBdr/>
        <w:bidi w:val="0"/>
        <w:spacing w:before="160" w:after="283"/>
        <w:jc w:val="center"/>
        <w:rPr>
          <w:caps w:val="false"/>
          <w:smallCaps w:val="false"/>
        </w:rPr>
      </w:pPr>
      <w:r>
        <w:rPr>
          <w:caps w:val="false"/>
          <w:smallCaps w:val="false"/>
        </w:rPr>
        <w:drawing>
          <wp:inline distT="0" distB="0" distL="0" distR="0">
            <wp:extent cx="2581275" cy="7708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581275" cy="770890"/>
                    </a:xfrm>
                    <a:prstGeom prst="rect">
                      <a:avLst/>
                    </a:prstGeom>
                  </pic:spPr>
                </pic:pic>
              </a:graphicData>
            </a:graphic>
          </wp:inline>
        </w:drawing>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Intuitive Machines, Inc.</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Up to $100,000,000</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Class A Common Stock</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 Controlled Equity OfferingSM Sales Agreement (the “Sales Agreement”) with Cantor Fitzgerald &amp; Co. (“Cantor”) relating to the sale of shares of our Class A common stock, par value $0.0001 per share (“Class A Common Stock”), offered by this prospectus supplement and the accompanying base prospectus. In accordance with the terms of the Sales Agreement, we may offer and sell up to an aggregate of $100,000,000 of our Class A Common Stock from time to time through Cantor, acting as our agent.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our Class A Common Stock, if any, under this prospectus supplement and the accompanying base prospectus will be made in sales deemed to be an “at the market offering” as defined in Rule 415(a)(4) promulgated under the Securities Act of 1933, as amended (the “Securities Act”), in ordinary brokers’ transactions, to or through a market maker, on or through the Nasdaq Stock Market LLC (“Nasdaq”) or any other market venue where our Class A Common Stock may be traded, in the over-the-counter market, in privately negotiated transactions, or through a combination of any such methods of sale. If we and Cantor agree on any method of distribution other than the sale of shares of Class A Common Stock on or through the Nasdaq or another existing trading market in the United States at market prices, we will file a further prospectus supplement providing all information about such offering as required by Rule 424(b) under the Securities Act. Cantor is not required to sell any specific number or dollar amount of securities but will act as our sales agent using commercially reasonable efforts consistent with their normal trading and sales practices, on mutually agreed terms between Cantor and us. There is no arrangement for funds to be received in any escrow, trust or similar arrangement.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Sales Agreement, we may also sell shares of Class A Common Stock to Cantor as principal for its own account, at a price to be agreed upon at the time of sale. If we sell shares to Cantor as principal, we will enter into a separate terms agreement with Cantor, and we will describe the agreement in a separate prospectus supplement or pricing supplement.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to Cantor for the sales of Class A Common Stock pursuant to the Sales Agreement will be an amount equal to 3.0% of the aggregate gross proceeds of any shares of Class A Common Stock sold under the Sales Agreement. In connection with the sale of our Class A Common Stock on our behalf, Cantor may be deemed to be an “underwriter” within the meaning of the Securities Act and the compensation paid to Cantor may be deemed to be underwriting commissions or discounts. We have also agreed to provide indemnification and contribution to Cantor with respect to certain liabilities, including liabilities under the Securities Act and the Securities Exchange Act of 1934, as amended (the “Exchange Act”). See “Plan of Distribution” beginning on page S-14 for additional information regarding the compensation to be paid to Cantor.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Stock and public warrants to purchase shares of Class A Common Stock at an exercise price of $11.50 per share (“Public Warrants”) are listed on the Nasdaq under the symbols “LUNR” and “LUNRW,” respectively. On March 25, 2024, the closing price of our Class A Common Stock was $6.15 per share and the closing price of our Public Warrants was $1.61 per warrant.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and a “smaller reporting company” under the federal securities laws and are subject to reduced disclosure and public reporting requirements. See “</w:t>
      </w:r>
      <w:r>
        <w:rPr>
          <w:rFonts w:ascii="Times New Roman PS Std;serif" w:hAnsi="Times New Roman PS Std;serif"/>
          <w:b w:val="false"/>
          <w:i/>
          <w:caps w:val="false"/>
          <w:smallCaps w:val="false"/>
          <w:sz w:val="20"/>
        </w:rPr>
        <w:t>Prospectus Summary — Implications of Being an Emerging Growth Company and Smaller Reporting Company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See the section entitled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S-6.</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U.S.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pStyle w:val="TextBody"/>
        <w:keepNext w:val="false"/>
        <w:pageBreakBefore w:val="false"/>
        <w:widowControl/>
        <w:pBdr/>
        <w:bidi w:val="0"/>
        <w:spacing w:before="120" w:after="283"/>
        <w:jc w:val="center"/>
        <w:rPr>
          <w:caps w:val="false"/>
          <w:smallCaps w:val="false"/>
        </w:rPr>
      </w:pPr>
      <w:r>
        <w:rPr>
          <w:caps w:val="false"/>
          <w:smallCaps w:val="false"/>
        </w:rPr>
        <w:drawing>
          <wp:inline distT="0" distB="0" distL="0" distR="0">
            <wp:extent cx="1876425" cy="3721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876425" cy="372110"/>
                    </a:xfrm>
                    <a:prstGeom prst="rect">
                      <a:avLst/>
                    </a:prstGeom>
                  </pic:spPr>
                </pic:pic>
              </a:graphicData>
            </a:graphic>
          </wp:inline>
        </w:drawing>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supplement is             ,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6433" w:type="dxa"/>
        <w:jc w:val="left"/>
        <w:tblInd w:w="0" w:type="dxa"/>
        <w:tblLayout w:type="fixed"/>
        <w:tblCellMar>
          <w:top w:w="0" w:type="dxa"/>
          <w:left w:w="0" w:type="dxa"/>
          <w:bottom w:w="0" w:type="dxa"/>
          <w:right w:w="0" w:type="dxa"/>
        </w:tblCellMar>
      </w:tblPr>
      <w:tblGrid>
        <w:gridCol w:w="5626"/>
        <w:gridCol w:w="146"/>
        <w:gridCol w:w="661"/>
      </w:tblGrid>
      <w:tr>
        <w:trPr/>
        <w:tc>
          <w:tcPr>
            <w:tcW w:w="56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About This Prospectus Supplement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Trademarks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Market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Prospectus Supplement Summary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S-6</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Cautionary Note Regarding Forward-Looking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S-9</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S-11</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Dilution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S-12</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Plan of Distribution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S-14</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S-15</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S-15</w:t>
            </w:r>
          </w:p>
        </w:tc>
      </w:tr>
      <w:tr>
        <w:trPr/>
        <w:tc>
          <w:tcPr>
            <w:tcW w:w="5626" w:type="dxa"/>
            <w:tcBorders/>
            <w:vAlign w:val="bottom"/>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S-15</w:t>
            </w:r>
          </w:p>
        </w:tc>
      </w:tr>
      <w:tr>
        <w:trPr/>
        <w:tc>
          <w:tcPr>
            <w:tcW w:w="5626" w:type="dxa"/>
            <w:tcBorders/>
            <w:shd w:fill="CCEEFF" w:val="clear"/>
            <w:vAlign w:val="bottom"/>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Information Incorporated By Reference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S-16</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9921"/>
      <w:bookmarkEnd w:id="16"/>
      <w:r>
        <w:rPr>
          <w:rFonts w:ascii="Times New Roman PS Std;serif" w:hAnsi="Times New Roman PS Std;serif"/>
          <w:b/>
          <w:i w:val="false"/>
          <w:caps/>
          <w:sz w:val="20"/>
        </w:rPr>
        <w:t>About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the accompanying base prospectus are part of a registration statement on Form S-3 that we have filed with the Securities and Exchange Commission (the “SEC”), utilizing a “shelf” registration process. By using a shelf registration statement, we may offer up to $300,000,000 of Class A Common Stock. Under this prospectus supplement, we may from time to time sell up to $100,000,000 of Class A Common Stock at prices and on terms to be determined by market conditions at the time of the offering. The $100,000,000 of Class A Common Stock that may be sold under this prospectus supplement are included in the $300,000,000 of Class A Common Stock that may be sold under the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information to you about this offering of our Class A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or incorporated by reference in this prospectus supplement. Neither we nor Cantor have authorized anyone to provide you with different information. If anyone provides you with different or inconsistent information, you should not rely on it. We and Cantor take no responsibility for, and can provide no assurance as to the reliability of, any other information that others may give you. We are not, and Cantor is not, making an offer to sell these securities in any jurisdiction where the offer or sale is not permitted. You should assume that the information appearing in this prospectus supplement and the documents incorporated by reference in this prospectus supplement is accurate only as of the date of those respective documents. Our business, financial condition, results of operations and prospects may have changed since those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supplement, the accompanying base prospectus, and the documents incorporated by reference herein and therein and any free writing prospectus that we have authorized for use in connection with this offering in their entirety before making an investment decision. The distribution of this prospectus supplement and the offering of shares of our Class A Common Stock in certain jurisdictions may be restricted by law. Persons outside the United States who come into possession of this prospectus supplement must inform themselves about, and observe any restrictions relating to, the offering of shares of our Class A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the accompanying base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“Intuitive Machines,” “we,” “our,” “us” and the “Company” in this prospectus, we mean Intuitive Machines, Inc. and its consolidated subsidiaries, unless otherwise specified. When we refer to “you,” we mean the potential holders of the applicable series of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22"/>
      <w:bookmarkEnd w:id="17"/>
      <w:r>
        <w:rPr>
          <w:rFonts w:ascii="Times New Roman PS Std;serif" w:hAnsi="Times New Roman PS Std;serif"/>
          <w:b/>
          <w:i w:val="false"/>
          <w:caps w:val="false"/>
          <w:smallCaps w:val="false"/>
          <w:sz w:val="20"/>
        </w:rPr>
        <w:t>TRADEMARKS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the accompanying base prospectus, and the documents incorporated by reference herein and therein contain or incorporate by reference documents containing references to trademarks, service marks and trade names owned by us or belonging to other entities. Solely for convenience, trademarks, service marks and trade names referred to in this document may appear without the ® or ™ symbols, but such references are not intended to indicate, in any way, that we or the applicable licensor will not assert, to the fullest extent under applicable law, our or its rights to these trademarks, service marks and trade names. We do not intend our use or display of other companies’ trademarks, service marks or trade names to imply a relationship with, or endorsement or sponsorship of it by, any other companies. All trademarks, service marks and trade names included in this document are the property of their respective owners.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23"/>
      <w:bookmarkEnd w:id="18"/>
      <w:r>
        <w:rPr>
          <w:rFonts w:ascii="Times New Roman PS Std;serif" w:hAnsi="Times New Roman PS Std;serif"/>
          <w:b/>
          <w:i w:val="false"/>
          <w:caps w:val="false"/>
          <w:smallCaps w:val="false"/>
          <w:sz w:val="20"/>
        </w:rPr>
        <w:t>MARKET AND INDUSTRY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the accompanying base prospectus, and the documents incorporated by reference herein and therein include industry position and industry data and forecasts that we obtained or derived from internal company reports, independent third-party publications and other industry data. This data involves a number of assumptions and limitations, and you are cautioned not to give undue weight to such estimates. Some data are also based on good faith estimates, which are derived from internal company analyses or review of internal company reports as well as the independent sources referred to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the information on which we have based these estimates of industry position and industry data are generally reliable, the accuracy and completeness of this information is not guaranteed and we have not independently verified any of the data from third-party sources nor have we ascertained the underlying economic assumptions relied upon therein. Statements as to industry position are based on market data currently available. While we are not aware of any misstatements regarding the industry data presented herein, these estimates involve risks and uncertainties and are subject to change based on various factors, including those discussed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this prospectus supplement. These and other factors could cause results to differ materially from those expressed in these publications and reports.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9" w:name="T9924"/>
      <w:bookmarkEnd w:id="19"/>
      <w:r>
        <w:rPr>
          <w:rFonts w:ascii="Times New Roman PS Std;serif" w:hAnsi="Times New Roman PS Std;serif"/>
          <w:b/>
          <w:i w:val="false"/>
          <w:caps w:val="false"/>
          <w:smallCaps w:val="false"/>
          <w:sz w:val="20"/>
          <w:bdr w:val="single" w:sz="8" w:space="10" w:color="000000"/>
        </w:rPr>
        <w:t>PROSPECTUS SUPPLEMENT 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appearing elsewhere in this prospectus supplement, or the documents incorporated by reference and does not contain all of the information that you should consider before buying our securities. Because it is a summary, it may not contain all of the information that may be important to you. You should read this entire prospectus supplement carefully, including the section entitled “Risk Factors” and the documents we have incorporated by reference in this prospectus supplement, along with our consolidated financial statements and related notes incorporated by reference in this prospectus supplement.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space infrastructure and services company founded in 2013 that is contributing to the establishment of lunar infrastructure and commerce on the Moon. We believe we have a leading position in the development of lunar space operating in four business lines: Lunar Access Services, Lunar Data Services, Orbital Services, and Space Products and Infrastructure. We are initially focused on establishing the lunar infrastructure and basis for commerce to inform and sustain human presence off Earth. We believe our business is well positioned for continued growth and expansion: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u w:val="single"/>
          <w:bdr w:val="single" w:sz="8" w:space="10" w:color="000000"/>
        </w:rPr>
        <w:t>Right Now</w:t>
      </w:r>
      <w:r>
        <w:rPr>
          <w:rFonts w:ascii="Times New Roman PS Std;serif" w:hAnsi="Times New Roman PS Std;serif"/>
          <w:b w:val="false"/>
          <w:i w:val="false"/>
          <w:caps w:val="false"/>
          <w:smallCaps w:val="false"/>
          <w:sz w:val="20"/>
          <w:bdr w:val="single" w:sz="8" w:space="10" w:color="000000"/>
        </w:rPr>
        <w:t>:    Servicing the National Aeronautics and Space Administration (“NASA”) and a worldwide set of commercial payload customers, working to provide access to the lunar surface, cislunar space and data transmission for science, technology, and infrastructure.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u w:val="single"/>
          <w:bdr w:val="single" w:sz="8" w:space="10" w:color="000000"/>
        </w:rPr>
        <w:t>Tomorrow</w:t>
      </w:r>
      <w:r>
        <w:rPr>
          <w:rFonts w:ascii="Times New Roman PS Std;serif" w:hAnsi="Times New Roman PS Std;serif"/>
          <w:b w:val="false"/>
          <w:i w:val="false"/>
          <w:caps w:val="false"/>
          <w:smallCaps w:val="false"/>
          <w:sz w:val="20"/>
          <w:bdr w:val="single" w:sz="8" w:space="10" w:color="000000"/>
        </w:rPr>
        <w:t>:    Working to provide a thriving, diverse lunar economy, creating new opportunities and markets to enable on-orbit applications, a permanent presence on the Moon, and expand the commercial space exploration marketplace.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three Commercial Lunar Payload Services (“CLPS”) awards to date as of December 31, 2023. On February 22, 2024, Intuitive Machines’ Nova-C lander became the first U.S. vehicle to softly land on the lunar surface since 1972 and landed the vehicle further south than any vehicle in the world has ever soft-landed on the Moon. Our Nova-C lander on the IM-1 mission carried approximately 100 kilograms of payloads and shuttled numerous experiments and technology demonstrations at the lunar surface near the south pole. Our goal is to follow the successful IM-1 mission with IM-2, which will continue to execute experiments and technology demonstrations at the Shackleton Connecting Ridge at the lunar south pole, and IM-3, our third CLPS award, which will land at Reiner Gamma. These missions, along with additional expeditions, are in partnership with NASA, Nokia Corporation, Columbia Sportswear Company, Aegis Aerospace, Inc. and other commercial players. Intuitive Machines offers its customers the flexibility needed to pioneer a thriving, diverse lunar economy and to enable a permanent presence on the Moon.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Additionally, the U.S. Space Forces’ (the “Space Force”) requirement to ensure freedom of action in space is driving their initial focus on cislunar Space Domain Awareness sensors and xGEO Position Navigation and Timing solutions as a result of the ongoing efforts by the United States and the People’s Republic of China (“China”) to return to the lunar surface in a sustainable manner. We believe the U.S. Department of Defense funding for cislunar activities will drive the Space Force to rely on purchasing cislunar commercial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16, 2022, we entered into a Business Combination Agreement. On February 10, 2023, as contemplated by the Business Combination Agreement and described in the section titled “</w:t>
      </w:r>
      <w:r>
        <w:rPr>
          <w:rFonts w:ascii="Times New Roman PS Std;serif" w:hAnsi="Times New Roman PS Std;serif"/>
          <w:b w:val="false"/>
          <w:i/>
          <w:caps w:val="false"/>
          <w:smallCaps w:val="false"/>
          <w:sz w:val="20"/>
          <w:bdr w:val="single" w:sz="8" w:space="10" w:color="000000"/>
        </w:rPr>
        <w:t>The Business Combination Proposal</w:t>
      </w:r>
      <w:r>
        <w:rPr>
          <w:rFonts w:ascii="Times New Roman PS Std;serif" w:hAnsi="Times New Roman PS Std;serif"/>
          <w:b w:val="false"/>
          <w:i w:val="false"/>
          <w:caps w:val="false"/>
          <w:smallCaps w:val="false"/>
          <w:sz w:val="20"/>
          <w:bdr w:val="single" w:sz="8" w:space="10" w:color="000000"/>
        </w:rPr>
        <w:t xml:space="preserve">” of the final prospectus and definitive proxy statement of Inflection Point Acquisition Corp. (“IPAX”), dated January 24, 2023 (the “Proxy Statement/Prospectus”) and filed with the SEC on January 24, 2023, IPAX filed a notice of deregistration with the Cayman Islands Registrar of Companies, together with the necessary accompanying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documents, and filed the Certificate of Incorporation and a certificate of corporate domestication with the Secretary of State of the State of Delaware, pursuant to which IPAX was domesticated and continued as a Delaware corporation, changing its name to “Intuitive Machines, Inc.” (the “Domestication”).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prior to the Domestication, each of the then issued and outstanding Class B ordinary shares of IPAX, par value $0.0001 per share (each, a “Cayman Class B Share”), converted automatically, on a one-for-one basis, into a Class A ordinary share of IPAX, par value $0.0001 per share (each, a “Cayman Class A Share”). As a result of and upon the effective time of the Domestication, among other things, (i) each of the then issued and outstanding Cayman Class A Shares automatically converted, on a one-for-one basis, into a share of Class A Common Stock; (ii) each of the then issued and outstanding warrants representing the right to purchase one Cayman Class A Share automatically converted into a public warrant at an exercise price of $11.50 per share (“Public Warrant”); and (iii) each of the then issued and outstanding units of IPAX were cancelled and each holder thereof was entitled to one share of Class A Common Stock and one-half of one Public Warrant per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the Closing Date, as contemplated by the Business Combination Agreement and described in the Proxy Statement/Prospectus, we consummated the Business Combination, whereby (i) Intuitive Machines OpCo appointed us as its managing member, (ii) we issued to certain Intuitive Machines Members a number of shares of Class B Common Stock, having one vote per share and no economic rights, or Class C Common Stock, having three votes per share and no economic rights, in each case, in exchange for payment from such Intuitive Machines Members of a per-share price equal to the par value per share of such stock, and equal to the number of Intuitive Machines OpCo Common Units held by such person as of and on the Closing Date and (iii) we contributed to Intuitive Machines OpCo an amount in cash equal to the sum of (without duplication): (a) all amounts in the trust account of IPAX, less (x) amounts required for the redemptions of Cayman Class A Shares by stockholders of IPAX prior to the Business Combination and (y) transaction expenses of Intuitive Machines OpCo and IPAX, plus (b) the aggregate proceeds actually received by IPAX from the Securities Purchase Agreement (the “Series A Preferred Securities Purchase Agreement”) with certain investors (collectively, the “Series A Investors”), pursuant to which the Series A Investors purchased $26.0 million (the “Series A Investment”) of 10% Series A Cumulative Convertible Preferred Stock, par value $0.0001 per share, of Intuitive Machines, Inc. (the “Series A Preferred Stock”) and warrants exercisable to purchase shares of Class A Common Stock at an initial exercise price of $15.00 (the “Preferred Investor Warrants”), plus (c) all other cash and cash equivalents of IPAX, determined in accordance with U.S. Generally Accepted Accounting Principles (“GAAP”) as of 11:59 p.m. Eastern Time on February 12, 2023, plus (d) the Founder Subscription Amount (as defined in the Business Combination Agreement) in exchange for the issuance by Intuitive Machines OpCo to us of (w) a number of Intuitive Machines OpCo Common Units equal to the number of shares of Class A Common Stock issued and outstanding as of the Closing Date, (x) a number of warrants of Intuitive Machines OpCo equal to the number of Public Warrants issued and outstanding as of the Closing Date, (y) a number of Series A preferred units of Intuitive Machines OpCo equal to the number of shares of Series A Preferred Stock issued and outstanding as of the Closing Date and issued to the Series A Investors and (z) a number of Intuitive Machines OpCo preferred investor warrants equal to the number of Preferred Investor Warrants delivered to the Series A Investors on the Closing Date (together with the Domestication, the “Transactions”). Upon the consummation of the Transactions, as of the open of business on February 13, 2023, IPAX’s ordinary shares, warrants and units ceased trading on Nasdaq, and our Class A Common Stock and Public Warrants began trading on Nasdaq on February 14, 2023 under the symbols “LUNR” and “LUNRW,”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IPAX was a blank check company incorporated on January 27, 2021 as a Cayman Islands exempted company for the purpose of effecting a merger, share exchange, asset acquisition, share purchase, reorganization, or similar business combination with one or more businesses. On February 10, 2023, IPAX domesticated into a Delaware corporation and changed its name to “Intuitive Machines, Inc.” in connection with the Domestication. Intuitive Machines, Inc. is a holding company whose principal assets are the Intuitive Machines OpCo Common Units it holds in Intuitive Machines OpCo.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 is located at 13467 Columbia Shuttle Street, Houston, TX 77059. Our telephone number is (281) 520-3703. Our website address is </w:t>
      </w:r>
      <w:r>
        <w:rPr>
          <w:rFonts w:ascii="Times New Roman PS Std;serif" w:hAnsi="Times New Roman PS Std;serif"/>
          <w:b w:val="false"/>
          <w:i/>
          <w:caps w:val="false"/>
          <w:smallCaps w:val="false"/>
          <w:sz w:val="20"/>
          <w:bdr w:val="single" w:sz="8" w:space="10" w:color="000000"/>
        </w:rPr>
        <w:t>www.intuitivemachines.com</w:t>
      </w:r>
      <w:r>
        <w:rPr>
          <w:rFonts w:ascii="Times New Roman PS Std;serif" w:hAnsi="Times New Roman PS Std;serif"/>
          <w:b w:val="false"/>
          <w:i w:val="false"/>
          <w:caps w:val="false"/>
          <w:smallCaps w:val="false"/>
          <w:sz w:val="20"/>
          <w:bdr w:val="single" w:sz="8" w:space="10" w:color="000000"/>
        </w:rPr>
        <w:t>. Information contained on our website is not a part of this prospectus, and the inclusion of our website address in this prospectus is an inactive textual reference only.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 and Smaller Reporting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being permitted to present only two years of audited financial statements and selected financial data and only two years of related “</w:t>
      </w:r>
      <w:r>
        <w:rPr>
          <w:rFonts w:ascii="Times New Roman PS Std;serif" w:hAnsi="Times New Roman PS Std;serif"/>
          <w:b w:val="false"/>
          <w:i/>
          <w:caps w:val="false"/>
          <w:smallCaps w:val="false"/>
          <w:sz w:val="20"/>
          <w:bdr w:val="single" w:sz="8" w:space="10" w:color="000000"/>
        </w:rPr>
        <w:t>Management’s Discussion and Analysis of Financial Condition and Results of Operations</w:t>
      </w:r>
      <w:r>
        <w:rPr>
          <w:rFonts w:ascii="Times New Roman PS Std;serif" w:hAnsi="Times New Roman PS Std;serif"/>
          <w:b w:val="false"/>
          <w:i w:val="false"/>
          <w:caps w:val="false"/>
          <w:smallCaps w:val="false"/>
          <w:sz w:val="20"/>
          <w:bdr w:val="single" w:sz="8" w:space="10" w:color="000000"/>
        </w:rPr>
        <w:t>” in our periodic reports and registration statements, subject to certain exceptions;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the auditor attestation requirements of Section 404 of the Sarbanes-Oxley Act of 2002, as amended (“SOX”);</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obligations regarding executive compensation in our periodic reports, proxy statements, and registration statements, including in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of holding a nonbinding advisory vote on executive compensation and stockholder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earliest to occur of: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December 31, 2026 (the last day of the fiscal year that follows the fifth anniversary of the completion of IPAX’s initial public offering);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last day of the fiscal year in which we have total annual gross revenue of at least $1.235 billion;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date on which we are deemed to be a “large accelerated filer,” as defined in the U.S. Securities Exchange Act of 1934, as amended (the “Exchange Act”);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date on which we have issued more than $1 billion in non-convertible debt over a three-year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take advantage of certain of the reduced disclosure obligations in this prospectus and may elect to take advantage of other reduced reporting requirements in our future filings with the SEC. As a result, the information that we provide to holders of our Class A Common Stock may be different than what you might receive from other public reporting companies in which you hold equity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a “smaller reporting company” as defined in Item 10(f)(1) of Regulation S-K. We may continue to be a smaller reporting company even after we are no longer an emerging growth company. We may take advantage of certain of the reduced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1775"/>
        <w:gridCol w:w="146"/>
        <w:gridCol w:w="8284"/>
      </w:tblGrid>
      <w:tr>
        <w:trPr/>
        <w:tc>
          <w:tcPr>
            <w:tcW w:w="177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Issuer</w:t>
            </w:r>
          </w:p>
        </w:tc>
        <w:tc>
          <w:tcPr>
            <w:tcW w:w="146" w:type="dxa"/>
            <w:tcBorders/>
          </w:tcPr>
          <w:p>
            <w:pPr>
              <w:pStyle w:val="TableContents"/>
              <w:bidi w:val="0"/>
              <w:spacing w:before="0" w:after="283"/>
              <w:jc w:val="left"/>
              <w:rPr/>
            </w:pPr>
            <w:r>
              <w:rPr/>
              <w:t> </w:t>
            </w:r>
          </w:p>
        </w:tc>
        <w:tc>
          <w:tcPr>
            <w:tcW w:w="828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Intuitive Machines, Inc.</w:t>
            </w:r>
          </w:p>
        </w:tc>
      </w:tr>
      <w:tr>
        <w:trPr/>
        <w:tc>
          <w:tcPr>
            <w:tcW w:w="1775"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Class A Common Stock Offered by Us</w:t>
            </w:r>
          </w:p>
        </w:tc>
        <w:tc>
          <w:tcPr>
            <w:tcW w:w="146" w:type="dxa"/>
            <w:tcBorders/>
          </w:tcPr>
          <w:p>
            <w:pPr>
              <w:pStyle w:val="TableContents"/>
              <w:bidi w:val="0"/>
              <w:spacing w:before="0" w:after="283"/>
              <w:jc w:val="left"/>
              <w:rPr/>
            </w:pPr>
            <w:r>
              <w:rPr/>
              <w:t> </w:t>
            </w:r>
          </w:p>
        </w:tc>
        <w:tc>
          <w:tcPr>
            <w:tcW w:w="8284" w:type="dxa"/>
            <w:tcBorders/>
          </w:tcPr>
          <w:p>
            <w:pPr>
              <w:pStyle w:val="TableContents"/>
              <w:keepNext w:val="false"/>
              <w:widowControl/>
              <w:pBdr/>
              <w:bidi w:val="0"/>
              <w:spacing w:before="3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$100,000,000 of Class A Common Stock.</w:t>
            </w:r>
          </w:p>
        </w:tc>
      </w:tr>
      <w:tr>
        <w:trPr/>
        <w:tc>
          <w:tcPr>
            <w:tcW w:w="1775"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Class A Common Stock Outstanding After this Offering</w:t>
            </w:r>
          </w:p>
        </w:tc>
        <w:tc>
          <w:tcPr>
            <w:tcW w:w="146" w:type="dxa"/>
            <w:tcBorders/>
          </w:tcPr>
          <w:p>
            <w:pPr>
              <w:pStyle w:val="TableContents"/>
              <w:bidi w:val="0"/>
              <w:spacing w:before="0" w:after="283"/>
              <w:jc w:val="left"/>
              <w:rPr/>
            </w:pPr>
            <w:r>
              <w:rPr/>
              <w:t> </w:t>
            </w:r>
          </w:p>
        </w:tc>
        <w:tc>
          <w:tcPr>
            <w:tcW w:w="8284" w:type="dxa"/>
            <w:tcBorders/>
          </w:tcPr>
          <w:p>
            <w:pPr>
              <w:pStyle w:val="TableContents"/>
              <w:keepNext w:val="false"/>
              <w:widowControl/>
              <w:pBdr/>
              <w:bidi w:val="0"/>
              <w:spacing w:before="3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16,260,163 shares, assuming the sale of $100,000,000 of Class A Common Stock at an assumed offering price of $6.15 per share, which was the last reported sale price of our Class A Common Stock on the Nasdaq on March 25, 2024. The actual number of shares of Class A Common Stock issued will vary depending on the sales price under this offering.</w:t>
            </w:r>
          </w:p>
        </w:tc>
      </w:tr>
      <w:tr>
        <w:trPr/>
        <w:tc>
          <w:tcPr>
            <w:tcW w:w="1775"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Manner of Offering</w:t>
            </w:r>
          </w:p>
        </w:tc>
        <w:tc>
          <w:tcPr>
            <w:tcW w:w="146" w:type="dxa"/>
            <w:tcBorders/>
          </w:tcPr>
          <w:p>
            <w:pPr>
              <w:pStyle w:val="TableContents"/>
              <w:bidi w:val="0"/>
              <w:spacing w:before="0" w:after="283"/>
              <w:jc w:val="left"/>
              <w:rPr/>
            </w:pPr>
            <w:r>
              <w:rPr/>
              <w:t> </w:t>
            </w:r>
          </w:p>
        </w:tc>
        <w:tc>
          <w:tcPr>
            <w:tcW w:w="82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“at the market offering” as defined in Rule 415(a)(4) promulgated under the Securities Act, in ordinary brokers’ transactions, to or through a market maker, on or through the Nasdaq or any other market venue where our Class A Common Stock may be traded, in the over-the-counter market, in privately negotiated transactions, or through a combination of any such methods of sale that may be made from time to time through our sales agent, Cantor Fitzgerald &amp; Co. See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on page S-14 of this prospectus supplement.</w:t>
            </w:r>
          </w:p>
        </w:tc>
      </w:tr>
      <w:tr>
        <w:trPr/>
        <w:tc>
          <w:tcPr>
            <w:tcW w:w="1775"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2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this offering for general corporate purposes. See “Use of Proceeds” on page S-11 of this prospectus supplement.</w:t>
            </w:r>
          </w:p>
        </w:tc>
      </w:tr>
      <w:tr>
        <w:trPr/>
        <w:tc>
          <w:tcPr>
            <w:tcW w:w="1775"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Class A Common Stock Outstanding After this Offering</w:t>
            </w:r>
          </w:p>
        </w:tc>
        <w:tc>
          <w:tcPr>
            <w:tcW w:w="146" w:type="dxa"/>
            <w:tcBorders/>
          </w:tcPr>
          <w:p>
            <w:pPr>
              <w:pStyle w:val="TableContents"/>
              <w:bidi w:val="0"/>
              <w:spacing w:before="0" w:after="283"/>
              <w:jc w:val="left"/>
              <w:rPr/>
            </w:pPr>
            <w:r>
              <w:rPr/>
              <w:t> </w:t>
            </w:r>
          </w:p>
        </w:tc>
        <w:tc>
          <w:tcPr>
            <w:tcW w:w="8284" w:type="dxa"/>
            <w:tcBorders/>
          </w:tcPr>
          <w:p>
            <w:pPr>
              <w:pStyle w:val="TableContents"/>
              <w:keepNext w:val="false"/>
              <w:widowControl/>
              <w:pBdr/>
              <w:bidi w:val="0"/>
              <w:spacing w:before="3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Stock is listed on the Nasdaq under the symbol “LUNR.”</w:t>
            </w:r>
          </w:p>
        </w:tc>
      </w:tr>
      <w:tr>
        <w:trPr/>
        <w:tc>
          <w:tcPr>
            <w:tcW w:w="1775"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28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investment in the securities offered hereby is speculative and involves a high degree of risk. You should carefully consider the information set forth under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elsewhere in this prospectus supplement.</w:t>
            </w:r>
          </w:p>
        </w:tc>
      </w:tr>
      <w:tr>
        <w:trPr/>
        <w:tc>
          <w:tcPr>
            <w:tcW w:w="1775"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Symbol</w:t>
            </w:r>
          </w:p>
        </w:tc>
        <w:tc>
          <w:tcPr>
            <w:tcW w:w="146" w:type="dxa"/>
            <w:tcBorders/>
          </w:tcPr>
          <w:p>
            <w:pPr>
              <w:pStyle w:val="TableContents"/>
              <w:bidi w:val="0"/>
              <w:spacing w:before="0" w:after="283"/>
              <w:jc w:val="left"/>
              <w:rPr/>
            </w:pPr>
            <w:r>
              <w:rPr/>
              <w:t> </w:t>
            </w:r>
          </w:p>
        </w:tc>
        <w:tc>
          <w:tcPr>
            <w:tcW w:w="8284"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LUNR”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information in this prospectus supplement, unless otherwise indicated, related to the number of shares of our Class A Common Stock to be outstanding immediately after this offering and the other information based thereon is based on 51,080,059 shares of Class A Common Stock outstanding as of March 25, 2024 and does not reflect: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70,909,012 shares of Class A Common Stock issuable upon exchange of 70,909,012 Intuitive Machines OpCo Common Units and the related shares of Class C Common Stock that are held by certain Intuitive Machines Members;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1,858,791 shares of Class A Common Stock (as of March 25, 2024) issuable upon the conversion of 26,000 shares of Series A Preferred Stock that are held by the Series A Investors;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706,522 shares of Class A Common Stock (as of March 25, 2024) issuable upon the exercise of the Preferred Investor Warrants at an exercise price of $11.50 per share;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21,930,384 shares of Class A Common Stock issuable upon the exercise of the Public Warrants and the Private Placement Warrants at an exercise price of $11.50 per share;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8,301,560 shares of Class A Common Stock (at an exercise price per share equal to $2.57 per share), Class C Common Stock (at an exercise price per share equal to $0.0001 per share) or a combination thereof, issuable upon the exercise of the Conversion Warrants;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10,000,000 shares of Class A Common Stock issuable upon the exchange of 10,000,000 Intuitive Machine OpCo earn out units and the related shares of Class C Common Stock that may be issued to certain Intuitive Machines Members in connection with certain triggering events;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12,706,811 shares of Class A Common Stock reserved for future grant or issuance under the Intuitive Machines, Inc. 2023 Long Term Omnibus Incentive Plan;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1,520,040 shares of Class A Common Stock issuable upon exchange of 1,520,040 Intuitive Machines OpCo Common Units and the related shares of Class B Common Stock that may be issued to certain Intuitive Machines Members upon exercise of outstanding options to purchase such Intuitive Machines OpCo Common Units.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9925"/>
      <w:bookmarkEnd w:id="20"/>
      <w:r>
        <w:rPr>
          <w:rFonts w:ascii="Times New Roman PS Std;serif" w:hAnsi="Times New Roman PS Std;serif"/>
          <w:b/>
          <w:i w:val="false"/>
          <w:caps/>
          <w:sz w:val="2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our securities involves a high degree of risk. You should carefully consider the risk factors and all of the other information included in or incorporated by reference into this prospectus supplement, including those in our most recent Annual Report on Form 10-K, our Quarterly Reports on Form 10-Q and other documents we file with the SEC, together with other information in this prospectus supplement or the related base prospectus, the documents incorporated by reference herein and therein and any free writing prospectus that we may authorize for use in connection with this offering,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 See “</w:t>
      </w:r>
      <w:r>
        <w:rPr>
          <w:rFonts w:ascii="Times New Roman PS Std;serif" w:hAnsi="Times New Roman PS Std;serif"/>
          <w:b w:val="false"/>
          <w:i/>
          <w:caps w:val="false"/>
          <w:smallCaps w:val="false"/>
          <w:sz w:val="20"/>
        </w:rPr>
        <w:t>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This Offering and Our Class A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broad discretion in the use of the net proceeds from this offering and may invest or spend the proceeds in ways with which you do not agree and in ways that may not yield a return on your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will have broad discretion in the application of the net proceeds from this offering, including for any of the purposes described in the section titled “Use of Proceeds,” as well as our existing cash, and you will be relying on the judgment of our management regarding such application.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short-term U.S. Treasury securities with low rates of return. These investments may not yield a favorable return to our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you purchase our Class A Common Stock in this offering, you may incur immediate and substantial dilution in the net tangible book value of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our Class A Common Stock, your ownership interest will be diluted to the extent the price per share you pay in this offering is higher than the net tangible book value per share of our Class A Common Stock immediately after this offering. Our net tangible book value of our Class A Common Stock as of December 31, 2023 was approximately negative $53.419 million, or negative $2.54 per share. Net tangible book value per share of our Class A Common Stock is total tangible assets less our total liabilities divided by the number of shares of our Class A Common Stock outstanding as of December 31, 2023. On March 25, 2024, the last reported sale price of our Class A Common Stock was $6.15 per share. Because the sales of the shares offered hereby will be made directly into the market, the prices at which we sell these shares will vary and these variations may be significant. The offering price per share in this offering may exceed the net tangible book value per share of our Class A Common Stock outstanding prior to this offering, in which case investors will incur immediate and substantial dilution. In addition, to the extent we need to raise additional capital in the future and we issue additional shares of Class A Common Stock or securities convertible or exchangeable for our common stock, our then existing stockholders may experience dilution and the new securities may have rights senior to those of our Class A Common Stock offered in this offering. Purchasers of the shares we sell, as well as our existing stockholders, will experience significant dilution if we sell shares at prices significantly below the price at which they invested. To the extent any outstanding stock options or warrants are exercised or restricted stock units are settled, there will be further dilution to new investors. For a further description of the dilution that you may experience immediately after this offering, see the section titled “</w:t>
      </w:r>
      <w:r>
        <w:rPr>
          <w:rFonts w:ascii="Times New Roman PS Std;serif" w:hAnsi="Times New Roman PS Std;serif"/>
          <w:b w:val="false"/>
          <w:i/>
          <w:caps w:val="false"/>
          <w:smallCaps w:val="false"/>
          <w:sz w:val="20"/>
        </w:rPr>
        <w:t>Dilution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actual number of shares we will issue under the Sales Agreement, at any one time or in total, is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certain limitations in the Sales Agreement entered into by us with Cantor and compliance with applicable law, we have the discretion to deliver a placement notice to Cantor at any time throughout the term of the Sales Agreement. The number of shares that are sold by Cantor after delivering a placement notice will fluctuate based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market price of our Class A Common Stock during the sales period and limits we set with Cantor. Because the price per share of each share sold will fluctuate based on the market price of our Class A Common Stock during the sales period, it is not possible at this stage to predict the number of shares that will be ultimately issued or the resulting gross proceeds.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Class A Common Stock offered hereby will be sold in “at the market offerings,” and investors who buy shares at different times will likely pay different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numbers of shares sold, and there is no minimum or maximum sales price. In addition, subject to the final determination by the Board or any restrictions we may place in any applicable placement notice, there is no minimum or maximum sales price for shares to be sold in this offering. Investors may experience a decline in the value of their shares as a result of share sales made at prices lower than the prices they paid.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sell all of the shares offered hereby, we may continue to seek external sources of financing to fund operations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continue to incur operating losses for the foreseeable future as we continue to expand and develop, and we may need additional capital from external sources. Accordingly, while we may from time-to-time raise gross proceeds of up to a maximum of $100,000,000 through the issuance of shares under the Sales Agreement, we may need to raise additional capital in the future to further scale our business and expand to additional markets. We may raise additional funds through the issuance of equity, equity-related or debt securities, or through obtaining credit from financial institutions. We cannot be certain that additional funds will be available on favorable terms when required, or at all. If we cannot raise additional funds when needed, our financial condition, results of operations, business and prospects could be materially and adversely affected. If we raise funds through the issuance of debt securities or through loan arrangements, the terms of such financings could require significant interest payments, contain covenants that restrict our business, or otherwise include unfavorable terms. In addition, to the extent we raise funds through the sale of additional equity securities, our stockholders would experience additional dilution.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there are no current plans to pay cash dividends on our Class A Common Stock for the foreseeable future, you may not receive any return on investment unless you sell shares of our Class A Common Stock for a price greater than that which you paid for 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As a result, you may not receive any return on an investment in our Class A Common Stock unless you sell your shares of our Class A Common Stock for a price greater than that which you paid for 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a significant number of shares of Class A Common Stock in the public markets, or the perception that such sales could occur, could depress the market price of our Class A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Sales of a substantial number of shares in the public markets, or the perception that such sales could occur, could depress the market price of our Class A Common Stock and impair our ability to raise capital through the sale of additional equity securities. We have agreed, without the prior written consent of Cantor, and subject to certain exceptions set forth in the Sales Agreement, not to sell or otherwise dispose of any Class A Common Stock or securities convertible into or exchangeable for shares of Class A Common Stock, warrants or any rights to purchase or acquire Class A Common Stock during the period beginning on the fifth trading day immediately prior to the delivery of any placement notice delivered by us to Cantor and ending on the fifth trading day immediately following the final settlement date with respect to the shares sold pursuant to such notice. We have further agreed,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set forth in the Sales Agreement, not to sell or otherwise dispose of any Class A Common Stock or securities convertible into or exchangeable for shares of Class A Common Stock, warrants or any rights to purchase or acquire Class A Common Stock in any other “at the market offering” or continuous equity transaction prior to the later of (i) the sixtieth day immediately following the final settlement date with respect to shares sold pursuant to such placement notice and (ii) the termination of the Sales Agreement with Cantor. Therefore, it is possible that we could issue and sell additional shares of our Class A Common Stock in the public markets. We cannot predict the effect that future sales of our Class A Common Stock would have on the market price of our Class A Common Stock.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1" w:name="T9926"/>
      <w:bookmarkEnd w:id="21"/>
      <w:r>
        <w:rPr>
          <w:rFonts w:ascii="Times New Roman PS Std;serif" w:hAnsi="Times New Roman PS Std;serif"/>
          <w:b/>
          <w:i w:val="false"/>
          <w:caps/>
          <w:sz w:val="20"/>
        </w:rPr>
        <w:t>Cautionary Note Regarding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the accompanying base prospectus and the documents incorporated by reference herein and therein each contain “forward-looking statements” within the meaning of the Private Securities Litigation Reform Act of 1995, as amended. All statements other than statements of historical facts contained in this prospectus supplement, the accompanying base prospectus and the documents incorporated by reference herein and therein are forward-looking statements. Such statements can be identified by the fact that they do not relate strictly to historical or current facts. When used in this prospectus supplement, the accompanying base prospectus and the documents incorporated by reference herein and therein,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expectations and plans relating to our first mission to the Moon, including the expected timing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our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prospectus supplement: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upon the efforts of the Board and key personnel to be successful;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limited operating history;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failure to manage our growth effectively;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from existing or new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unsatisfactory safety performance of our spaceflight systems or security incidents at our facilities;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the market for commercial spaceflight to achieve the growth potential we expect;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customer concentration;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associated with commercial spaceflight, including any accident on launch or during the journey into space;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associated with the handling, production and disposition of potentially explosive and ignitable energetic materials and other dangerous chemicals in our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on a limited number of suppliers for certain materials and supplied components;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our products to operate in the expected manner or defects in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counterparty risks on contracts entered into with our customers and failure of our prime contractors to maintain their relationships with their counterparties and fulfill their contractual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comply with various laws and regulations relating to various aspects of our business and any changes in the funding levels of various governmental entities with which we do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failure to protect the confidentiality of our trade secrets and know how;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failure to comply with the terms of third-party open source software our systems utilize;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an effective system of internal control over financial reporting, and to address and remediate existing material weaknesses in our internal control over financial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 government’s budget deficit and the national debt, as well as any inability of the U.S. government to complete its budget process for any government fiscal year, and our dependence on U.S. government 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failure to comply with U.S. export and import control laws and regulations and U.S. economic sanctions and trade control laws and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 global macro-economic and political conditions (including as a result of a failure to raise the “debt ceiling”) and rising inflation;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history of losses and failure to achieve profitability in the future or failure of our business to generate sufficient funds to continue operations;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public securities’ potential liquidity and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they are made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 There may be events in the future that we are not able to predict accurately or over which it has no control. The sections in the documents incorporated by reference herein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Management’s Discussion and Analysis of Financial Condition and Results of Operations</w:t>
      </w:r>
      <w:r>
        <w:rPr>
          <w:rFonts w:ascii="Times New Roman PS Std;serif" w:hAnsi="Times New Roman PS Std;serif"/>
          <w:b w:val="false"/>
          <w:i w:val="false"/>
          <w:caps w:val="false"/>
          <w:smallCaps w:val="false"/>
          <w:sz w:val="20"/>
        </w:rPr>
        <w:t>” and the other cautionary language discussed in this prospectus supplement, the accompanying base prospectus and the documents incorporated herein and therein provide examples of risks, uncertainties and events that may cause actual results to differ materially from the expectations described by us in such forward-looking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2" w:name="T9927"/>
      <w:bookmarkEnd w:id="22"/>
      <w:r>
        <w:rPr>
          <w:rFonts w:ascii="Times New Roman PS Std;serif" w:hAnsi="Times New Roman PS Std;serif"/>
          <w:b/>
          <w:i w:val="false"/>
          <w:caps/>
          <w:sz w:val="20"/>
        </w:rPr>
        <w:t>Use of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issue and sell up to $100,000,000 of our Class A Common under this prospectus supplement and the accompanying base prospectus. Because there is no minimum offering amount required as a condition of this offering, the actual total public offering amount, commissions and proceeds to us, if any, are not determinable at this time. There can be no assurance that we will sell any shares under or fully utilize the Sales Agreement as a source of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use the net proceeds from this offering for general corporate purposes. General corporate purposes may include research and development costs, potential strategic acquisitions, services or technologies, working capital, capital expenditures and other general corporate purposes. We may find it necessary or advisable to use the net proceeds for other purposes, and we will have broad discretion in the application of the net proceeds. Pending the use of the net proceeds described above, we plan to invest the net proceeds from this offering in a variety of capital preservation investments, including short- and intermediate-term, interest-bearing obligations, investment-grade instruments, certificates of deposit or direct or guaranteed obligations of the U.S. government. However, we have not allocated specific amounts of the net proceeds to be received by us from this offering for any of these purposes. As a result, management will retain broad discretion in the application of the net proceeds we receive from this offering, and investors will be relying on the judgment of our management regarding the application of the net proceeds.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3" w:name="T9928"/>
      <w:bookmarkEnd w:id="23"/>
      <w:r>
        <w:rPr>
          <w:rFonts w:ascii="Times New Roman PS Std;serif" w:hAnsi="Times New Roman PS Std;serif"/>
          <w:b/>
          <w:i w:val="false"/>
          <w:caps/>
          <w:sz w:val="20"/>
        </w:rPr>
        <w:t>DILUTION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our Class A Common Stock in this offering, your ownership interest will be diluted immediately to the extent of the difference between the public offering price per share and the as-adjusted net tangible book value per share of our Class A Common Stock after giving effect to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net tangible book value as of December 31, 2023 was approximately negative $53.419 million, or negative $2.54 per share. Net tangible book value per share is determined by our total tangible assets, less total liabilities, divided by the number shares of our Class A Common Stock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effect to the assumed sale by us of up to $100,000,000 of Class A Common Stock at an assumed public offering price of $6.15 per share of Class A Common Stock, which was the last reported sale price of our Class A Common Stock on the Nasdaq on March 25, 2024, and after deducting commissions and estimated offering expenses payable by us, our as adjusted net tangible book value as of December 31, 2023 would have been approximately $43.256 million, or $1.16 per share. This represents an immediate increase in net tangible book value of $3.70 per share to existing stockholders and immediate dilution of $2.65 per share to investors purchasing our Class A Common Stock in this offering at the assumed public offering price. The following table illustrates this accretion on a per share basis:</w:t>
      </w:r>
    </w:p>
    <w:tbl>
      <w:tblPr>
        <w:tblW w:w="10205" w:type="dxa"/>
        <w:jc w:val="left"/>
        <w:tblInd w:w="0" w:type="dxa"/>
        <w:tblLayout w:type="fixed"/>
        <w:tblCellMar>
          <w:top w:w="0" w:type="dxa"/>
          <w:left w:w="0" w:type="dxa"/>
          <w:bottom w:w="0" w:type="dxa"/>
          <w:right w:w="0" w:type="dxa"/>
        </w:tblCellMar>
      </w:tblPr>
      <w:tblGrid>
        <w:gridCol w:w="8108"/>
        <w:gridCol w:w="146"/>
        <w:gridCol w:w="226"/>
        <w:gridCol w:w="601"/>
        <w:gridCol w:w="181"/>
        <w:gridCol w:w="146"/>
        <w:gridCol w:w="226"/>
        <w:gridCol w:w="571"/>
      </w:tblGrid>
      <w:tr>
        <w:trPr/>
        <w:tc>
          <w:tcPr>
            <w:tcW w:w="81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public offering price per share of Class A Common Stock</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r>
      <w:tr>
        <w:trPr/>
        <w:tc>
          <w:tcPr>
            <w:tcW w:w="81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tangible book value per share as of December 31, 2023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71" w:type="dxa"/>
            <w:tcBorders/>
            <w:vAlign w:val="bottom"/>
          </w:tcPr>
          <w:p>
            <w:pPr>
              <w:pStyle w:val="TableContents"/>
              <w:bidi w:val="0"/>
              <w:spacing w:before="0" w:after="283"/>
              <w:jc w:val="left"/>
              <w:rPr/>
            </w:pPr>
            <w:r>
              <w:rPr/>
              <w:t> </w:t>
            </w:r>
          </w:p>
        </w:tc>
      </w:tr>
      <w:tr>
        <w:trPr/>
        <w:tc>
          <w:tcPr>
            <w:tcW w:w="81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net tangible book value per share attributable to the offering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71" w:type="dxa"/>
            <w:tcBorders/>
            <w:shd w:fill="CCEEFF" w:val="clear"/>
            <w:vAlign w:val="bottom"/>
          </w:tcPr>
          <w:p>
            <w:pPr>
              <w:pStyle w:val="TableContents"/>
              <w:bidi w:val="0"/>
              <w:spacing w:before="0" w:after="283"/>
              <w:jc w:val="left"/>
              <w:rPr/>
            </w:pPr>
            <w:r>
              <w:rPr/>
              <w:t> </w:t>
            </w:r>
          </w:p>
        </w:tc>
      </w:tr>
      <w:tr>
        <w:trPr/>
        <w:tc>
          <w:tcPr>
            <w:tcW w:w="81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adjusted net tangible book value per share as of December 31, 2023 after giving effect to the offering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1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Dilution per share to new investors participating in the offering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our Class A Common Stock outstanding is based on an aggregate of 21,029,876 shares of our Class A Common Stock outstanding as of December 31, 2023, and excludes: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70,909,012 shares of Class A Common Stock issuable upon exchange of 70,909,012 Intuitive Machines OpCo Common Units and the related shares of Class C Common Stock that are held by certain Intuitive Machines Members;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5,557,384 shares of Class A Common Stock (as of December 31, 2023) issuable upon the conversion of 26,000 shares of Series A Preferred Stock that were originally issued to the Series A Investors;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706,522 shares of Class A Common Stock (as of December 31, 2023) issuable upon the exercise of the Preferred Investor Warrants at an exercise price of $11.50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21,930,384 shares of Class A Common Stock issuable upon the exercise of the Public Warrants and the Private Placement Warrants at an exercise price of $11.50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18,823,532 shares of Class A Common Stock (at an exercise price per share equal to $2.75 per share) issuable upon the exercise of the Initial PIPE Warrants and the New PIPE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8,301,560 shares of Class A Common Stock (at an exercise price per share equal to $2.57 per share), Class C Common Stock (at an exercise price per share equal to $0.0001 per share) or a combination thereof, issuable upon the exercise of the Conversion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10,000,000 shares of Class A Common Stock issuable upon the exchange of 10,000,000 Intuitive Machine OpCo earn out units and the related shares of Class C Common Stock that may be issued to certain Intuitive Machines Members in connection with certain triggering events;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12,706,811 shares of Class A Common Stock reserved for future grant or issuance under the Intuitive Machines, Inc. 2023 Long Term Omnibus Incentive Plan;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1,520,040 shares of Class A Common Stock issuable upon exchange of 1,520,040 Intuitive Machines OpCo Common Units and the related shares of Class B Common Stock that may be issued to certain Intuitive Machines Members upon exercise of outstanding options to purchase such Intuitive Machines OpCo Common Units.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outstanding convertible securities or options are exercised, restricted stock units or performance stock units are settled, new options, performance stock units, restricted stock units or restricted stock awards are issued, including under the 2023 Long Term Omnibus Incentive Plan, and subsequently exercised or settled or we issue additional shares of Class A Common Stock or securities that are convertible into or exchangeable for, or that represent the right to receive, Class A Common Stock or substantially similar securities in the future, there will be further dilution to investors participating in this offering.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4" w:name="T9929"/>
      <w:bookmarkEnd w:id="24"/>
      <w:r>
        <w:rPr>
          <w:rFonts w:ascii="Times New Roman PS Std;serif" w:hAnsi="Times New Roman PS Std;serif"/>
          <w:b/>
          <w:i w:val="false"/>
          <w:caps/>
          <w:sz w:val="20"/>
        </w:rPr>
        <w:t>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the Sales Agreement with Cantor. Pursuant to this prospectus, we may offer and sell up to an aggregate of $100,000,000 of Class A Common Stock from time to time through Cantor acting as sales agent. A copy of the Sales Agreement has been filed as an exhibit to our registration statement on Form S-3 of which this prospectus forms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delivery of a placement notice and subject to the terms and conditions of the Sales Agreement, Cantor may sell shares of our Class A Common Stock by any method permitted by law deemed to be an “at the market offering” as defined in Rule 415(a)(4) promulgated under the Securities Act. We may instruct Cantor not to sell shares of Class A Common Stock if the sales cannot be effected at or above the price designated by us from time to time. We or Cantor may suspend the offering of Class A Common Stock upon notice and subject to other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Cantor commissions, in cash, for its service in acting as agent in the sale of our Class A Common Stock. Cantor will be entitled to compensation at a commission rate of up to 3.0% of the sales price per share sold under the Sales Agreement. Because there is no minimum offering amount required as a condition to close this offering, the actual total public offering amount, commissions and proceeds to us, if any, are not determinable at this time. We have also agreed to reimburse Cantor for certain specified expenses, including the fees and disbursements of their legal counsel in an amount not to exceed (a) $75,000 in connection with the execution of the Sales Agreement, (b) $25,000 per calendar quarter thereafter pursuant to the terms of the Sales Agreement, and (c) $25,000 for each program “refresh” (filing of a new registration statement, prospectus or prospectus supplement relating to the Class A Common Stock and/or an amendment of the Sales Agreement) executed pursuant to the Sales Agreement. We estimate that the total expenses for the offering, excluding compensation and reimbursements payable to Cantor under the terms of the Sales Agreement, will be approximately $225,000.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for sales of shares of our Class A Common Stock will occur on the second business day following the date on which any sales are made, or on some other date that is agreed upon by us and Cantor in connection with a particular transaction, in return for payment of the net proceeds to us. Sales of our Class A Common Stock as contemplated in this prospectus will be settled through the facilities of The Depository Trust Company or by such other means as we and Cantor may agree upon. There is no arrangement for funds to be received in an escrow, trust or similar arrangement.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Cantor will use its commercially reasonable efforts, consistent with its sales and trading practices, to solicit offers to purchase the Class A Common Stock under the terms and subject to the conditions set forth in the Sales Agreement. In connection with the sale of shares of Class A Common Stock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offering of shares of our Class A Common Stock pursuant to the Sales Agreement will terminate upon the termination of the Sales Agreement as permitted therein. We and Cantor may each terminate the Sales Agreement at any time upon ten days’ prior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our Class A Common Stock while the offering is ongoing under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be made available in electronic format on a website maintained by Cantor, and Cantor may distribute this prospectus electronically.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5" w:name="T9930"/>
      <w:bookmarkEnd w:id="25"/>
      <w:r>
        <w:rPr>
          <w:rFonts w:ascii="Times New Roman PS Std;serif" w:hAnsi="Times New Roman PS Std;serif"/>
          <w:b/>
          <w:i w:val="false"/>
          <w:caps/>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hereby will be passed upon for us by Latham &amp; Watkins LLP, Houston, Texas. Cantor is being represented in connection with this offering by DLA Piper LLP (US), New York, New York.</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6" w:name="T9931"/>
      <w:bookmarkEnd w:id="26"/>
      <w:r>
        <w:rPr>
          <w:rFonts w:ascii="Times New Roman PS Std;serif" w:hAnsi="Times New Roman PS Std;serif"/>
          <w:b/>
          <w:i w:val="false"/>
          <w:caps/>
          <w:sz w:val="20"/>
        </w:rPr>
        <w:t>Experts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7" w:name="T9932"/>
      <w:bookmarkEnd w:id="27"/>
      <w:r>
        <w:rPr>
          <w:rFonts w:ascii="Times New Roman PS Std;serif" w:hAnsi="Times New Roman PS Std;serif"/>
          <w:b/>
          <w:i w:val="false"/>
          <w:caps/>
          <w:sz w:val="20"/>
        </w:rPr>
        <w:t>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S-3 under the Securities Act with respect to, among other things, the shares of Class A Common Stock offered hereby. This prospectus supplement, which constitutes a part of the registration statement, does not contain all of the information set forth in the registration statement, the exhibits filed therewith or the documents incorporated by reference therein. For further information about us and the shares of Class A Common Stock offered hereby, reference is made to the registration statement, the exhibits filed therewith and the documents incorporated by reference therein. Statements contained in this prospectus supplement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 filings are available to the public on the internet at a website maintained by the SEC located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Those filings are also available to the public on, or accessible through, our website under the heading “Investors” at </w:t>
      </w:r>
      <w:r>
        <w:rPr>
          <w:rFonts w:ascii="Times New Roman PS Std;serif" w:hAnsi="Times New Roman PS Std;serif"/>
          <w:b w:val="false"/>
          <w:i/>
          <w:caps w:val="false"/>
          <w:smallCaps w:val="false"/>
          <w:sz w:val="20"/>
        </w:rPr>
        <w:t>www.intuitivemachines.com</w:t>
      </w:r>
      <w:r>
        <w:rPr>
          <w:rFonts w:ascii="Times New Roman PS Std;serif" w:hAnsi="Times New Roman PS Std;serif"/>
          <w:b w:val="false"/>
          <w:i w:val="false"/>
          <w:caps w:val="false"/>
          <w:smallCaps w:val="false"/>
          <w:sz w:val="20"/>
        </w:rPr>
        <w:t>. Information contained on our website is not a part of this prospectus and the inclusion of our website address in this prospectus is an inactive textual reference only.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8" w:name="T9933"/>
      <w:bookmarkEnd w:id="28"/>
      <w:r>
        <w:rPr>
          <w:rFonts w:ascii="Times New Roman PS Std;serif" w:hAnsi="Times New Roman PS Std;serif"/>
          <w:b/>
          <w:i w:val="false"/>
          <w:caps/>
          <w:sz w:val="20"/>
        </w:rPr>
        <w:t>Information Incorporated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incorporating by reference the filings listed below and any additional documents that we may file with the SEC pursuant to Section 13(a), 13(c), 14 or 15(d) of the Exchange Act from the initial filing of the registration statement of which this prospectus supplement forms a part until the termination or completion of the offering of the securities described in this prospectus supplement (other than documents or information deemed to have been furnished and not filed in accordance with SEC rules):</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1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year ended December 31, 2023, filed with the SEC on March 25, 2024;</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Quarterly Reports on Form 10-Q for the quarterly periods ended March 31, 2023, June 30, 2023 and September 30, 2023, filed with the SEC on </w:t>
      </w:r>
      <w:hyperlink r:id="rId14">
        <w:r>
          <w:rPr>
            <w:rStyle w:val="InternetLink"/>
            <w:rFonts w:ascii="Times New Roman PS Std;serif" w:hAnsi="Times New Roman PS Std;serif"/>
            <w:b w:val="false"/>
            <w:i w:val="false"/>
            <w:caps w:val="false"/>
            <w:smallCaps w:val="false"/>
            <w:sz w:val="20"/>
          </w:rPr>
          <w:t>May 15, 2023</w:t>
        </w:r>
      </w:hyperlink>
      <w:r>
        <w:rPr>
          <w:rFonts w:ascii="Times New Roman PS Std;serif" w:hAnsi="Times New Roman PS Std;serif"/>
          <w:b w:val="false"/>
          <w:i w:val="false"/>
          <w:caps w:val="false"/>
          <w:smallCaps w:val="false"/>
          <w:sz w:val="20"/>
        </w:rPr>
        <w:t xml:space="preserve">, </w:t>
      </w:r>
      <w:hyperlink r:id="rId15">
        <w:r>
          <w:rPr>
            <w:rStyle w:val="InternetLink"/>
            <w:rFonts w:ascii="Times New Roman PS Std;serif" w:hAnsi="Times New Roman PS Std;serif"/>
            <w:b w:val="false"/>
            <w:i w:val="false"/>
            <w:caps w:val="false"/>
            <w:smallCaps w:val="false"/>
            <w:sz w:val="20"/>
          </w:rPr>
          <w:t>August 14, 2023</w:t>
        </w:r>
      </w:hyperlink>
      <w:r>
        <w:rPr>
          <w:rFonts w:ascii="Times New Roman PS Std;serif" w:hAnsi="Times New Roman PS Std;serif"/>
          <w:b w:val="false"/>
          <w:i w:val="false"/>
          <w:caps w:val="false"/>
          <w:smallCaps w:val="false"/>
          <w:sz w:val="20"/>
        </w:rPr>
        <w:t xml:space="preserve"> and </w:t>
      </w:r>
      <w:hyperlink r:id="rId16">
        <w:r>
          <w:rPr>
            <w:rStyle w:val="InternetLink"/>
            <w:rFonts w:ascii="Times New Roman PS Std;serif" w:hAnsi="Times New Roman PS Std;serif"/>
            <w:b w:val="false"/>
            <w:i w:val="false"/>
            <w:caps w:val="false"/>
            <w:smallCaps w:val="false"/>
            <w:sz w:val="20"/>
          </w:rPr>
          <w:t>November 13, 2023</w:t>
        </w:r>
      </w:hyperlink>
      <w:r>
        <w:rPr>
          <w:rFonts w:ascii="Times New Roman PS Std;serif" w:hAnsi="Times New Roman PS Std;serif"/>
          <w:b w:val="false"/>
          <w:i w:val="false"/>
          <w:caps w:val="false"/>
          <w:smallCaps w:val="false"/>
          <w:sz w:val="20"/>
        </w:rPr>
        <w:t>, respectively;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Form 8-K and Current Reports on Form 8-K/A filed with the SEC on </w:t>
      </w:r>
      <w:hyperlink r:id="rId17">
        <w:r>
          <w:rPr>
            <w:rStyle w:val="InternetLink"/>
            <w:rFonts w:ascii="Times New Roman PS Std;serif" w:hAnsi="Times New Roman PS Std;serif"/>
            <w:b w:val="false"/>
            <w:i w:val="false"/>
            <w:caps w:val="false"/>
            <w:smallCaps w:val="false"/>
            <w:sz w:val="20"/>
          </w:rPr>
          <w:t>February 8, 2023</w:t>
        </w:r>
      </w:hyperlink>
      <w:r>
        <w:rPr>
          <w:rFonts w:ascii="Times New Roman PS Std;serif" w:hAnsi="Times New Roman PS Std;serif"/>
          <w:b w:val="false"/>
          <w:i w:val="false"/>
          <w:caps w:val="false"/>
          <w:smallCaps w:val="false"/>
          <w:sz w:val="20"/>
        </w:rPr>
        <w:t xml:space="preserve">, </w:t>
      </w:r>
      <w:hyperlink r:id="rId18">
        <w:r>
          <w:rPr>
            <w:rStyle w:val="InternetLink"/>
            <w:rFonts w:ascii="Times New Roman PS Std;serif" w:hAnsi="Times New Roman PS Std;serif"/>
            <w:b w:val="false"/>
            <w:i w:val="false"/>
            <w:caps w:val="false"/>
            <w:smallCaps w:val="false"/>
            <w:sz w:val="20"/>
          </w:rPr>
          <w:t>February 10, 2023</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February 14, 2023</w:t>
        </w:r>
      </w:hyperlink>
      <w:r>
        <w:rPr>
          <w:rFonts w:ascii="Times New Roman PS Std;serif" w:hAnsi="Times New Roman PS Std;serif"/>
          <w:b w:val="false"/>
          <w:i w:val="false"/>
          <w:caps w:val="false"/>
          <w:smallCaps w:val="false"/>
          <w:sz w:val="20"/>
        </w:rPr>
        <w:t xml:space="preserve">, </w:t>
      </w:r>
      <w:hyperlink r:id="rId20">
        <w:r>
          <w:rPr>
            <w:rStyle w:val="InternetLink"/>
            <w:rFonts w:ascii="Times New Roman PS Std;serif" w:hAnsi="Times New Roman PS Std;serif"/>
            <w:b w:val="false"/>
            <w:i w:val="false"/>
            <w:caps w:val="false"/>
            <w:smallCaps w:val="false"/>
            <w:sz w:val="20"/>
          </w:rPr>
          <w:t>February 15, 2023</w:t>
        </w:r>
      </w:hyperlink>
      <w:r>
        <w:rPr>
          <w:rFonts w:ascii="Times New Roman PS Std;serif" w:hAnsi="Times New Roman PS Std;serif"/>
          <w:b w:val="false"/>
          <w:i w:val="false"/>
          <w:caps w:val="false"/>
          <w:smallCaps w:val="false"/>
          <w:sz w:val="20"/>
        </w:rPr>
        <w:t xml:space="preserve">, </w:t>
      </w:r>
      <w:hyperlink r:id="rId21">
        <w:r>
          <w:rPr>
            <w:rStyle w:val="InternetLink"/>
            <w:rFonts w:ascii="Times New Roman PS Std;serif" w:hAnsi="Times New Roman PS Std;serif"/>
            <w:b w:val="false"/>
            <w:i w:val="false"/>
            <w:caps w:val="false"/>
            <w:smallCaps w:val="false"/>
            <w:sz w:val="20"/>
          </w:rPr>
          <w:t>June 23, 2023</w:t>
        </w:r>
      </w:hyperlink>
      <w:r>
        <w:rPr>
          <w:rFonts w:ascii="Times New Roman PS Std;serif" w:hAnsi="Times New Roman PS Std;serif"/>
          <w:b w:val="false"/>
          <w:i w:val="false"/>
          <w:caps w:val="false"/>
          <w:smallCaps w:val="false"/>
          <w:sz w:val="20"/>
        </w:rPr>
        <w:t xml:space="preserve">, </w:t>
      </w:r>
      <w:hyperlink r:id="rId22">
        <w:r>
          <w:rPr>
            <w:rStyle w:val="InternetLink"/>
            <w:rFonts w:ascii="Times New Roman PS Std;serif" w:hAnsi="Times New Roman PS Std;serif"/>
            <w:b w:val="false"/>
            <w:i w:val="false"/>
            <w:caps w:val="false"/>
            <w:smallCaps w:val="false"/>
            <w:sz w:val="20"/>
          </w:rPr>
          <w:t>September 6, 2023</w:t>
        </w:r>
      </w:hyperlink>
      <w:r>
        <w:rPr>
          <w:rFonts w:ascii="Times New Roman PS Std;serif" w:hAnsi="Times New Roman PS Std;serif"/>
          <w:b w:val="false"/>
          <w:i w:val="false"/>
          <w:caps w:val="false"/>
          <w:smallCaps w:val="false"/>
          <w:sz w:val="20"/>
        </w:rPr>
        <w:t xml:space="preserve">, </w:t>
      </w:r>
      <w:hyperlink r:id="rId23">
        <w:r>
          <w:rPr>
            <w:rStyle w:val="InternetLink"/>
            <w:rFonts w:ascii="Times New Roman PS Std;serif" w:hAnsi="Times New Roman PS Std;serif"/>
            <w:b w:val="false"/>
            <w:i w:val="false"/>
            <w:caps w:val="false"/>
            <w:smallCaps w:val="false"/>
            <w:sz w:val="20"/>
          </w:rPr>
          <w:t>December 26, 2023</w:t>
        </w:r>
      </w:hyperlink>
      <w:r>
        <w:rPr>
          <w:rFonts w:ascii="Times New Roman PS Std;serif" w:hAnsi="Times New Roman PS Std;serif"/>
          <w:b w:val="false"/>
          <w:i w:val="false"/>
          <w:caps w:val="false"/>
          <w:smallCaps w:val="false"/>
          <w:sz w:val="20"/>
        </w:rPr>
        <w:t xml:space="preserve">, </w:t>
      </w:r>
      <w:hyperlink r:id="rId24">
        <w:r>
          <w:rPr>
            <w:rStyle w:val="InternetLink"/>
            <w:rFonts w:ascii="Times New Roman PS Std;serif" w:hAnsi="Times New Roman PS Std;serif"/>
            <w:b w:val="false"/>
            <w:i w:val="false"/>
            <w:caps w:val="false"/>
            <w:smallCaps w:val="false"/>
            <w:sz w:val="20"/>
          </w:rPr>
          <w:t>January 11, 2024</w:t>
        </w:r>
      </w:hyperlink>
      <w:r>
        <w:rPr>
          <w:rFonts w:ascii="Times New Roman PS Std;serif" w:hAnsi="Times New Roman PS Std;serif"/>
          <w:b w:val="false"/>
          <w:i w:val="false"/>
          <w:caps w:val="false"/>
          <w:smallCaps w:val="false"/>
          <w:sz w:val="20"/>
        </w:rPr>
        <w:t xml:space="preserve">, </w:t>
      </w:r>
      <w:hyperlink r:id="rId25">
        <w:r>
          <w:rPr>
            <w:rStyle w:val="InternetLink"/>
            <w:rFonts w:ascii="Times New Roman PS Std;serif" w:hAnsi="Times New Roman PS Std;serif"/>
            <w:b w:val="false"/>
            <w:i w:val="false"/>
            <w:caps w:val="false"/>
            <w:smallCaps w:val="false"/>
            <w:sz w:val="20"/>
          </w:rPr>
          <w:t>January 16, 2024</w:t>
        </w:r>
      </w:hyperlink>
      <w:r>
        <w:rPr>
          <w:rFonts w:ascii="Times New Roman PS Std;serif" w:hAnsi="Times New Roman PS Std;serif"/>
          <w:b w:val="false"/>
          <w:i w:val="false"/>
          <w:caps w:val="false"/>
          <w:smallCaps w:val="false"/>
          <w:sz w:val="20"/>
        </w:rPr>
        <w:t xml:space="preserve">, </w:t>
      </w:r>
      <w:hyperlink r:id="rId26">
        <w:r>
          <w:rPr>
            <w:rStyle w:val="InternetLink"/>
            <w:rFonts w:ascii="Times New Roman PS Std;serif" w:hAnsi="Times New Roman PS Std;serif"/>
            <w:b w:val="false"/>
            <w:i w:val="false"/>
            <w:caps w:val="false"/>
            <w:smallCaps w:val="false"/>
            <w:sz w:val="20"/>
          </w:rPr>
          <w:t>January 30, 2024</w:t>
        </w:r>
      </w:hyperlink>
      <w:r>
        <w:rPr>
          <w:rFonts w:ascii="Times New Roman PS Std;serif" w:hAnsi="Times New Roman PS Std;serif"/>
          <w:b w:val="false"/>
          <w:i w:val="false"/>
          <w:caps w:val="false"/>
          <w:smallCaps w:val="false"/>
          <w:sz w:val="20"/>
        </w:rPr>
        <w:t xml:space="preserve">, </w:t>
      </w:r>
      <w:hyperlink r:id="rId27">
        <w:r>
          <w:rPr>
            <w:rStyle w:val="InternetLink"/>
            <w:rFonts w:ascii="Times New Roman PS Std;serif" w:hAnsi="Times New Roman PS Std;serif"/>
            <w:b w:val="false"/>
            <w:i w:val="false"/>
            <w:caps w:val="false"/>
            <w:smallCaps w:val="false"/>
            <w:sz w:val="20"/>
          </w:rPr>
          <w:t>February 1, 2024</w:t>
        </w:r>
      </w:hyperlink>
      <w:r>
        <w:rPr>
          <w:rFonts w:ascii="Times New Roman PS Std;serif" w:hAnsi="Times New Roman PS Std;serif"/>
          <w:b w:val="false"/>
          <w:i w:val="false"/>
          <w:caps w:val="false"/>
          <w:smallCaps w:val="false"/>
          <w:sz w:val="20"/>
        </w:rPr>
        <w:t xml:space="preserve"> and </w:t>
      </w:r>
      <w:hyperlink r:id="rId28">
        <w:r>
          <w:rPr>
            <w:rStyle w:val="InternetLink"/>
            <w:rFonts w:ascii="Times New Roman PS Std;serif" w:hAnsi="Times New Roman PS Std;serif"/>
            <w:b w:val="false"/>
            <w:i w:val="false"/>
            <w:caps w:val="false"/>
            <w:smallCaps w:val="false"/>
            <w:sz w:val="20"/>
          </w:rPr>
          <w:t>February 12, 2024</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contained in Item 1 of the Registration Statement on </w:t>
      </w:r>
      <w:hyperlink r:id="rId29">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xml:space="preserve"> (File No. 001-40823) filed with the SEC on February 14, 2023, including any amendment or report filed for the purpose of updating such description.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statement contained in this prospectus supplement,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documents incorporated by reference, excluding exhibits except to the extent such exhibits are specifically incorporated by reference, are available from us without charge, upon oral or written request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Intuitive Machines, Inc.</w:t>
        <w:br/>
        <w:t>13467 Columbia Shuttle Street</w:t>
        <w:br/>
        <w:t>Houston, TX 77059</w:t>
        <w:br/>
        <w:t>(281) 520-3703</w:t>
        <w:br/>
        <w:t>Attention: Corporate Secretary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 xml:space="preserve">Up to $100,000,000 </w:t>
        <w:br/>
        <w:t>Class A Common Stock</w:t>
      </w:r>
    </w:p>
    <w:p>
      <w:pPr>
        <w:pStyle w:val="TextBody"/>
        <w:keepNext w:val="false"/>
        <w:pageBreakBefore w:val="false"/>
        <w:widowControl/>
        <w:pBdr/>
        <w:bidi w:val="0"/>
        <w:spacing w:before="1000" w:after="283"/>
        <w:jc w:val="center"/>
        <w:rPr>
          <w:caps w:val="false"/>
          <w:smallCaps w:val="false"/>
        </w:rPr>
      </w:pPr>
      <w:r>
        <w:rPr>
          <w:caps w:val="false"/>
          <w:smallCaps w:val="false"/>
        </w:rPr>
        <w:drawing>
          <wp:inline distT="0" distB="0" distL="0" distR="0">
            <wp:extent cx="2581275" cy="7708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0"/>
                    <a:stretch>
                      <a:fillRect/>
                    </a:stretch>
                  </pic:blipFill>
                  <pic:spPr bwMode="auto">
                    <a:xfrm>
                      <a:off x="0" y="0"/>
                      <a:ext cx="2581275" cy="770890"/>
                    </a:xfrm>
                    <a:prstGeom prst="rect">
                      <a:avLst/>
                    </a:prstGeom>
                  </pic:spPr>
                </pic:pic>
              </a:graphicData>
            </a:graphic>
          </wp:inline>
        </w:drawing>
      </w:r>
    </w:p>
    <w:p>
      <w:pPr>
        <w:pStyle w:val="TextBody"/>
        <w:keepNext w:val="false"/>
        <w:pageBreakBefore w:val="false"/>
        <w:widowControl/>
        <w:pBdr/>
        <w:bidi w:val="0"/>
        <w:spacing w:before="1440" w:after="16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p>
      <w:pPr>
        <w:pStyle w:val="TextBody"/>
        <w:keepNext w:val="false"/>
        <w:pageBreakBefore w:val="false"/>
        <w:widowControl/>
        <w:pBdr/>
        <w:bidi w:val="0"/>
        <w:spacing w:before="0" w:after="24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w:t>
      </w:r>
    </w:p>
    <w:p>
      <w:pPr>
        <w:pStyle w:val="TextBody"/>
        <w:keepNext w:val="false"/>
        <w:pageBreakBefore w:val="false"/>
        <w:widowControl/>
        <w:pBdr/>
        <w:bidi w:val="0"/>
        <w:spacing w:before="0" w:after="300"/>
        <w:jc w:val="center"/>
        <w:rPr>
          <w:caps w:val="false"/>
          <w:smallCaps w:val="false"/>
        </w:rPr>
      </w:pPr>
      <w:r>
        <w:rPr>
          <w:caps w:val="false"/>
          <w:smallCaps w:val="false"/>
        </w:rPr>
        <w:drawing>
          <wp:inline distT="0" distB="0" distL="0" distR="0">
            <wp:extent cx="1876425" cy="3721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1"/>
                    <a:stretch>
                      <a:fillRect/>
                    </a:stretch>
                  </pic:blipFill>
                  <pic:spPr bwMode="auto">
                    <a:xfrm>
                      <a:off x="0" y="0"/>
                      <a:ext cx="1876425" cy="372110"/>
                    </a:xfrm>
                    <a:prstGeom prst="rect">
                      <a:avLst/>
                    </a:prstGeom>
                  </pic:spPr>
                </pic:pic>
              </a:graphicData>
            </a:graphic>
          </wp:inline>
        </w:drawing>
      </w:r>
    </w:p>
    <w:p>
      <w:pPr>
        <w:pStyle w:val="TextBody"/>
        <w:keepNext w:val="false"/>
        <w:pageBreakBefore w:val="false"/>
        <w:widowControl/>
        <w:pBdr/>
        <w:bidi w:val="0"/>
        <w:spacing w:before="0" w:after="540"/>
        <w:jc w:val="center"/>
        <w:rPr>
          <w:caps w:val="false"/>
          <w:smallCaps w:val="false"/>
        </w:rPr>
      </w:pPr>
      <w:r>
        <w:rPr>
          <w:caps w:val="false"/>
          <w:smallCaps w:val="false"/>
        </w:rPr>
        <w:t>            </w:t>
      </w:r>
      <w:r>
        <w:rPr>
          <w:rFonts w:ascii="Times New Roman PS Std;serif" w:hAnsi="Times New Roman PS Std;serif"/>
          <w:b/>
          <w:i w:val="false"/>
          <w:caps w:val="false"/>
          <w:smallCaps w:val="false"/>
          <w:sz w:val="20"/>
        </w:rPr>
        <w:t>, 2024</w:t>
      </w:r>
    </w:p>
    <w:p>
      <w:pPr>
        <w:pStyle w:val="TextBody"/>
        <w:keepNext w:val="false"/>
        <w:pageBreakBefore w:val="false"/>
        <w:widowControl/>
        <w:pBdr/>
        <w:bidi w:val="0"/>
        <w:spacing w:before="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 — INFORMATION NOT REQUIRED IN THE PROSPECTUS</w:t>
      </w:r>
    </w:p>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14.     Other Expenses of Issuance and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all costs and expenses, other than underwriting discounts and commissions, payable by the registrant in connection with the offering of the securities being registered. All of the amounts shown are estimated except the SEC registration fee and the Financial Industry Regulatory Authority, Inc. (“FINRA”) filing fee.</w:t>
      </w:r>
    </w:p>
    <w:tbl>
      <w:tblPr>
        <w:tblW w:w="5490" w:type="dxa"/>
        <w:jc w:val="left"/>
        <w:tblInd w:w="0" w:type="dxa"/>
        <w:tblLayout w:type="fixed"/>
        <w:tblCellMar>
          <w:top w:w="0" w:type="dxa"/>
          <w:left w:w="0" w:type="dxa"/>
          <w:bottom w:w="0" w:type="dxa"/>
          <w:right w:w="0" w:type="dxa"/>
        </w:tblCellMar>
      </w:tblPr>
      <w:tblGrid>
        <w:gridCol w:w="3796"/>
        <w:gridCol w:w="146"/>
        <w:gridCol w:w="241"/>
        <w:gridCol w:w="886"/>
        <w:gridCol w:w="421"/>
      </w:tblGrid>
      <w:tr>
        <w:trPr/>
        <w:tc>
          <w:tcPr>
            <w:tcW w:w="37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 to</w:t>
              <w:br/>
              <w:t>Be Paid</w:t>
            </w:r>
          </w:p>
        </w:tc>
      </w:tr>
      <w:tr>
        <w:trPr/>
        <w:tc>
          <w:tcPr>
            <w:tcW w:w="379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tcPr>
          <w:p>
            <w:pPr>
              <w:pStyle w:val="TableContents"/>
              <w:bidi w:val="0"/>
              <w:spacing w:before="0" w:after="283"/>
              <w:jc w:val="left"/>
              <w:rPr/>
            </w:pPr>
            <w:r>
              <w:rPr/>
              <w:t> </w:t>
            </w:r>
          </w:p>
        </w:tc>
        <w:tc>
          <w:tcPr>
            <w:tcW w:w="241" w:type="dxa"/>
            <w:tcBorders/>
            <w:shd w:fill="CCEEFF"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228,152</w:t>
            </w:r>
          </w:p>
        </w:tc>
        <w:tc>
          <w:tcPr>
            <w:tcW w:w="421" w:type="dxa"/>
            <w:tcBorders/>
            <w:shd w:fill="CCEEFF" w:val="clear"/>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tcPr>
          <w:p>
            <w:pPr>
              <w:pStyle w:val="TableContents"/>
              <w:bidi w:val="0"/>
              <w:spacing w:before="0" w:after="283"/>
              <w:jc w:val="left"/>
              <w:rPr/>
            </w:pPr>
            <w:r>
              <w:rPr/>
              <w:t> </w:t>
            </w:r>
          </w:p>
        </w:tc>
        <w:tc>
          <w:tcPr>
            <w:tcW w:w="241"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45,500</w:t>
            </w:r>
          </w:p>
        </w:tc>
        <w:tc>
          <w:tcPr>
            <w:tcW w:w="42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9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and other listing fees</w:t>
            </w:r>
          </w:p>
        </w:tc>
        <w:tc>
          <w:tcPr>
            <w:tcW w:w="146" w:type="dxa"/>
            <w:tcBorders/>
            <w:shd w:fill="CCEEFF" w:val="clear"/>
          </w:tcPr>
          <w:p>
            <w:pPr>
              <w:pStyle w:val="TableContents"/>
              <w:bidi w:val="0"/>
              <w:spacing w:before="0" w:after="283"/>
              <w:jc w:val="left"/>
              <w:rPr/>
            </w:pPr>
            <w:r>
              <w:rPr/>
              <w:t> </w:t>
            </w:r>
          </w:p>
        </w:tc>
        <w:tc>
          <w:tcPr>
            <w:tcW w:w="24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(2</w:t>
            </w:r>
          </w:p>
        </w:tc>
        <w:tc>
          <w:tcPr>
            <w:tcW w:w="42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tcPr>
          <w:p>
            <w:pPr>
              <w:pStyle w:val="TableContents"/>
              <w:bidi w:val="0"/>
              <w:spacing w:before="0" w:after="283"/>
              <w:jc w:val="left"/>
              <w:rPr/>
            </w:pPr>
            <w:r>
              <w:rPr/>
              <w:t> </w:t>
            </w:r>
          </w:p>
        </w:tc>
        <w:tc>
          <w:tcPr>
            <w:tcW w:w="2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(2</w:t>
            </w:r>
          </w:p>
        </w:tc>
        <w:tc>
          <w:tcPr>
            <w:tcW w:w="4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9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tcPr>
          <w:p>
            <w:pPr>
              <w:pStyle w:val="TableContents"/>
              <w:bidi w:val="0"/>
              <w:spacing w:before="0" w:after="283"/>
              <w:jc w:val="left"/>
              <w:rPr/>
            </w:pPr>
            <w:r>
              <w:rPr/>
              <w:t> </w:t>
            </w:r>
          </w:p>
        </w:tc>
        <w:tc>
          <w:tcPr>
            <w:tcW w:w="24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(2</w:t>
            </w:r>
          </w:p>
        </w:tc>
        <w:tc>
          <w:tcPr>
            <w:tcW w:w="42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tcPr>
          <w:p>
            <w:pPr>
              <w:pStyle w:val="TableContents"/>
              <w:bidi w:val="0"/>
              <w:spacing w:before="0" w:after="283"/>
              <w:jc w:val="left"/>
              <w:rPr/>
            </w:pPr>
            <w:r>
              <w:rPr/>
              <w:t> </w:t>
            </w:r>
          </w:p>
        </w:tc>
        <w:tc>
          <w:tcPr>
            <w:tcW w:w="2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(2</w:t>
            </w:r>
          </w:p>
        </w:tc>
        <w:tc>
          <w:tcPr>
            <w:tcW w:w="4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9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tcPr>
          <w:p>
            <w:pPr>
              <w:pStyle w:val="TableContents"/>
              <w:bidi w:val="0"/>
              <w:spacing w:before="0" w:after="283"/>
              <w:jc w:val="left"/>
              <w:rPr/>
            </w:pPr>
            <w:r>
              <w:rPr/>
              <w:t> </w:t>
            </w:r>
          </w:p>
        </w:tc>
        <w:tc>
          <w:tcPr>
            <w:tcW w:w="24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(2</w:t>
            </w:r>
          </w:p>
        </w:tc>
        <w:tc>
          <w:tcPr>
            <w:tcW w:w="42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tcPr>
          <w:p>
            <w:pPr>
              <w:pStyle w:val="TableContents"/>
              <w:bidi w:val="0"/>
              <w:spacing w:before="0" w:after="283"/>
              <w:jc w:val="left"/>
              <w:rPr/>
            </w:pPr>
            <w:r>
              <w:rPr/>
              <w:t> </w:t>
            </w:r>
          </w:p>
        </w:tc>
        <w:tc>
          <w:tcPr>
            <w:tcW w:w="241" w:type="dxa"/>
            <w:tcBorders>
              <w:bottom w:val="double" w:sz="2" w:space="0" w:color="000000"/>
            </w:tcBorders>
            <w:tcMar>
              <w:bottom w:w="28" w:type="dxa"/>
            </w:tcMa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86" w:type="dxa"/>
            <w:tcBorders>
              <w:bottom w:val="double" w:sz="2" w:space="0" w:color="000000"/>
            </w:tcBorders>
            <w:tcMar>
              <w:bottom w:w="28" w:type="dxa"/>
            </w:tcMar>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i w:val="false"/>
                <w:caps w:val="false"/>
                <w:smallCaps w:val="false"/>
                <w:sz w:val="20"/>
              </w:rPr>
              <w:t>(2</w:t>
            </w:r>
          </w:p>
        </w:tc>
        <w:tc>
          <w:tcPr>
            <w:tcW w:w="42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Inclusive of the registration fees previously paid in connection with the registration of certain of the securities registered hereunder that were previously registered on the Prior Registration Statements.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These fees are calculated based on the securities offered and the number of issuances and accordingly cannot be defined at this time.</w:t>
      </w:r>
    </w:p>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15.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the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16.     Exhibits.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exhibits are filed as part of this registration statement:</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Underwriting Agreement.</w:t>
            </w:r>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Equity OfferingSM Sales Agreement, dated as of March 27, 2024, by and between Intuitive Machines, Inc. and Cantor Fitzgerald &amp; Co.</w:t>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"http://www.sec.gov/Archives/edgar/data/1844452/000121390023004052/fs42023a4_inflection.htm" \l "T99971"</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Business Combination Agreement, dated as of September 16, 2022, by and between Inflection Point Acquisition Corp. and Intuitive Machines, LLC (incorporated by reference to Exhibit 2.1 to Amendment No. 4 to the Registration Statement on Form S-4 (File No. 333-267846) filed January 20, 2023).</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2">
              <w:r>
                <w:rPr>
                  <w:rStyle w:val="InternetLink"/>
                  <w:rFonts w:ascii="Times New Roman PS Std;serif" w:hAnsi="Times New Roman PS Std;serif"/>
                  <w:b w:val="false"/>
                  <w:i w:val="false"/>
                  <w:caps w:val="false"/>
                  <w:smallCaps w:val="false"/>
                  <w:sz w:val="20"/>
                </w:rPr>
                <w:t>Certificate of Incorporation of Intuitive Machines, Inc. (incorporated by reference to Exhibit 3.1 to the Registrant’s Current Report on Form 8-K (File No. 001-40823), filed with the SEC on February 14, 2023).</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3">
              <w:r>
                <w:rPr>
                  <w:rStyle w:val="InternetLink"/>
                  <w:rFonts w:ascii="Times New Roman PS Std;serif" w:hAnsi="Times New Roman PS Std;serif"/>
                  <w:b w:val="false"/>
                  <w:i w:val="false"/>
                  <w:caps w:val="false"/>
                  <w:smallCaps w:val="false"/>
                  <w:sz w:val="20"/>
                </w:rPr>
                <w:t>By-Laws of Intuitive Machines, Inc. (incorporated by reference to Exhibit 3.2 to the Registrant’s Current Report on Form 8-K (File No. 001-40823), filed with the SEC on February 14, 2023).</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4">
              <w:r>
                <w:rPr>
                  <w:rStyle w:val="InternetLink"/>
                  <w:rFonts w:ascii="Times New Roman PS Std;serif" w:hAnsi="Times New Roman PS Std;serif"/>
                  <w:b w:val="false"/>
                  <w:i w:val="false"/>
                  <w:caps w:val="false"/>
                  <w:smallCaps w:val="false"/>
                  <w:sz w:val="20"/>
                </w:rPr>
                <w:t>Certificate of Designation relating to the 10.0% Series A Cumulative Convertible Preferred Stock. (incorporated by reference to Exhibit 3.3 to the Registrant’s Current Report on Form 8-K (File No. 001-40823), filed with the SEC on February 14, 2023).</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Warrant Agreement (incorporated by reference to Exhibit 4.1 of Inflection Point’s Current Report on Form 8-K, filed with the SEC on September 24, 2021).</w:t>
              </w:r>
            </w:hyperlink>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Specimen Class A Common Stock Certificate of Intuitive Machines, Inc. (incorporated by reference to Exhibit 4.5 to Amendment No. 4 to the Registration Statement on Form S-4 (File No. 333-267846) filed January 20, 2023).</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Specimen Warrant Certificate of Intuitive Machines, Inc. (incorporated by reference to Exhibit 4.6 to Amendment No. 4 to the Registration Statement on Form S-4 (File No. 333-267846) filed January 20, 2023).</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8">
              <w:r>
                <w:rPr>
                  <w:rStyle w:val="InternetLink"/>
                  <w:rFonts w:ascii="Times New Roman PS Std;serif" w:hAnsi="Times New Roman PS Std;serif"/>
                  <w:b w:val="false"/>
                  <w:i w:val="false"/>
                  <w:caps w:val="false"/>
                  <w:smallCaps w:val="false"/>
                  <w:sz w:val="20"/>
                </w:rPr>
                <w:t>Form of Series A Common Stock Purchase Warrant, dated as of September 5, 2023, issued by Intuitive Machines, Inc. to the Purchaser named therein (incorporated by reference to Exhibit 4.1 to the Registrant’s Current Report on Form 8-K (File No. 001-40823), filed with the SEC on September 5, 2023).</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9">
              <w:r>
                <w:rPr>
                  <w:rStyle w:val="InternetLink"/>
                  <w:rFonts w:ascii="Times New Roman PS Std;serif" w:hAnsi="Times New Roman PS Std;serif"/>
                  <w:b w:val="false"/>
                  <w:i w:val="false"/>
                  <w:caps w:val="false"/>
                  <w:smallCaps w:val="false"/>
                  <w:sz w:val="20"/>
                </w:rPr>
                <w:t>Form of Series B Common Stock Purchase Warrant, dated as of September 5, 2023, issued by Intuitive Machines, Inc. to the Purchaser named therein (incorporated by reference to Exhibit 4.2 to the Registrant’s Current Report on Form 8-K (File No. 001-40823), filed with the SEC on September 5, 2023).</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0">
              <w:r>
                <w:rPr>
                  <w:rStyle w:val="InternetLink"/>
                  <w:rFonts w:ascii="Times New Roman PS Std;serif" w:hAnsi="Times New Roman PS Std;serif"/>
                  <w:b w:val="false"/>
                  <w:i w:val="false"/>
                  <w:caps w:val="false"/>
                  <w:smallCaps w:val="false"/>
                  <w:sz w:val="20"/>
                </w:rPr>
                <w:t>Form of New Series A Common Stock Purchase Warrant, dated as of January 10, 2024, issued by Intuitive Machines, Inc. to the Purchaser named therein (incorporated by reference to Exhibit 4.1 to the Registrant’s Current Report on Form 8-K (File No. 001-40823), filed with the SEC on January 11, 2024).</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41">
              <w:r>
                <w:rPr>
                  <w:rStyle w:val="InternetLink"/>
                  <w:rFonts w:ascii="Times New Roman PS Std;serif" w:hAnsi="Times New Roman PS Std;serif"/>
                  <w:b w:val="false"/>
                  <w:i w:val="false"/>
                  <w:caps w:val="false"/>
                  <w:smallCaps w:val="false"/>
                  <w:sz w:val="20"/>
                </w:rPr>
                <w:t>Form of New Series B Common Stock Purchase Warrant, dated as of January 10, 2024, issued by Intuitive Machines, Inc. to the Purchaser named therein (incorporated by reference to Exhibit 4.2 to the Registrant’s Current Report on Form 8-K (File No. 001-40823), filed with the SEC on January 11, 2024).</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2">
              <w:r>
                <w:rPr>
                  <w:rStyle w:val="InternetLink"/>
                  <w:rFonts w:ascii="Times New Roman PS Std;serif" w:hAnsi="Times New Roman PS Std;serif"/>
                  <w:b w:val="false"/>
                  <w:i w:val="false"/>
                  <w:caps w:val="false"/>
                  <w:smallCaps w:val="false"/>
                  <w:sz w:val="20"/>
                </w:rPr>
                <w:t>Form of Series A Common Stock Purchase Warrant, dated as of January 29, 2024, issued by Intuitive Machines, Inc. to the Holder named therein (incorporated by reference to Exhibit 4.3 to the Registrant’s Current Report on Form 8-K (File No. 001-40823), filed with the SEC on January 30, 2024).</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43">
              <w:r>
                <w:rPr>
                  <w:rStyle w:val="InternetLink"/>
                  <w:rFonts w:ascii="Times New Roman PS Std;serif" w:hAnsi="Times New Roman PS Std;serif"/>
                  <w:b w:val="false"/>
                  <w:i w:val="false"/>
                  <w:caps w:val="false"/>
                  <w:smallCaps w:val="false"/>
                  <w:sz w:val="20"/>
                </w:rPr>
                <w:t>Form of Series B Common Stock Purchase Warrant, dated as of January 29, 2024, issued by Intuitive Machines, Inc. to the Holder named therein (incorporated by reference to Exhibit 4.4 to the Registrant’s Current Report on Form 8-K (File No. 001-40823), filed with the SEC on January 30, 2024).</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4">
              <w:r>
                <w:rPr>
                  <w:rStyle w:val="InternetLink"/>
                  <w:rFonts w:ascii="Times New Roman PS Std;serif" w:hAnsi="Times New Roman PS Std;serif"/>
                  <w:b w:val="false"/>
                  <w:i w:val="false"/>
                  <w:caps w:val="false"/>
                  <w:smallCaps w:val="false"/>
                  <w:sz w:val="20"/>
                </w:rPr>
                <w:t>Form of Series A Common Unit Purchase Warrant, dated as of January 29, 2024, issued by Intuitive Machines, LLC to the Holder named therein (incorporated by reference to Exhibit 4.5 to the Registrant’s Current Report on Form 8-K (File No. 001-40823), filed with the SEC on January 30, 2024).</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45">
              <w:r>
                <w:rPr>
                  <w:rStyle w:val="InternetLink"/>
                  <w:rFonts w:ascii="Times New Roman PS Std;serif" w:hAnsi="Times New Roman PS Std;serif"/>
                  <w:b w:val="false"/>
                  <w:i w:val="false"/>
                  <w:caps w:val="false"/>
                  <w:smallCaps w:val="false"/>
                  <w:sz w:val="20"/>
                </w:rPr>
                <w:t>Form of Series B Common Unit Purchase Warrant, dated as of January 29, 2024, issued by Intuitive Machines, LLC to the Holder named therein (incorporated by reference to Exhibit 4.6 to the Registrant’s Current Report on Form 8-K (File No. 001-40823), filed with the SEC on January 30, 2024).</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6">
              <w:r>
                <w:rPr>
                  <w:rStyle w:val="InternetLink"/>
                  <w:rFonts w:ascii="Times New Roman PS Std;serif" w:hAnsi="Times New Roman PS Std;serif"/>
                  <w:b w:val="false"/>
                  <w:i w:val="false"/>
                  <w:caps w:val="false"/>
                  <w:smallCaps w:val="false"/>
                  <w:sz w:val="20"/>
                </w:rPr>
                <w:t>Form of Series A Common Unit Purchase Warrant (incorporated by reference to Exhibit 4.1 to the Registrant’s Current Report on Form 8-K (File No. 001-40823), filed with the SEC on January 30, 2024).</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47">
              <w:r>
                <w:rPr>
                  <w:rStyle w:val="InternetLink"/>
                  <w:rFonts w:ascii="Times New Roman PS Std;serif" w:hAnsi="Times New Roman PS Std;serif"/>
                  <w:b w:val="false"/>
                  <w:i w:val="false"/>
                  <w:caps w:val="false"/>
                  <w:smallCaps w:val="false"/>
                  <w:sz w:val="20"/>
                </w:rPr>
                <w:t>Form of Series B Common Unit Purchase Warrant (incorporated by reference to Exhibit 4.2 to the Registrant’s Current Report on Form 8-K (File No. 001-40823), filed with the SEC on January 30, 2024).</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"http://www.sec.gov/Archives/edgar/data/1844452/000101376223000617/f424b31023_intuitmac.htm" \l "T7"</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Description of Capital Stock (incorporated by reference to the Registrant’s prospectus filed on Form 424B3 (File No. 333-274621), filed with the SEC on October 3, 2023).</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20259701ex5-1_intuitive.htm">
              <w:r>
                <w:rPr>
                  <w:rStyle w:val="InternetLink"/>
                  <w:rFonts w:ascii="Times New Roman PS Std;serif" w:hAnsi="Times New Roman PS Std;serif"/>
                  <w:b w:val="false"/>
                  <w:i w:val="false"/>
                  <w:caps w:val="false"/>
                  <w:smallCaps w:val="false"/>
                  <w:sz w:val="20"/>
                </w:rPr>
                <w:t>Opinion of Latham &amp; Watkins LLP as to the validity of the securities being registered.</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ea020259701ex23-1_intuitive.htm">
              <w:r>
                <w:rPr>
                  <w:rStyle w:val="InternetLink"/>
                  <w:rFonts w:ascii="Times New Roman PS Std;serif" w:hAnsi="Times New Roman PS Std;serif"/>
                  <w:b w:val="false"/>
                  <w:i w:val="false"/>
                  <w:caps w:val="false"/>
                  <w:smallCaps w:val="false"/>
                  <w:sz w:val="20"/>
                </w:rPr>
                <w:t>Consent of Grant Thornton LLP.</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20259701ex5-1_intuitive.htm">
              <w:r>
                <w:rPr>
                  <w:rStyle w:val="InternetLink"/>
                  <w:rFonts w:ascii="Times New Roman PS Std;serif" w:hAnsi="Times New Roman PS Std;serif"/>
                  <w:b w:val="false"/>
                  <w:i w:val="false"/>
                  <w:caps w:val="false"/>
                  <w:smallCaps w:val="false"/>
                  <w:sz w:val="20"/>
                </w:rPr>
                <w:t>Consent of Latham &amp; Watkins LLP (included as part of Exhibit 5.1 hereto).</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T500">
              <w:r>
                <w:rPr>
                  <w:rStyle w:val="InternetLink"/>
                  <w:rFonts w:ascii="Times New Roman PS Std;serif" w:hAnsi="Times New Roman PS Std;serif"/>
                  <w:b w:val="false"/>
                  <w:i w:val="false"/>
                  <w:caps w:val="false"/>
                  <w:smallCaps w:val="false"/>
                  <w:sz w:val="20"/>
                </w:rPr>
                <w:t>Power of Attorney (included on signature page to the initial filing of this registration statement).</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20259701ex-fee_intuitive.htm">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if necessary, subsequent to the effectiveness of this registration statement by an amendment to this registration statement or incorporated by reference pursuant to a Current Report on Form 8-K in connection with the offering of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17.     Undertakings.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however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of 1933 to any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of 1933 to any purchaser in the initial distribution of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Insofar as indemnification for liabilities arising under the Securities Act of 1933 may be permitted to directors, officers and controlling persons of the registrants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has duly caused this Registration Statement on Form S-3 to be signed on its behalf by the undersigned, thereunto duly authorized, in the City of Houston, State of Texas, on March 27, 2024.</w:t>
      </w:r>
    </w:p>
    <w:tbl>
      <w:tblPr>
        <w:tblW w:w="4985" w:type="dxa"/>
        <w:jc w:val="left"/>
        <w:tblInd w:w="0" w:type="dxa"/>
        <w:tblLayout w:type="fixed"/>
        <w:tblCellMar>
          <w:top w:w="0" w:type="dxa"/>
          <w:left w:w="0" w:type="dxa"/>
          <w:bottom w:w="0" w:type="dxa"/>
          <w:right w:w="0" w:type="dxa"/>
        </w:tblCellMar>
      </w:tblPr>
      <w:tblGrid>
        <w:gridCol w:w="161"/>
        <w:gridCol w:w="146"/>
        <w:gridCol w:w="751"/>
        <w:gridCol w:w="146"/>
        <w:gridCol w:w="37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678"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INTUITIVE MACHINES,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378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Stephen Altemus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Stephen Altemus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500"/>
      <w:bookmarkEnd w:id="29"/>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constitutes and appoints each of Stephen Altemus and Steven Vontur,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tbl>
      <w:tblPr>
        <w:tblW w:w="10205" w:type="dxa"/>
        <w:jc w:val="left"/>
        <w:tblInd w:w="0" w:type="dxa"/>
        <w:tblLayout w:type="fixed"/>
        <w:tblCellMar>
          <w:top w:w="0" w:type="dxa"/>
          <w:left w:w="0" w:type="dxa"/>
          <w:bottom w:w="0" w:type="dxa"/>
          <w:right w:w="0" w:type="dxa"/>
        </w:tblCellMar>
      </w:tblPr>
      <w:tblGrid>
        <w:gridCol w:w="2948"/>
        <w:gridCol w:w="146"/>
        <w:gridCol w:w="5504"/>
        <w:gridCol w:w="146"/>
        <w:gridCol w:w="1461"/>
      </w:tblGrid>
      <w:tr>
        <w:trPr/>
        <w:tc>
          <w:tcPr>
            <w:tcW w:w="29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550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bottom"/>
          </w:tcPr>
          <w:p>
            <w:pPr>
              <w:pStyle w:val="TableContents"/>
              <w:bidi w:val="0"/>
              <w:spacing w:before="0" w:after="283"/>
              <w:jc w:val="left"/>
              <w:rPr/>
            </w:pPr>
            <w:r>
              <w:rPr/>
              <w:t> </w:t>
            </w:r>
          </w:p>
        </w:tc>
        <w:tc>
          <w:tcPr>
            <w:tcW w:w="14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948" w:type="dxa"/>
            <w:tcBorders/>
            <w:vAlign w:val="bottom"/>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Stephen Altemus</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President, and Director</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keepNext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2024</w:t>
            </w:r>
          </w:p>
        </w:tc>
      </w:tr>
      <w:tr>
        <w:trPr/>
        <w:tc>
          <w:tcPr>
            <w:tcW w:w="2948"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Stephen Altemus</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bidi w:val="0"/>
              <w:spacing w:before="0" w:after="283"/>
              <w:jc w:val="left"/>
              <w:rPr/>
            </w:pPr>
            <w:r>
              <w:rPr/>
              <w:t> </w:t>
            </w:r>
          </w:p>
        </w:tc>
      </w:tr>
      <w:tr>
        <w:trPr/>
        <w:tc>
          <w:tcPr>
            <w:tcW w:w="294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Steven Vontur</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Chief Financial Officer and Controller</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2024</w:t>
            </w:r>
          </w:p>
        </w:tc>
      </w:tr>
      <w:tr>
        <w:trPr/>
        <w:tc>
          <w:tcPr>
            <w:tcW w:w="29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Vontur</w:t>
            </w:r>
          </w:p>
        </w:tc>
        <w:tc>
          <w:tcPr>
            <w:tcW w:w="146" w:type="dxa"/>
            <w:tcBorders/>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Officer and Principal Accounting Officer)</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bidi w:val="0"/>
              <w:spacing w:before="0" w:after="283"/>
              <w:jc w:val="left"/>
              <w:rPr/>
            </w:pPr>
            <w:r>
              <w:rPr/>
              <w:t> </w:t>
            </w:r>
          </w:p>
        </w:tc>
      </w:tr>
      <w:tr>
        <w:trPr/>
        <w:tc>
          <w:tcPr>
            <w:tcW w:w="294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Peter McGrath II</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Vice President and</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2024</w:t>
            </w:r>
          </w:p>
        </w:tc>
      </w:tr>
      <w:tr>
        <w:trPr/>
        <w:tc>
          <w:tcPr>
            <w:tcW w:w="29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McGrath II</w:t>
            </w:r>
          </w:p>
        </w:tc>
        <w:tc>
          <w:tcPr>
            <w:tcW w:w="146" w:type="dxa"/>
            <w:tcBorders/>
          </w:tcPr>
          <w:p>
            <w:pPr>
              <w:pStyle w:val="TableContents"/>
              <w:bidi w:val="0"/>
              <w:spacing w:before="0" w:after="283"/>
              <w:jc w:val="left"/>
              <w:rPr/>
            </w:pPr>
            <w:r>
              <w:rPr/>
              <w:t> </w:t>
            </w:r>
          </w:p>
        </w:tc>
        <w:tc>
          <w:tcPr>
            <w:tcW w:w="5504"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c>
          <w:tcPr>
            <w:tcW w:w="146" w:type="dxa"/>
            <w:tcBorders/>
          </w:tcPr>
          <w:p>
            <w:pPr>
              <w:pStyle w:val="TableContents"/>
              <w:bidi w:val="0"/>
              <w:spacing w:before="0" w:after="283"/>
              <w:jc w:val="left"/>
              <w:rPr/>
            </w:pPr>
            <w:r>
              <w:rPr/>
              <w:t> </w:t>
            </w:r>
          </w:p>
        </w:tc>
        <w:tc>
          <w:tcPr>
            <w:tcW w:w="1461" w:type="dxa"/>
            <w:tcBorders/>
          </w:tcPr>
          <w:p>
            <w:pPr>
              <w:pStyle w:val="TableContents"/>
              <w:bidi w:val="0"/>
              <w:spacing w:before="0" w:after="283"/>
              <w:jc w:val="left"/>
              <w:rPr/>
            </w:pPr>
            <w:r>
              <w:rPr/>
              <w:t> </w:t>
            </w:r>
          </w:p>
        </w:tc>
      </w:tr>
      <w:tr>
        <w:trPr/>
        <w:tc>
          <w:tcPr>
            <w:tcW w:w="294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Dr. Kamal Ghaffarian</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2024</w:t>
            </w:r>
          </w:p>
        </w:tc>
      </w:tr>
      <w:tr>
        <w:trPr/>
        <w:tc>
          <w:tcPr>
            <w:tcW w:w="29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Kamal Ghaffarian</w:t>
            </w:r>
          </w:p>
        </w:tc>
        <w:tc>
          <w:tcPr>
            <w:tcW w:w="146" w:type="dxa"/>
            <w:tcBorders/>
          </w:tcPr>
          <w:p>
            <w:pPr>
              <w:pStyle w:val="TableContents"/>
              <w:bidi w:val="0"/>
              <w:spacing w:before="0" w:after="283"/>
              <w:jc w:val="left"/>
              <w:rPr/>
            </w:pPr>
            <w:r>
              <w:rPr/>
              <w:t> </w:t>
            </w:r>
          </w:p>
        </w:tc>
        <w:tc>
          <w:tcPr>
            <w:tcW w:w="550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1" w:type="dxa"/>
            <w:tcBorders/>
          </w:tcPr>
          <w:p>
            <w:pPr>
              <w:pStyle w:val="TableContents"/>
              <w:bidi w:val="0"/>
              <w:spacing w:before="0" w:after="283"/>
              <w:jc w:val="left"/>
              <w:rPr/>
            </w:pPr>
            <w:r>
              <w:rPr/>
              <w:t> </w:t>
            </w:r>
          </w:p>
        </w:tc>
      </w:tr>
      <w:tr>
        <w:trPr/>
        <w:tc>
          <w:tcPr>
            <w:tcW w:w="294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Blitzer</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2024</w:t>
            </w:r>
          </w:p>
        </w:tc>
      </w:tr>
      <w:tr>
        <w:trPr/>
        <w:tc>
          <w:tcPr>
            <w:tcW w:w="29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tcPr>
          <w:p>
            <w:pPr>
              <w:pStyle w:val="TableContents"/>
              <w:bidi w:val="0"/>
              <w:spacing w:before="0" w:after="283"/>
              <w:jc w:val="left"/>
              <w:rPr/>
            </w:pPr>
            <w:r>
              <w:rPr/>
              <w:t> </w:t>
            </w:r>
          </w:p>
        </w:tc>
        <w:tc>
          <w:tcPr>
            <w:tcW w:w="550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1" w:type="dxa"/>
            <w:tcBorders/>
          </w:tcPr>
          <w:p>
            <w:pPr>
              <w:pStyle w:val="TableContents"/>
              <w:bidi w:val="0"/>
              <w:spacing w:before="0" w:after="283"/>
              <w:jc w:val="left"/>
              <w:rPr/>
            </w:pPr>
            <w:r>
              <w:rPr/>
              <w:t> </w:t>
            </w:r>
          </w:p>
        </w:tc>
      </w:tr>
      <w:tr>
        <w:trPr/>
        <w:tc>
          <w:tcPr>
            <w:tcW w:w="294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Lieutenant General William Liquori</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2024</w:t>
            </w:r>
          </w:p>
        </w:tc>
      </w:tr>
      <w:tr>
        <w:trPr/>
        <w:tc>
          <w:tcPr>
            <w:tcW w:w="29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Lieutenant General William Liquori</w:t>
            </w:r>
          </w:p>
        </w:tc>
        <w:tc>
          <w:tcPr>
            <w:tcW w:w="146" w:type="dxa"/>
            <w:tcBorders/>
          </w:tcPr>
          <w:p>
            <w:pPr>
              <w:pStyle w:val="TableContents"/>
              <w:bidi w:val="0"/>
              <w:spacing w:before="0" w:after="283"/>
              <w:jc w:val="left"/>
              <w:rPr/>
            </w:pPr>
            <w:r>
              <w:rPr/>
              <w:t> </w:t>
            </w:r>
          </w:p>
        </w:tc>
        <w:tc>
          <w:tcPr>
            <w:tcW w:w="550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1" w:type="dxa"/>
            <w:tcBorders/>
          </w:tcPr>
          <w:p>
            <w:pPr>
              <w:pStyle w:val="TableContents"/>
              <w:bidi w:val="0"/>
              <w:spacing w:before="0" w:after="283"/>
              <w:jc w:val="left"/>
              <w:rPr/>
            </w:pPr>
            <w:r>
              <w:rPr/>
              <w:t> </w:t>
            </w:r>
          </w:p>
        </w:tc>
      </w:tr>
      <w:tr>
        <w:trPr/>
        <w:tc>
          <w:tcPr>
            <w:tcW w:w="294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Robert Masson</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2024</w:t>
            </w:r>
          </w:p>
        </w:tc>
      </w:tr>
      <w:tr>
        <w:trPr/>
        <w:tc>
          <w:tcPr>
            <w:tcW w:w="29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Masson</w:t>
            </w:r>
          </w:p>
        </w:tc>
        <w:tc>
          <w:tcPr>
            <w:tcW w:w="146" w:type="dxa"/>
            <w:tcBorders/>
          </w:tcPr>
          <w:p>
            <w:pPr>
              <w:pStyle w:val="TableContents"/>
              <w:bidi w:val="0"/>
              <w:spacing w:before="0" w:after="283"/>
              <w:jc w:val="left"/>
              <w:rPr/>
            </w:pPr>
            <w:r>
              <w:rPr/>
              <w:t> </w:t>
            </w:r>
          </w:p>
        </w:tc>
        <w:tc>
          <w:tcPr>
            <w:tcW w:w="550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1" w:type="dxa"/>
            <w:tcBorders/>
          </w:tcPr>
          <w:p>
            <w:pPr>
              <w:pStyle w:val="TableContents"/>
              <w:bidi w:val="0"/>
              <w:spacing w:before="0" w:after="283"/>
              <w:jc w:val="left"/>
              <w:rPr/>
            </w:pPr>
            <w:r>
              <w:rPr/>
              <w:t> </w:t>
            </w:r>
          </w:p>
        </w:tc>
      </w:tr>
      <w:tr>
        <w:trPr/>
        <w:tc>
          <w:tcPr>
            <w:tcW w:w="294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Nicole Seligman</w:t>
            </w:r>
          </w:p>
        </w:tc>
        <w:tc>
          <w:tcPr>
            <w:tcW w:w="146" w:type="dxa"/>
            <w:tcBorders/>
            <w:vAlign w:val="bottom"/>
          </w:tcPr>
          <w:p>
            <w:pPr>
              <w:pStyle w:val="TableContents"/>
              <w:bidi w:val="0"/>
              <w:spacing w:before="0" w:after="283"/>
              <w:jc w:val="left"/>
              <w:rPr/>
            </w:pPr>
            <w:r>
              <w:rPr/>
              <w:t> </w:t>
            </w:r>
          </w:p>
        </w:tc>
        <w:tc>
          <w:tcPr>
            <w:tcW w:w="5504"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2024</w:t>
            </w:r>
          </w:p>
        </w:tc>
      </w:tr>
      <w:tr>
        <w:trPr/>
        <w:tc>
          <w:tcPr>
            <w:tcW w:w="29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Nicole Seligman</w:t>
            </w:r>
          </w:p>
        </w:tc>
        <w:tc>
          <w:tcPr>
            <w:tcW w:w="146" w:type="dxa"/>
            <w:tcBorders/>
          </w:tcPr>
          <w:p>
            <w:pPr>
              <w:pStyle w:val="TableContents"/>
              <w:bidi w:val="0"/>
              <w:spacing w:before="0" w:after="283"/>
              <w:jc w:val="left"/>
              <w:rPr/>
            </w:pPr>
            <w:r>
              <w:rPr/>
              <w:t> </w:t>
            </w:r>
          </w:p>
        </w:tc>
        <w:tc>
          <w:tcPr>
            <w:tcW w:w="550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20259701ex5-1_intuitive.htm"/>
      <w:bookmarkStart w:id="31" w:name="ksea020259701ex51_intuitive"/>
      <w:bookmarkEnd w:id="30"/>
      <w:bookmarkEnd w:id="31"/>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tbl>
      <w:tblPr>
        <w:tblW w:w="7849" w:type="dxa"/>
        <w:jc w:val="left"/>
        <w:tblInd w:w="0" w:type="dxa"/>
        <w:tblLayout w:type="fixed"/>
        <w:tblCellMar>
          <w:top w:w="0" w:type="dxa"/>
          <w:left w:w="0" w:type="dxa"/>
          <w:bottom w:w="0" w:type="dxa"/>
          <w:right w:w="0" w:type="dxa"/>
        </w:tblCellMar>
      </w:tblPr>
      <w:tblGrid>
        <w:gridCol w:w="3570"/>
        <w:gridCol w:w="1777"/>
        <w:gridCol w:w="2502"/>
      </w:tblGrid>
      <w:tr>
        <w:trPr/>
        <w:tc>
          <w:tcPr>
            <w:tcW w:w="3570" w:type="dxa"/>
            <w:vMerge w:val="restart"/>
            <w:tcBorders/>
            <w:vAlign w:val="center"/>
          </w:tcPr>
          <w:p>
            <w:pPr>
              <w:pStyle w:val="TableContents"/>
              <w:bidi w:val="0"/>
              <w:spacing w:before="0" w:after="283"/>
              <w:jc w:val="left"/>
              <w:rPr/>
            </w:pPr>
            <w:r>
              <w:rPr/>
              <w:drawing>
                <wp:inline distT="0" distB="0" distL="0" distR="0">
                  <wp:extent cx="225742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8"/>
                          <a:stretch>
                            <a:fillRect/>
                          </a:stretch>
                        </pic:blipFill>
                        <pic:spPr bwMode="auto">
                          <a:xfrm>
                            <a:off x="0" y="0"/>
                            <a:ext cx="2257425" cy="152400"/>
                          </a:xfrm>
                          <a:prstGeom prst="rect">
                            <a:avLst/>
                          </a:prstGeom>
                        </pic:spPr>
                      </pic:pic>
                    </a:graphicData>
                  </a:graphic>
                </wp:inline>
              </w:drawing>
            </w:r>
          </w:p>
        </w:tc>
        <w:tc>
          <w:tcPr>
            <w:tcW w:w="4279" w:type="dxa"/>
            <w:gridSpan w:val="2"/>
            <w:tcBorders/>
            <w:vAlign w:val="center"/>
          </w:tcPr>
          <w:p>
            <w:pPr>
              <w:pStyle w:val="TableContents"/>
              <w:bidi w:val="0"/>
              <w:spacing w:before="0" w:after="283"/>
              <w:jc w:val="left"/>
              <w:rPr/>
            </w:pPr>
            <w:r>
              <w:rPr/>
              <w:t>811 Main Street, Suite 3700</w:t>
            </w:r>
          </w:p>
        </w:tc>
      </w:tr>
      <w:tr>
        <w:trPr/>
        <w:tc>
          <w:tcPr>
            <w:tcW w:w="3570" w:type="dxa"/>
            <w:vMerge w:val="continue"/>
            <w:tcBorders/>
            <w:vAlign w:val="center"/>
          </w:tcPr>
          <w:p>
            <w:pPr>
              <w:pStyle w:val="Normal"/>
              <w:bidi w:val="0"/>
              <w:jc w:val="left"/>
              <w:rPr/>
            </w:pPr>
            <w:r>
              <w:rPr/>
            </w:r>
          </w:p>
        </w:tc>
        <w:tc>
          <w:tcPr>
            <w:tcW w:w="4279" w:type="dxa"/>
            <w:gridSpan w:val="2"/>
            <w:tcBorders/>
            <w:vAlign w:val="center"/>
          </w:tcPr>
          <w:p>
            <w:pPr>
              <w:pStyle w:val="TableContents"/>
              <w:bidi w:val="0"/>
              <w:spacing w:before="0" w:after="283"/>
              <w:jc w:val="left"/>
              <w:rPr/>
            </w:pPr>
            <w:r>
              <w:rPr/>
              <w:t>Houston, TX 77002</w:t>
            </w:r>
          </w:p>
        </w:tc>
      </w:tr>
      <w:tr>
        <w:trPr/>
        <w:tc>
          <w:tcPr>
            <w:tcW w:w="3570" w:type="dxa"/>
            <w:vMerge w:val="continue"/>
            <w:tcBorders/>
            <w:vAlign w:val="center"/>
          </w:tcPr>
          <w:p>
            <w:pPr>
              <w:pStyle w:val="Normal"/>
              <w:bidi w:val="0"/>
              <w:jc w:val="left"/>
              <w:rPr/>
            </w:pPr>
            <w:r>
              <w:rPr/>
            </w:r>
          </w:p>
        </w:tc>
        <w:tc>
          <w:tcPr>
            <w:tcW w:w="4279" w:type="dxa"/>
            <w:gridSpan w:val="2"/>
            <w:tcBorders/>
            <w:vAlign w:val="center"/>
          </w:tcPr>
          <w:p>
            <w:pPr>
              <w:pStyle w:val="TableContents"/>
              <w:bidi w:val="0"/>
              <w:spacing w:before="0" w:after="283"/>
              <w:jc w:val="left"/>
              <w:rPr/>
            </w:pPr>
            <w:r>
              <w:rPr/>
              <w:t>Tel: +1.713.546.5400 Fax: +1.713.546.5401</w:t>
            </w:r>
          </w:p>
        </w:tc>
      </w:tr>
      <w:tr>
        <w:trPr/>
        <w:tc>
          <w:tcPr>
            <w:tcW w:w="3570" w:type="dxa"/>
            <w:vMerge w:val="continue"/>
            <w:tcBorders/>
            <w:vAlign w:val="center"/>
          </w:tcPr>
          <w:p>
            <w:pPr>
              <w:pStyle w:val="Normal"/>
              <w:bidi w:val="0"/>
              <w:jc w:val="left"/>
              <w:rPr/>
            </w:pPr>
            <w:r>
              <w:rPr/>
            </w:r>
          </w:p>
        </w:tc>
        <w:tc>
          <w:tcPr>
            <w:tcW w:w="4279" w:type="dxa"/>
            <w:gridSpan w:val="2"/>
            <w:tcBorders/>
            <w:vAlign w:val="center"/>
          </w:tcPr>
          <w:p>
            <w:pPr>
              <w:pStyle w:val="TableContents"/>
              <w:bidi w:val="0"/>
              <w:spacing w:before="0" w:after="283"/>
              <w:jc w:val="left"/>
              <w:rPr/>
            </w:pPr>
            <w:r>
              <w:rPr/>
              <w:t>www.lw.com</w:t>
            </w:r>
          </w:p>
        </w:tc>
      </w:tr>
      <w:tr>
        <w:trPr/>
        <w:tc>
          <w:tcPr>
            <w:tcW w:w="3570" w:type="dxa"/>
            <w:vMerge w:val="continue"/>
            <w:tcBorders/>
            <w:vAlign w:val="center"/>
          </w:tcPr>
          <w:p>
            <w:pPr>
              <w:pStyle w:val="Normal"/>
              <w:bidi w:val="0"/>
              <w:jc w:val="left"/>
              <w:rPr/>
            </w:pPr>
            <w:r>
              <w:rPr/>
            </w:r>
          </w:p>
        </w:tc>
        <w:tc>
          <w:tcPr>
            <w:tcW w:w="4279" w:type="dxa"/>
            <w:gridSpan w:val="2"/>
            <w:tcBorders/>
            <w:vAlign w:val="center"/>
          </w:tcPr>
          <w:p>
            <w:pPr>
              <w:pStyle w:val="TableContents"/>
              <w:bidi w:val="0"/>
              <w:spacing w:before="0" w:after="283"/>
              <w:jc w:val="left"/>
              <w:rPr/>
            </w:pPr>
            <w:r>
              <w:rPr/>
              <w:t>FIRM / AFFILIATE OFFICES</w:t>
            </w:r>
          </w:p>
        </w:tc>
      </w:tr>
      <w:tr>
        <w:trPr/>
        <w:tc>
          <w:tcPr>
            <w:tcW w:w="3570" w:type="dxa"/>
            <w:vMerge w:val="continue"/>
            <w:tcBorders/>
            <w:vAlign w:val="center"/>
          </w:tcPr>
          <w:p>
            <w:pPr>
              <w:pStyle w:val="Normal"/>
              <w:bidi w:val="0"/>
              <w:jc w:val="left"/>
              <w:rPr/>
            </w:pPr>
            <w:r>
              <w:rPr/>
            </w:r>
          </w:p>
        </w:tc>
        <w:tc>
          <w:tcPr>
            <w:tcW w:w="1777" w:type="dxa"/>
            <w:tcBorders/>
            <w:vAlign w:val="center"/>
          </w:tcPr>
          <w:p>
            <w:pPr>
              <w:pStyle w:val="TableContents"/>
              <w:bidi w:val="0"/>
              <w:spacing w:before="0" w:after="283"/>
              <w:jc w:val="left"/>
              <w:rPr/>
            </w:pPr>
            <w:r>
              <w:rPr/>
              <w:t>Austin</w:t>
            </w:r>
          </w:p>
        </w:tc>
        <w:tc>
          <w:tcPr>
            <w:tcW w:w="2502" w:type="dxa"/>
            <w:tcBorders/>
            <w:vAlign w:val="center"/>
          </w:tcPr>
          <w:p>
            <w:pPr>
              <w:pStyle w:val="TableContents"/>
              <w:bidi w:val="0"/>
              <w:spacing w:before="0" w:after="283"/>
              <w:jc w:val="left"/>
              <w:rPr/>
            </w:pPr>
            <w:r>
              <w:rPr/>
              <w:t>Milan</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Beijing</w:t>
            </w:r>
          </w:p>
        </w:tc>
        <w:tc>
          <w:tcPr>
            <w:tcW w:w="2502" w:type="dxa"/>
            <w:tcBorders/>
            <w:vAlign w:val="center"/>
          </w:tcPr>
          <w:p>
            <w:pPr>
              <w:pStyle w:val="TableContents"/>
              <w:bidi w:val="0"/>
              <w:spacing w:before="0" w:after="283"/>
              <w:jc w:val="left"/>
              <w:rPr/>
            </w:pPr>
            <w:r>
              <w:rPr/>
              <w:t>Munich</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Boston</w:t>
            </w:r>
          </w:p>
        </w:tc>
        <w:tc>
          <w:tcPr>
            <w:tcW w:w="2502" w:type="dxa"/>
            <w:tcBorders/>
            <w:vAlign w:val="center"/>
          </w:tcPr>
          <w:p>
            <w:pPr>
              <w:pStyle w:val="TableContents"/>
              <w:bidi w:val="0"/>
              <w:spacing w:before="0" w:after="283"/>
              <w:jc w:val="left"/>
              <w:rPr/>
            </w:pPr>
            <w:r>
              <w:rPr/>
              <w:t>New York</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Brussels</w:t>
            </w:r>
          </w:p>
        </w:tc>
        <w:tc>
          <w:tcPr>
            <w:tcW w:w="2502" w:type="dxa"/>
            <w:tcBorders/>
            <w:vAlign w:val="center"/>
          </w:tcPr>
          <w:p>
            <w:pPr>
              <w:pStyle w:val="TableContents"/>
              <w:bidi w:val="0"/>
              <w:spacing w:before="0" w:after="283"/>
              <w:jc w:val="left"/>
              <w:rPr/>
            </w:pPr>
            <w:r>
              <w:rPr/>
              <w:t>Orange County</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Century City</w:t>
            </w:r>
          </w:p>
        </w:tc>
        <w:tc>
          <w:tcPr>
            <w:tcW w:w="2502" w:type="dxa"/>
            <w:tcBorders/>
            <w:vAlign w:val="center"/>
          </w:tcPr>
          <w:p>
            <w:pPr>
              <w:pStyle w:val="TableContents"/>
              <w:bidi w:val="0"/>
              <w:spacing w:before="0" w:after="283"/>
              <w:jc w:val="left"/>
              <w:rPr/>
            </w:pPr>
            <w:r>
              <w:rPr/>
              <w:t>Paris</w:t>
            </w:r>
          </w:p>
        </w:tc>
      </w:tr>
      <w:tr>
        <w:trPr/>
        <w:tc>
          <w:tcPr>
            <w:tcW w:w="357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pPr>
            <w:r>
              <w:rPr/>
              <w:t>Chicago</w:t>
            </w:r>
          </w:p>
        </w:tc>
        <w:tc>
          <w:tcPr>
            <w:tcW w:w="2502" w:type="dxa"/>
            <w:tcBorders/>
            <w:vAlign w:val="center"/>
          </w:tcPr>
          <w:p>
            <w:pPr>
              <w:pStyle w:val="TableContents"/>
              <w:bidi w:val="0"/>
              <w:spacing w:before="0" w:after="283"/>
              <w:jc w:val="left"/>
              <w:rPr/>
            </w:pPr>
            <w:r>
              <w:rPr/>
              <w:t>Riyadh</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Dubai</w:t>
            </w:r>
          </w:p>
        </w:tc>
        <w:tc>
          <w:tcPr>
            <w:tcW w:w="2502" w:type="dxa"/>
            <w:tcBorders/>
            <w:vAlign w:val="center"/>
          </w:tcPr>
          <w:p>
            <w:pPr>
              <w:pStyle w:val="TableContents"/>
              <w:bidi w:val="0"/>
              <w:spacing w:before="0" w:after="283"/>
              <w:ind w:left="0" w:right="0" w:hanging="0"/>
              <w:jc w:val="left"/>
              <w:rPr/>
            </w:pPr>
            <w:r>
              <w:rPr/>
              <w:t>San Diego</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Düsseldorf</w:t>
            </w:r>
          </w:p>
        </w:tc>
        <w:tc>
          <w:tcPr>
            <w:tcW w:w="2502" w:type="dxa"/>
            <w:tcBorders/>
            <w:vAlign w:val="center"/>
          </w:tcPr>
          <w:p>
            <w:pPr>
              <w:pStyle w:val="TableContents"/>
              <w:bidi w:val="0"/>
              <w:spacing w:before="0" w:after="283"/>
              <w:ind w:left="0" w:right="0" w:hanging="0"/>
              <w:jc w:val="left"/>
              <w:rPr/>
            </w:pPr>
            <w:r>
              <w:rPr/>
              <w:t>San Francisco</w:t>
            </w:r>
          </w:p>
        </w:tc>
      </w:tr>
      <w:tr>
        <w:trPr/>
        <w:tc>
          <w:tcPr>
            <w:tcW w:w="3570" w:type="dxa"/>
            <w:tcBorders/>
            <w:vAlign w:val="center"/>
          </w:tcPr>
          <w:p>
            <w:pPr>
              <w:pStyle w:val="TableContents"/>
              <w:bidi w:val="0"/>
              <w:spacing w:before="0" w:after="283"/>
              <w:jc w:val="left"/>
              <w:rPr/>
            </w:pPr>
            <w:r>
              <w:rPr/>
              <w:t>March 26, 2024</w:t>
            </w:r>
          </w:p>
        </w:tc>
        <w:tc>
          <w:tcPr>
            <w:tcW w:w="1777" w:type="dxa"/>
            <w:tcBorders/>
            <w:vAlign w:val="center"/>
          </w:tcPr>
          <w:p>
            <w:pPr>
              <w:pStyle w:val="TableContents"/>
              <w:bidi w:val="0"/>
              <w:spacing w:before="0" w:after="283"/>
              <w:jc w:val="left"/>
              <w:rPr/>
            </w:pPr>
            <w:r>
              <w:rPr/>
              <w:t>Frankfurt</w:t>
            </w:r>
          </w:p>
        </w:tc>
        <w:tc>
          <w:tcPr>
            <w:tcW w:w="2502" w:type="dxa"/>
            <w:tcBorders/>
            <w:vAlign w:val="center"/>
          </w:tcPr>
          <w:p>
            <w:pPr>
              <w:pStyle w:val="TableContents"/>
              <w:bidi w:val="0"/>
              <w:spacing w:before="0" w:after="283"/>
              <w:ind w:left="0" w:right="0" w:hanging="0"/>
              <w:jc w:val="left"/>
              <w:rPr/>
            </w:pPr>
            <w:r>
              <w:rPr/>
              <w:t>Seoul</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Hamburg</w:t>
            </w:r>
          </w:p>
        </w:tc>
        <w:tc>
          <w:tcPr>
            <w:tcW w:w="2502" w:type="dxa"/>
            <w:tcBorders/>
            <w:vAlign w:val="center"/>
          </w:tcPr>
          <w:p>
            <w:pPr>
              <w:pStyle w:val="TableContents"/>
              <w:bidi w:val="0"/>
              <w:spacing w:before="0" w:after="283"/>
              <w:jc w:val="left"/>
              <w:rPr/>
            </w:pPr>
            <w:r>
              <w:rPr/>
              <w:t>Silicon Valley</w:t>
            </w:r>
          </w:p>
        </w:tc>
      </w:tr>
      <w:tr>
        <w:trPr/>
        <w:tc>
          <w:tcPr>
            <w:tcW w:w="3570" w:type="dxa"/>
            <w:tcBorders/>
            <w:vAlign w:val="center"/>
          </w:tcPr>
          <w:p>
            <w:pPr>
              <w:pStyle w:val="TableContents"/>
              <w:bidi w:val="0"/>
              <w:spacing w:before="0" w:after="283"/>
              <w:jc w:val="left"/>
              <w:rPr/>
            </w:pPr>
            <w:r>
              <w:rPr/>
              <w:t>Intuitive Machines, Inc.</w:t>
            </w:r>
          </w:p>
        </w:tc>
        <w:tc>
          <w:tcPr>
            <w:tcW w:w="1777" w:type="dxa"/>
            <w:tcBorders/>
            <w:vAlign w:val="center"/>
          </w:tcPr>
          <w:p>
            <w:pPr>
              <w:pStyle w:val="TableContents"/>
              <w:bidi w:val="0"/>
              <w:spacing w:before="0" w:after="283"/>
              <w:jc w:val="left"/>
              <w:rPr/>
            </w:pPr>
            <w:r>
              <w:rPr/>
              <w:t>Hong Kong</w:t>
            </w:r>
          </w:p>
        </w:tc>
        <w:tc>
          <w:tcPr>
            <w:tcW w:w="2502" w:type="dxa"/>
            <w:tcBorders/>
            <w:vAlign w:val="center"/>
          </w:tcPr>
          <w:p>
            <w:pPr>
              <w:pStyle w:val="TableContents"/>
              <w:bidi w:val="0"/>
              <w:spacing w:before="0" w:after="283"/>
              <w:jc w:val="left"/>
              <w:rPr/>
            </w:pPr>
            <w:r>
              <w:rPr/>
              <w:t>Singapore</w:t>
            </w:r>
          </w:p>
        </w:tc>
      </w:tr>
      <w:tr>
        <w:trPr/>
        <w:tc>
          <w:tcPr>
            <w:tcW w:w="3570" w:type="dxa"/>
            <w:tcBorders/>
            <w:vAlign w:val="center"/>
          </w:tcPr>
          <w:p>
            <w:pPr>
              <w:pStyle w:val="TableContents"/>
              <w:bidi w:val="0"/>
              <w:spacing w:before="0" w:after="283"/>
              <w:jc w:val="left"/>
              <w:rPr/>
            </w:pPr>
            <w:r>
              <w:rPr/>
              <w:t>13467 Columbia Shuttle Street</w:t>
            </w:r>
          </w:p>
        </w:tc>
        <w:tc>
          <w:tcPr>
            <w:tcW w:w="1777" w:type="dxa"/>
            <w:tcBorders/>
            <w:vAlign w:val="center"/>
          </w:tcPr>
          <w:p>
            <w:pPr>
              <w:pStyle w:val="TableContents"/>
              <w:bidi w:val="0"/>
              <w:spacing w:before="0" w:after="283"/>
              <w:jc w:val="left"/>
              <w:rPr/>
            </w:pPr>
            <w:r>
              <w:rPr/>
              <w:t>Houston</w:t>
            </w:r>
          </w:p>
        </w:tc>
        <w:tc>
          <w:tcPr>
            <w:tcW w:w="2502" w:type="dxa"/>
            <w:tcBorders/>
            <w:vAlign w:val="center"/>
          </w:tcPr>
          <w:p>
            <w:pPr>
              <w:pStyle w:val="TableContents"/>
              <w:bidi w:val="0"/>
              <w:spacing w:before="0" w:after="283"/>
              <w:jc w:val="left"/>
              <w:rPr/>
            </w:pPr>
            <w:r>
              <w:rPr/>
              <w:t>Tel Aviv</w:t>
            </w:r>
          </w:p>
        </w:tc>
      </w:tr>
      <w:tr>
        <w:trPr/>
        <w:tc>
          <w:tcPr>
            <w:tcW w:w="3570" w:type="dxa"/>
            <w:tcBorders/>
            <w:vAlign w:val="center"/>
          </w:tcPr>
          <w:p>
            <w:pPr>
              <w:pStyle w:val="TableContents"/>
              <w:bidi w:val="0"/>
              <w:spacing w:before="0" w:after="283"/>
              <w:jc w:val="left"/>
              <w:rPr/>
            </w:pPr>
            <w:r>
              <w:rPr/>
              <w:t>Houston, TX 77059</w:t>
            </w:r>
          </w:p>
        </w:tc>
        <w:tc>
          <w:tcPr>
            <w:tcW w:w="1777" w:type="dxa"/>
            <w:tcBorders/>
            <w:vAlign w:val="center"/>
          </w:tcPr>
          <w:p>
            <w:pPr>
              <w:pStyle w:val="TableContents"/>
              <w:bidi w:val="0"/>
              <w:spacing w:before="0" w:after="283"/>
              <w:jc w:val="left"/>
              <w:rPr/>
            </w:pPr>
            <w:r>
              <w:rPr/>
              <w:t>London</w:t>
            </w:r>
          </w:p>
        </w:tc>
        <w:tc>
          <w:tcPr>
            <w:tcW w:w="2502" w:type="dxa"/>
            <w:tcBorders/>
            <w:vAlign w:val="center"/>
          </w:tcPr>
          <w:p>
            <w:pPr>
              <w:pStyle w:val="TableContents"/>
              <w:bidi w:val="0"/>
              <w:spacing w:before="0" w:after="283"/>
              <w:jc w:val="left"/>
              <w:rPr/>
            </w:pPr>
            <w:r>
              <w:rPr/>
              <w:t>Tokyo</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Los Angeles</w:t>
            </w:r>
          </w:p>
        </w:tc>
        <w:tc>
          <w:tcPr>
            <w:tcW w:w="2502" w:type="dxa"/>
            <w:tcBorders/>
            <w:vAlign w:val="center"/>
          </w:tcPr>
          <w:p>
            <w:pPr>
              <w:pStyle w:val="TableContents"/>
              <w:bidi w:val="0"/>
              <w:spacing w:before="0" w:after="283"/>
              <w:jc w:val="left"/>
              <w:rPr/>
            </w:pPr>
            <w:r>
              <w:rPr/>
              <w:t>Washington, D.C.</w:t>
            </w:r>
          </w:p>
        </w:tc>
      </w:tr>
      <w:tr>
        <w:trPr/>
        <w:tc>
          <w:tcPr>
            <w:tcW w:w="357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Madrid</w:t>
            </w:r>
          </w:p>
        </w:tc>
        <w:tc>
          <w:tcPr>
            <w:tcW w:w="250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65"/>
        <w:gridCol w:w="3425"/>
      </w:tblGrid>
      <w:tr>
        <w:trPr/>
        <w:tc>
          <w:tcPr>
            <w:tcW w:w="365" w:type="dxa"/>
            <w:tcBorders/>
            <w:vAlign w:val="center"/>
          </w:tcPr>
          <w:p>
            <w:pPr>
              <w:pStyle w:val="TableContents"/>
              <w:bidi w:val="0"/>
              <w:spacing w:before="0" w:after="283"/>
              <w:ind w:left="0" w:right="0" w:hanging="0"/>
              <w:jc w:val="left"/>
              <w:rPr/>
            </w:pPr>
            <w:r>
              <w:rPr/>
              <w:t>Re:</w:t>
            </w:r>
          </w:p>
        </w:tc>
        <w:tc>
          <w:tcPr>
            <w:tcW w:w="3425" w:type="dxa"/>
            <w:tcBorders/>
            <w:vAlign w:val="center"/>
          </w:tcPr>
          <w:p>
            <w:pPr>
              <w:pStyle w:val="TableContents"/>
              <w:bidi w:val="0"/>
              <w:spacing w:before="0" w:after="283"/>
              <w:jc w:val="left"/>
              <w:rPr>
                <w:u w:val="single"/>
              </w:rPr>
            </w:pPr>
            <w:r>
              <w:rPr>
                <w:u w:val="single"/>
              </w:rPr>
              <w:t>Registration Statement on Form S-3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addressees set forth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Intuitive Machines,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its filing on the date hereof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registration statement on Form S-3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a base prospectus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which provides that it will be supplemented by one or more prospectus supplements (each such prospectus supplement, together with the Base Prospectus, a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relating to the registration for issue and sale by the Company of up to $300,000,000 aggregate offering price of shares of the Company’s Class A common stock, $0.0001 par value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The Common Stock, plus any additional Common Stock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The Registration Statement also registers for resale (i) up to 159,808,031 shares of Common Stock (the “</w:t>
      </w:r>
      <w:r>
        <w:rPr>
          <w:rFonts w:ascii="Times New Roman;Times;Serif" w:hAnsi="Times New Roman;Times;Serif"/>
          <w:b/>
          <w:i/>
          <w:caps w:val="false"/>
          <w:smallCaps w:val="false"/>
          <w:sz w:val="20"/>
        </w:rPr>
        <w:t>Secondary Shares</w:t>
      </w:r>
      <w:r>
        <w:rPr>
          <w:rFonts w:ascii="Times New Roman;Times;Serif" w:hAnsi="Times New Roman;Times;Serif"/>
          <w:b w:val="false"/>
          <w:i w:val="false"/>
          <w:caps w:val="false"/>
          <w:smallCaps w:val="false"/>
          <w:sz w:val="20"/>
        </w:rPr>
        <w:t>”) and (ii) up to 8,295,000 warrants (the “</w:t>
      </w:r>
      <w:r>
        <w:rPr>
          <w:rFonts w:ascii="Times New Roman;Times;Serif" w:hAnsi="Times New Roman;Times;Serif"/>
          <w:b/>
          <w:i/>
          <w:caps w:val="false"/>
          <w:smallCaps w:val="false"/>
          <w:sz w:val="20"/>
        </w:rPr>
        <w:t>Secondary Warrants</w:t>
      </w:r>
      <w:r>
        <w:rPr>
          <w:rFonts w:ascii="Times New Roman;Times;Serif" w:hAnsi="Times New Roman;Times;Serif"/>
          <w:b w:val="false"/>
          <w:i w:val="false"/>
          <w:caps w:val="false"/>
          <w:smallCaps w:val="false"/>
          <w:sz w:val="20"/>
        </w:rPr>
        <w:t>”) to purchase shares of Common Stock (such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held by certain securityholders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connection with the requirements of Item 601(b)(5) of Regulation S-K under the Act, and no opinion is expressed herein as to any matter pertaining to the contents of the Registration Statement or the applicable Prospectus, other than as expressly stated herein with respect to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advise you that we have also examined (i) the prospectus supplement contained within the Registration Statement (together with the Base Prospectus, the “</w:t>
      </w:r>
      <w:r>
        <w:rPr>
          <w:rFonts w:ascii="Times New Roman;Times;Serif" w:hAnsi="Times New Roman;Times;Serif"/>
          <w:b/>
          <w:i/>
          <w:caps w:val="false"/>
          <w:smallCaps w:val="false"/>
          <w:sz w:val="20"/>
        </w:rPr>
        <w:t>Sales Agreement Prospectus</w:t>
      </w:r>
      <w:r>
        <w:rPr>
          <w:rFonts w:ascii="Times New Roman;Times;Serif" w:hAnsi="Times New Roman;Times;Serif"/>
          <w:b w:val="false"/>
          <w:i w:val="false"/>
          <w:caps w:val="false"/>
          <w:smallCaps w:val="false"/>
          <w:sz w:val="20"/>
        </w:rPr>
        <w:t>”) relating to the sale by the Company through Cantor Fitzgerald &amp; Co., as the sales agent (the “Sales Agent”), from time to time of shares of Common Stock (the “</w:t>
      </w:r>
      <w:r>
        <w:rPr>
          <w:rFonts w:ascii="Times New Roman;Times;Serif" w:hAnsi="Times New Roman;Times;Serif"/>
          <w:b/>
          <w:i/>
          <w:caps w:val="false"/>
          <w:smallCaps w:val="false"/>
          <w:sz w:val="20"/>
        </w:rPr>
        <w:t>Placement Shares</w:t>
      </w:r>
      <w:r>
        <w:rPr>
          <w:rFonts w:ascii="Times New Roman;Times;Serif" w:hAnsi="Times New Roman;Times;Serif"/>
          <w:b w:val="false"/>
          <w:i w:val="false"/>
          <w:caps w:val="false"/>
          <w:smallCaps w:val="false"/>
          <w:sz w:val="20"/>
        </w:rPr>
        <w:t>”) having an aggregate maximum offering price of up to $100,000,000 pursuant to the Registration Statement and the Sales Agreement Prospectus, and (ii) that certain Controlled Equity Offering</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Sales Agreement, dated as of March 26, 2024, by and between the Company and the Sales Agent (the “</w:t>
      </w:r>
      <w:r>
        <w:rPr>
          <w:rFonts w:ascii="Times New Roman;Times;Serif" w:hAnsi="Times New Roman;Times;Serif"/>
          <w:b/>
          <w:i/>
          <w:caps w:val="false"/>
          <w:smallCaps w:val="false"/>
          <w:sz w:val="20"/>
        </w:rPr>
        <w:t>Sales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26, 2024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543050" cy="104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9"/>
                    <a:stretch>
                      <a:fillRect/>
                    </a:stretch>
                  </pic:blipFill>
                  <pic:spPr bwMode="auto">
                    <a:xfrm>
                      <a:off x="0" y="0"/>
                      <a:ext cx="1543050" cy="104775"/>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we express no opinion with respect to the applicability thereto, or the effect thereon, of the laws of any other jurisdiction or, in the case of Delaware, any other laws, or as to any matters of municipal law or the laws of any local agencies within any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shares of Common Stock (other than the Placement Shares) to be issued by the Company, when an issuance of such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Company’s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Secondary Shares have been duly authorized by all necessary corporate action of the Company, and are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Secondary Warrants are the legally valid and binding obligations of the Company, enforceable against the Company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When the Warrant Shares shall have been duly registered on the books of the transfer agent and registrar therefor in the name of or on behalf of the holders thereof and have been issued by the Company against payment therefor (not less than par value) in the circumstances contemplated by the Secondary Warrants, the Warrant Shares will have been duly authorized by all necessary corporate action of the Company and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Placement Shares to be issued and sold by the Company have been duly authorized for issuance and, upon issuance, delivery and payment therefor in an amount not less than the par value thereof in the manner contemplated by the Sales Agreement Prospectus and by such corporate action, and in total amounts and numbers of shares that do not exceed the respective total amounts and numbers of shares (a) available under the Company’s certificate of incorporation, and (b) authorized by the board of directors in connection with the offering contemplated by the Sales Agreement Prospectus, such Placement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26, 2024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543050" cy="104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0"/>
                    <a:stretch>
                      <a:fillRect/>
                    </a:stretch>
                  </pic:blipFill>
                  <pic:spPr bwMode="auto">
                    <a:xfrm>
                      <a:off x="0" y="0"/>
                      <a:ext cx="1543050" cy="104775"/>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 (j) grants of setoff rights, (k) proxies, powers and trusts, (l) provisions prohibiting, restricting, or requiring consent to assignment or transfer of any right or property, (m)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(n) the severability, if invalid, of provisions to the foregoing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your consent, we have assumed (a) that the Secondary Warrants and the warrant agreement, dated September 21, 2021, between the Company and Continental Stock Transfer &amp; Trust Company, as warrant agent, relating to the Secondary Warrants, have been duly authorized, executed and delivered by the parties thereto other than the Company, (b) that the Secondary Warrants and the warrant agreement constitute or will constitute legally valid and binding obligations of the parties thereto other than the Company, enforceable against each of them in accordance with their respective terms and (c) that the status of the Secondary Warrants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4320" w:right="0" w:hanging="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both"/>
              <w:rPr/>
            </w:pPr>
            <w:r>
              <w:rPr/>
              <w:t>Sincerely,</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both"/>
              <w:rPr/>
            </w:pPr>
            <w:r>
              <w:rPr/>
              <w:t>/s/ Latham &amp; Watkins LLP</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20259701ex23-1_intuitive.htm"/>
      <w:bookmarkStart w:id="33" w:name="ksea020259701ex231_intuitive"/>
      <w:bookmarkEnd w:id="32"/>
      <w:bookmarkEnd w:id="3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March 25, 2024, with respect to the consolidated financial statements of Intuitive Machines, Inc. included in the Annual Report on Form 10-K for the year ended December 31, 2023, which is incorporated by reference in this Registration Statement. We consent to incorporation by reference of the aforementioned report in this Registration Statement, and to the use of our name as it appears under the caption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4" w:name="ea020259701ex-fee_intuitive.htm"/>
      <w:bookmarkStart w:id="35" w:name="ksea020259701exfee_intuitive"/>
      <w:bookmarkEnd w:id="34"/>
      <w:bookmarkEnd w:id="35"/>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INTUITIVE MACHINES,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spacing w:before="0" w:after="0"/>
        <w:ind w:left="0" w:right="0" w:hanging="0"/>
        <w:jc w:val="center"/>
        <w:rPr>
          <w:caps w:val="false"/>
          <w:smallCaps w:val="false"/>
        </w:rPr>
      </w:pPr>
      <w:r>
        <w:rPr>
          <w:caps w:val="false"/>
          <w:smallCaps w:val="false"/>
        </w:rPr>
        <w:t> </w:t>
      </w:r>
    </w:p>
    <w:tbl>
      <w:tblPr>
        <w:tblW w:w="11995" w:type="dxa"/>
        <w:jc w:val="left"/>
        <w:tblInd w:w="0" w:type="dxa"/>
        <w:tblLayout w:type="fixed"/>
        <w:tblCellMar>
          <w:top w:w="0" w:type="dxa"/>
          <w:left w:w="0" w:type="dxa"/>
          <w:bottom w:w="0" w:type="dxa"/>
          <w:right w:w="0" w:type="dxa"/>
        </w:tblCellMar>
      </w:tblPr>
      <w:tblGrid>
        <w:gridCol w:w="470"/>
        <w:gridCol w:w="60"/>
        <w:gridCol w:w="860"/>
        <w:gridCol w:w="60"/>
        <w:gridCol w:w="1715"/>
        <w:gridCol w:w="60"/>
        <w:gridCol w:w="138"/>
        <w:gridCol w:w="1052"/>
        <w:gridCol w:w="60"/>
        <w:gridCol w:w="60"/>
        <w:gridCol w:w="140"/>
        <w:gridCol w:w="1220"/>
        <w:gridCol w:w="185"/>
        <w:gridCol w:w="60"/>
        <w:gridCol w:w="258"/>
        <w:gridCol w:w="812"/>
        <w:gridCol w:w="185"/>
        <w:gridCol w:w="60"/>
        <w:gridCol w:w="140"/>
        <w:gridCol w:w="1520"/>
        <w:gridCol w:w="60"/>
        <w:gridCol w:w="60"/>
        <w:gridCol w:w="140"/>
        <w:gridCol w:w="1160"/>
        <w:gridCol w:w="60"/>
        <w:gridCol w:w="60"/>
        <w:gridCol w:w="158"/>
        <w:gridCol w:w="1107"/>
        <w:gridCol w:w="75"/>
      </w:tblGrid>
      <w:tr>
        <w:trPr/>
        <w:tc>
          <w:tcPr>
            <w:tcW w:w="4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center"/>
              <w:rPr>
                <w:b/>
              </w:rPr>
            </w:pPr>
            <w:r>
              <w:rPr>
                <w:b/>
              </w:rPr>
              <w:t>Security</w:t>
              <w:br/>
              <w:t>Type</w:t>
            </w:r>
          </w:p>
        </w:tc>
        <w:tc>
          <w:tcPr>
            <w:tcW w:w="60" w:type="dxa"/>
            <w:tcBorders/>
            <w:vAlign w:val="center"/>
          </w:tcPr>
          <w:p>
            <w:pPr>
              <w:pStyle w:val="TableContents"/>
              <w:bidi w:val="0"/>
              <w:spacing w:before="0" w:after="283"/>
              <w:jc w:val="left"/>
              <w:rPr/>
            </w:pPr>
            <w:r>
              <w:rPr/>
              <w:t> </w:t>
            </w:r>
          </w:p>
        </w:tc>
        <w:tc>
          <w:tcPr>
            <w:tcW w:w="1715" w:type="dxa"/>
            <w:tcBorders>
              <w:bottom w:val="single" w:sz="12" w:space="0" w:color="000000"/>
            </w:tcBorders>
            <w:tcMar>
              <w:bottom w:w="28" w:type="dxa"/>
            </w:tcMar>
            <w:vAlign w:val="center"/>
          </w:tcPr>
          <w:p>
            <w:pPr>
              <w:pStyle w:val="TableContents"/>
              <w:bidi w:val="0"/>
              <w:spacing w:before="0" w:after="283"/>
              <w:jc w:val="center"/>
              <w:rPr>
                <w:b/>
              </w:rPr>
            </w:pPr>
            <w:r>
              <w:rPr>
                <w:b/>
              </w:rPr>
              <w:t>Security Class Title</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w:t>
              <w:br/>
              <w:t>Calculation or Carry</w:t>
              <w:br/>
              <w:t>Forward</w:t>
              <w:br/>
              <w:t>Rule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br/>
              <w:t>Registered</w:t>
            </w:r>
            <w:r>
              <w:rPr>
                <w:b/>
                <w:position w:val="8"/>
                <w:sz w:val="19"/>
              </w:rPr>
              <w:t>(1)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Proposed</w:t>
              <w:br/>
              <w:t>Maximum</w:t>
              <w:br/>
              <w:t>Offering</w:t>
              <w:br/>
              <w:t>Price Per</w:t>
              <w:br/>
              <w:t>Unit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 Aggregate</w:t>
              <w:br/>
              <w:t>Offering</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w:t>
              <w:br/>
              <w:t>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w:t>
              <w:br/>
              <w:t>Registration Fee</w:t>
            </w:r>
          </w:p>
        </w:tc>
        <w:tc>
          <w:tcPr>
            <w:tcW w:w="75" w:type="dxa"/>
            <w:tcBorders/>
            <w:vAlign w:val="center"/>
          </w:tcPr>
          <w:p>
            <w:pPr>
              <w:pStyle w:val="TableContents"/>
              <w:bidi w:val="0"/>
              <w:spacing w:before="0" w:after="283"/>
              <w:ind w:left="0" w:right="0" w:hanging="180"/>
              <w:jc w:val="left"/>
              <w:rPr/>
            </w:pPr>
            <w:r>
              <w:rPr/>
              <w:t> </w:t>
            </w:r>
          </w:p>
        </w:tc>
      </w:tr>
      <w:tr>
        <w:trPr/>
        <w:tc>
          <w:tcPr>
            <w:tcW w:w="470" w:type="dxa"/>
            <w:tcBorders/>
            <w:shd w:fill="CCEEFF" w:val="clear"/>
            <w:vAlign w:val="center"/>
          </w:tcPr>
          <w:p>
            <w:pPr>
              <w:pStyle w:val="TableContents"/>
              <w:bidi w:val="0"/>
              <w:spacing w:before="0" w:after="283"/>
              <w:jc w:val="left"/>
              <w:rPr/>
            </w:pPr>
            <w:r>
              <w:rPr/>
              <w:t>Fees to Be Paid</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center"/>
              <w:rPr/>
            </w:pPr>
            <w:r>
              <w:rPr/>
              <w:t>Class A Common Stock, par value $0.0001 per share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center"/>
              <w:rPr/>
            </w:pPr>
            <w:r>
              <w:rPr/>
              <w:t>457(o)</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300,000,000</w:t>
            </w:r>
          </w:p>
        </w:tc>
        <w:tc>
          <w:tcPr>
            <w:tcW w:w="185" w:type="dxa"/>
            <w:tcBorders/>
            <w:shd w:fill="CCEEFF" w:val="clear"/>
            <w:vAlign w:val="center"/>
          </w:tcPr>
          <w:p>
            <w:pPr>
              <w:pStyle w:val="TableContents"/>
              <w:bidi w:val="0"/>
              <w:spacing w:before="0" w:after="283"/>
              <w:jc w:val="left"/>
              <w:rPr>
                <w:b/>
                <w:position w:val="8"/>
                <w:sz w:val="19"/>
              </w:rPr>
            </w:pPr>
            <w:r>
              <w:rPr>
                <w:b/>
                <w:position w:val="8"/>
                <w:sz w:val="19"/>
              </w:rPr>
              <w:t>(2)</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N/A</w:t>
            </w:r>
          </w:p>
        </w:tc>
        <w:tc>
          <w:tcPr>
            <w:tcW w:w="185" w:type="dxa"/>
            <w:tcBorders/>
            <w:shd w:fill="CCEEFF" w:val="clear"/>
            <w:vAlign w:val="center"/>
          </w:tcPr>
          <w:p>
            <w:pPr>
              <w:pStyle w:val="TableContents"/>
              <w:bidi w:val="0"/>
              <w:spacing w:before="0" w:after="283"/>
              <w:jc w:val="left"/>
              <w:rPr>
                <w:b/>
                <w:position w:val="8"/>
                <w:sz w:val="19"/>
              </w:rPr>
            </w:pPr>
            <w:r>
              <w:rPr>
                <w:b/>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0.00014760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44,280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0" w:type="dxa"/>
            <w:tcBorders/>
            <w:shd w:fill="FFFFFF" w:val="clear"/>
            <w:vAlign w:val="center"/>
          </w:tcPr>
          <w:p>
            <w:pPr>
              <w:pStyle w:val="TableContents"/>
              <w:bidi w:val="0"/>
              <w:spacing w:before="0" w:after="283"/>
              <w:jc w:val="left"/>
              <w:rPr/>
            </w:pPr>
            <w:r>
              <w:rPr/>
              <w:t>Fees to Be Paid</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Equity</w:t>
            </w:r>
          </w:p>
        </w:tc>
        <w:tc>
          <w:tcPr>
            <w:tcW w:w="60"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center"/>
              <w:rPr/>
            </w:pPr>
            <w:r>
              <w:rPr/>
              <w:t>Class A Common Stock, par value $0.0001 per share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center"/>
              <w:rPr/>
            </w:pPr>
            <w:r>
              <w:rPr/>
              <w:t>457(c)</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8,301,560</w:t>
            </w:r>
          </w:p>
        </w:tc>
        <w:tc>
          <w:tcPr>
            <w:tcW w:w="185" w:type="dxa"/>
            <w:tcBorders/>
            <w:shd w:fill="FFFFFF" w:val="clear"/>
            <w:vAlign w:val="center"/>
          </w:tcPr>
          <w:p>
            <w:pPr>
              <w:pStyle w:val="TableContents"/>
              <w:bidi w:val="0"/>
              <w:spacing w:before="0" w:after="283"/>
              <w:jc w:val="left"/>
              <w:rPr>
                <w:b/>
                <w:position w:val="8"/>
                <w:sz w:val="19"/>
              </w:rPr>
            </w:pPr>
            <w:r>
              <w:rPr>
                <w:b/>
                <w:position w:val="8"/>
                <w:sz w:val="19"/>
              </w:rPr>
              <w:t>(4)</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812" w:type="dxa"/>
            <w:tcBorders/>
            <w:shd w:fill="FFFFFF" w:val="clear"/>
            <w:vAlign w:val="center"/>
          </w:tcPr>
          <w:p>
            <w:pPr>
              <w:pStyle w:val="TableContents"/>
              <w:bidi w:val="0"/>
              <w:spacing w:before="0" w:after="283"/>
              <w:jc w:val="right"/>
              <w:rPr/>
            </w:pPr>
            <w:r>
              <w:rPr/>
              <w:t>5.64</w:t>
            </w:r>
          </w:p>
        </w:tc>
        <w:tc>
          <w:tcPr>
            <w:tcW w:w="185" w:type="dxa"/>
            <w:tcBorders/>
            <w:shd w:fill="FFFFFF" w:val="clear"/>
            <w:vAlign w:val="center"/>
          </w:tcPr>
          <w:p>
            <w:pPr>
              <w:pStyle w:val="TableContents"/>
              <w:bidi w:val="0"/>
              <w:spacing w:before="0" w:after="283"/>
              <w:jc w:val="left"/>
              <w:rPr>
                <w:b/>
                <w:position w:val="8"/>
                <w:sz w:val="19"/>
              </w:rPr>
            </w:pPr>
            <w:r>
              <w:rPr>
                <w:b/>
                <w:position w:val="8"/>
                <w:sz w:val="19"/>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46,820,798.40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r>
              <w:rPr/>
              <w:t>0.00014760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6,910.75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70" w:type="dxa"/>
            <w:tcBorders/>
            <w:shd w:fill="CCEEFF" w:val="clear"/>
            <w:vAlign w:val="center"/>
          </w:tcPr>
          <w:p>
            <w:pPr>
              <w:pStyle w:val="TableContents"/>
              <w:bidi w:val="0"/>
              <w:spacing w:before="0" w:after="283"/>
              <w:jc w:val="left"/>
              <w:rPr/>
            </w:pPr>
            <w:r>
              <w:rPr/>
              <w:t>Fees to Be Paid</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center"/>
              <w:rPr/>
            </w:pPr>
            <w:r>
              <w:rPr/>
              <w:t>Class A Common Stock, par value $0.0001 per share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center"/>
              <w:rPr/>
            </w:pPr>
            <w:r>
              <w:rPr/>
              <w:t>457(c)</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11,788,838</w:t>
            </w:r>
          </w:p>
        </w:tc>
        <w:tc>
          <w:tcPr>
            <w:tcW w:w="185" w:type="dxa"/>
            <w:tcBorders/>
            <w:shd w:fill="CCEEFF" w:val="clear"/>
            <w:vAlign w:val="center"/>
          </w:tcPr>
          <w:p>
            <w:pPr>
              <w:pStyle w:val="TableContents"/>
              <w:bidi w:val="0"/>
              <w:spacing w:before="0" w:after="283"/>
              <w:jc w:val="left"/>
              <w:rPr>
                <w:b/>
                <w:position w:val="8"/>
                <w:sz w:val="19"/>
              </w:rPr>
            </w:pPr>
            <w:r>
              <w:rPr>
                <w:b/>
                <w:position w:val="8"/>
                <w:sz w:val="19"/>
              </w:rPr>
              <w:t>(6)</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5.64</w:t>
            </w:r>
          </w:p>
        </w:tc>
        <w:tc>
          <w:tcPr>
            <w:tcW w:w="185" w:type="dxa"/>
            <w:tcBorders/>
            <w:shd w:fill="CCEEFF" w:val="clear"/>
            <w:vAlign w:val="center"/>
          </w:tcPr>
          <w:p>
            <w:pPr>
              <w:pStyle w:val="TableContents"/>
              <w:bidi w:val="0"/>
              <w:spacing w:before="0" w:after="283"/>
              <w:jc w:val="left"/>
              <w:rPr>
                <w:b/>
                <w:position w:val="8"/>
                <w:sz w:val="19"/>
              </w:rPr>
            </w:pPr>
            <w:r>
              <w:rPr>
                <w:b/>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66,489,046.32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0.00014760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9,813.79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0" w:type="dxa"/>
            <w:tcBorders/>
            <w:shd w:fill="FFFFFF" w:val="clear"/>
            <w:vAlign w:val="center"/>
          </w:tcPr>
          <w:p>
            <w:pPr>
              <w:pStyle w:val="TableContents"/>
              <w:bidi w:val="0"/>
              <w:spacing w:before="0" w:after="283"/>
              <w:jc w:val="left"/>
              <w:rPr/>
            </w:pPr>
            <w:r>
              <w:rPr/>
              <w:t>Fees to Be Paid</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Equity</w:t>
            </w:r>
          </w:p>
        </w:tc>
        <w:tc>
          <w:tcPr>
            <w:tcW w:w="60"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center"/>
              <w:rPr/>
            </w:pPr>
            <w:r>
              <w:rPr/>
              <w:t>Class A Common Stock, par value $0.0001 per share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center"/>
              <w:rPr/>
            </w:pPr>
            <w:r>
              <w:rPr/>
              <w:t>457(c)</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7,371,627</w:t>
            </w:r>
          </w:p>
        </w:tc>
        <w:tc>
          <w:tcPr>
            <w:tcW w:w="185" w:type="dxa"/>
            <w:tcBorders/>
            <w:shd w:fill="FFFFFF" w:val="clear"/>
            <w:vAlign w:val="center"/>
          </w:tcPr>
          <w:p>
            <w:pPr>
              <w:pStyle w:val="TableContents"/>
              <w:bidi w:val="0"/>
              <w:spacing w:before="0" w:after="283"/>
              <w:jc w:val="left"/>
              <w:rPr>
                <w:b/>
                <w:position w:val="8"/>
                <w:sz w:val="19"/>
              </w:rPr>
            </w:pPr>
            <w:r>
              <w:rPr>
                <w:b/>
                <w:position w:val="8"/>
                <w:sz w:val="19"/>
              </w:rPr>
              <w:t>(7)</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812" w:type="dxa"/>
            <w:tcBorders/>
            <w:shd w:fill="FFFFFF" w:val="clear"/>
            <w:vAlign w:val="center"/>
          </w:tcPr>
          <w:p>
            <w:pPr>
              <w:pStyle w:val="TableContents"/>
              <w:bidi w:val="0"/>
              <w:spacing w:before="0" w:after="283"/>
              <w:jc w:val="right"/>
              <w:rPr/>
            </w:pPr>
            <w:r>
              <w:rPr/>
              <w:t>5.64</w:t>
            </w:r>
          </w:p>
        </w:tc>
        <w:tc>
          <w:tcPr>
            <w:tcW w:w="185" w:type="dxa"/>
            <w:tcBorders/>
            <w:shd w:fill="FFFFFF" w:val="clear"/>
            <w:vAlign w:val="center"/>
          </w:tcPr>
          <w:p>
            <w:pPr>
              <w:pStyle w:val="TableContents"/>
              <w:bidi w:val="0"/>
              <w:spacing w:before="0" w:after="283"/>
              <w:jc w:val="left"/>
              <w:rPr>
                <w:b/>
                <w:position w:val="8"/>
                <w:sz w:val="19"/>
              </w:rPr>
            </w:pPr>
            <w:r>
              <w:rPr>
                <w:b/>
                <w:position w:val="8"/>
                <w:sz w:val="19"/>
              </w:rPr>
              <w:t>(5)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single" w:sz="12" w:space="0" w:color="000000"/>
            </w:tcBorders>
            <w:shd w:fill="FFFFFF" w:val="clear"/>
            <w:tcMar>
              <w:bottom w:w="28" w:type="dxa"/>
            </w:tcMar>
            <w:vAlign w:val="center"/>
          </w:tcPr>
          <w:p>
            <w:pPr>
              <w:pStyle w:val="TableContents"/>
              <w:bidi w:val="0"/>
              <w:spacing w:before="0" w:after="283"/>
              <w:jc w:val="right"/>
              <w:rPr/>
            </w:pPr>
            <w:r>
              <w:rPr/>
              <w:t>41,575,976.28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r>
              <w:rPr/>
              <w:t>0.00014760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6,136.62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5" w:type="dxa"/>
            <w:gridSpan w:val="15"/>
            <w:tcBorders/>
            <w:shd w:fill="CCEEFF" w:val="clear"/>
            <w:vAlign w:val="center"/>
          </w:tcPr>
          <w:p>
            <w:pPr>
              <w:pStyle w:val="TableContents"/>
              <w:bidi w:val="0"/>
              <w:spacing w:before="0" w:after="283"/>
              <w:jc w:val="center"/>
              <w:rPr/>
            </w:pPr>
            <w:r>
              <w:rPr/>
              <w:t>Total Offering Amounts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single" w:sz="12" w:space="0" w:color="000000"/>
            </w:tcBorders>
            <w:shd w:fill="CCEEFF" w:val="clear"/>
            <w:tcMar>
              <w:bottom w:w="28" w:type="dxa"/>
            </w:tcMar>
            <w:vAlign w:val="center"/>
          </w:tcPr>
          <w:p>
            <w:pPr>
              <w:pStyle w:val="TableContents"/>
              <w:bidi w:val="0"/>
              <w:spacing w:before="0" w:after="283"/>
              <w:jc w:val="right"/>
              <w:rPr/>
            </w:pPr>
            <w:r>
              <w:rPr/>
              <w:t>450,766,517.25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5" w:type="dxa"/>
            <w:gridSpan w:val="15"/>
            <w:tcBorders/>
            <w:shd w:fill="FFFFFF" w:val="clear"/>
            <w:vAlign w:val="center"/>
          </w:tcPr>
          <w:p>
            <w:pPr>
              <w:pStyle w:val="TableContents"/>
              <w:bidi w:val="0"/>
              <w:spacing w:before="0" w:after="283"/>
              <w:jc w:val="center"/>
              <w:rPr/>
            </w:pPr>
            <w:r>
              <w:rPr/>
              <w:t>Total Fees Previously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5" w:type="dxa"/>
            <w:gridSpan w:val="15"/>
            <w:tcBorders/>
            <w:shd w:fill="CCEEFF" w:val="clear"/>
            <w:vAlign w:val="center"/>
          </w:tcPr>
          <w:p>
            <w:pPr>
              <w:pStyle w:val="TableContents"/>
              <w:bidi w:val="0"/>
              <w:spacing w:before="0" w:after="283"/>
              <w:jc w:val="center"/>
              <w:rPr/>
            </w:pPr>
            <w:r>
              <w:rPr/>
              <w:t>Total Fee Offsets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5" w:type="dxa"/>
            <w:gridSpan w:val="15"/>
            <w:tcBorders/>
            <w:shd w:fill="FFFFFF" w:val="clear"/>
            <w:vAlign w:val="center"/>
          </w:tcPr>
          <w:p>
            <w:pPr>
              <w:pStyle w:val="TableContents"/>
              <w:bidi w:val="0"/>
              <w:spacing w:before="0" w:after="283"/>
              <w:jc w:val="center"/>
              <w:rPr/>
            </w:pPr>
            <w:r>
              <w:rPr/>
              <w:t>Net Fee Due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7" w:type="dxa"/>
            <w:tcBorders>
              <w:bottom w:val="double" w:sz="10" w:space="0" w:color="000000"/>
            </w:tcBorders>
            <w:shd w:fill="FFFFFF" w:val="clear"/>
            <w:tcMar>
              <w:bottom w:w="28" w:type="dxa"/>
            </w:tcMar>
            <w:vAlign w:val="center"/>
          </w:tcPr>
          <w:p>
            <w:pPr>
              <w:pStyle w:val="TableContents"/>
              <w:bidi w:val="0"/>
              <w:spacing w:before="0" w:after="283"/>
              <w:jc w:val="right"/>
              <w:rPr/>
            </w:pPr>
            <w:r>
              <w:rPr/>
              <w:t>67,141.16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Rule 416 under the Securities Act of 1933, as amended (the “Securities Act”), Intuitive Machines, Inc. (the “Registrant”) is registering an indeterminate number of additional shares of Class A common stock, par value $0.0001 per share (“Class A Common Stock”), that may become issuable as a result of any stock dividend, stock split, recapitalization or other similar transaction.</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being registered hereunder an indeterminate number of shares of Class A Common Stock as may be sold from time to time by the Registrant. Any shares of Class A Common Stock registered hereunder may be sold separately.  In no event will the aggregate offering price of the shares of Class A Common Stock issued by the Registrant pursuant to this registration statement exceed $300,000,000.</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proposed maximum offering price per share will be determined from time to time by the Registrant in connection with the issuance by the Registrant of the shares of Class A Common Stock registered hereunder and is not specified as to such securities pursuant to General Instruction II.D. of Form S-3 under the Securities Act.</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sum of the shares of the Class A Common Stock issuable upon the exercise of (1) that certain Series A Common Stock Purchase Warrant (the “Conversion Series A Warrant”), which entitles the holder thereof to purchase up to an aggregate of 4,150,780 shares of, at the holder’s election, Class A Common Stock (at an exercise price per share equal to $2.57 per share), Class C common stock, par value $0.0001 per share (“Class C Common Stock”) (at an exercise price per share equal to $0.0001 per share) or a combination thereof, and (2) that certain Series B Common Stock Purchase Warrant (the “Conversion Series B Warrant” and, together with the Conversion Series B Warrant, the “Conversion Warrants”), which entitles the holder thereof to purchase up to an aggregate of 4,150,780 shares of, at the holder’s election, Class A Common Stock (at an exercise price per share equal to $2.57 per share), Class C Common Stock (at an exercise price per share equal to $0.0001 per share) or a combination thereof.</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 solely for the purpose of calculating as the registration fee pursuant to Rule 457(c) promulgated under Securities Act based on the average of the high and low sales prices of shares of the Registrant’s Class A Common Stock on The Nasdaq Stock Market LLC on March 20, 2024 (such date being within five business days prior to the date that this registration statement was filed with the U.S. Securities and Exchange Commission) and rounded up to the nearest cent.</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sum of (a) 3,487,278 shares of Class A Common Stock issued to Ghaffarian Enterprises, LLC (an affiliate of Dr. Kamal Ghaffarian) (“Ghaffarian Enterprises”) and (b) up to 8,301,560 shares of Class A Common Stock issuable upon the exercise of the Conversion Warrants.</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(i) up to 7,206,772 shares of Class A Common Stock issuable upon the conversion of 26,000 shares of Series A Preferred Stock (as defined in the prospectus) originally issued to the Series A Investors (as defined in the prospectus) and (ii) up to 164,855 shares of Class A Common Stock issuable upon the exercise of the Preferred Investor Warrants (as defined in the prospectus).</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3: Combined Prospectuses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5"/>
        <w:gridCol w:w="60"/>
        <w:gridCol w:w="2545"/>
        <w:gridCol w:w="60"/>
        <w:gridCol w:w="70"/>
        <w:gridCol w:w="1296"/>
        <w:gridCol w:w="297"/>
        <w:gridCol w:w="60"/>
        <w:gridCol w:w="147"/>
        <w:gridCol w:w="1606"/>
        <w:gridCol w:w="327"/>
        <w:gridCol w:w="60"/>
        <w:gridCol w:w="667"/>
        <w:gridCol w:w="60"/>
        <w:gridCol w:w="932"/>
        <w:gridCol w:w="60"/>
        <w:gridCol w:w="1083"/>
      </w:tblGrid>
      <w:tr>
        <w:trPr/>
        <w:tc>
          <w:tcPr>
            <w:tcW w:w="875" w:type="dxa"/>
            <w:tcBorders>
              <w:bottom w:val="single" w:sz="12" w:space="0" w:color="000000"/>
            </w:tcBorders>
            <w:vAlign w:val="center"/>
          </w:tcPr>
          <w:p>
            <w:pPr>
              <w:pStyle w:val="TableContents"/>
              <w:bidi w:val="0"/>
              <w:spacing w:before="0" w:after="283"/>
              <w:jc w:val="left"/>
              <w:rPr>
                <w:b/>
              </w:rPr>
            </w:pPr>
            <w:r>
              <w:rPr>
                <w:b/>
              </w:rPr>
              <w:t>Security</w:t>
              <w:br/>
              <w:t>Type</w:t>
            </w:r>
          </w:p>
        </w:tc>
        <w:tc>
          <w:tcPr>
            <w:tcW w:w="60" w:type="dxa"/>
            <w:tcBorders/>
            <w:tcMar>
              <w:bottom w:w="0" w:type="dxa"/>
            </w:tcMar>
            <w:vAlign w:val="center"/>
          </w:tcPr>
          <w:p>
            <w:pPr>
              <w:pStyle w:val="TableContents"/>
              <w:bidi w:val="0"/>
              <w:spacing w:before="0" w:after="283"/>
              <w:jc w:val="center"/>
              <w:rPr/>
            </w:pPr>
            <w:r>
              <w:rPr/>
              <w:t> </w:t>
            </w:r>
          </w:p>
        </w:tc>
        <w:tc>
          <w:tcPr>
            <w:tcW w:w="2545" w:type="dxa"/>
            <w:tcBorders>
              <w:bottom w:val="single" w:sz="12" w:space="0" w:color="000000"/>
            </w:tcBorders>
            <w:vAlign w:val="center"/>
          </w:tcPr>
          <w:p>
            <w:pPr>
              <w:pStyle w:val="TableContents"/>
              <w:bidi w:val="0"/>
              <w:spacing w:before="0" w:after="283"/>
              <w:jc w:val="center"/>
              <w:rPr>
                <w:b/>
              </w:rPr>
            </w:pPr>
            <w:r>
              <w:rPr>
                <w:b/>
              </w:rPr>
              <w:t>Security</w:t>
              <w:br/>
              <w:t>Class Title</w:t>
            </w:r>
          </w:p>
        </w:tc>
        <w:tc>
          <w:tcPr>
            <w:tcW w:w="60" w:type="dxa"/>
            <w:tcBorders/>
            <w:tcMar>
              <w:bottom w:w="0" w:type="dxa"/>
            </w:tcMar>
            <w:vAlign w:val="center"/>
          </w:tcPr>
          <w:p>
            <w:pPr>
              <w:pStyle w:val="TableContents"/>
              <w:bidi w:val="0"/>
              <w:spacing w:before="0" w:after="283"/>
              <w:jc w:val="center"/>
              <w:rPr/>
            </w:pPr>
            <w:r>
              <w:rPr/>
              <w:t> </w:t>
            </w:r>
          </w:p>
        </w:tc>
        <w:tc>
          <w:tcPr>
            <w:tcW w:w="136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Securities Previously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w:t>
            </w:r>
            <w:r>
              <w:rPr>
                <w:rFonts w:ascii="Times New Roman;Times;Serif" w:hAnsi="Times New Roman;Times;Serif"/>
                <w:b/>
                <w:i w:val="false"/>
                <w:caps w:val="false"/>
                <w:smallCaps w:val="false"/>
                <w:position w:val="7"/>
                <w:sz w:val="16"/>
                <w:sz w:val="20"/>
              </w:rPr>
              <w:t>(1)</w:t>
            </w:r>
          </w:p>
        </w:tc>
        <w:tc>
          <w:tcPr>
            <w:tcW w:w="29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53"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Aggregate Offering Price of</w:t>
              <w:br/>
              <w:t>Securities Previously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w:t>
            </w:r>
          </w:p>
        </w:tc>
        <w:tc>
          <w:tcPr>
            <w:tcW w:w="32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7" w:type="dxa"/>
            <w:tcBorders>
              <w:bottom w:val="single" w:sz="12" w:space="0" w:color="000000"/>
            </w:tcBorders>
            <w:vAlign w:val="center"/>
          </w:tcPr>
          <w:p>
            <w:pPr>
              <w:pStyle w:val="TableContents"/>
              <w:bidi w:val="0"/>
              <w:spacing w:before="0" w:after="283"/>
              <w:jc w:val="center"/>
              <w:rPr>
                <w:b/>
              </w:rPr>
            </w:pPr>
            <w:r>
              <w:rPr>
                <w:b/>
              </w:rPr>
              <w:t>Form Type</w:t>
            </w:r>
          </w:p>
        </w:tc>
        <w:tc>
          <w:tcPr>
            <w:tcW w:w="60" w:type="dxa"/>
            <w:tcBorders/>
            <w:tcMar>
              <w:bottom w:w="0" w:type="dxa"/>
            </w:tcMar>
            <w:vAlign w:val="center"/>
          </w:tcPr>
          <w:p>
            <w:pPr>
              <w:pStyle w:val="TableContents"/>
              <w:bidi w:val="0"/>
              <w:spacing w:before="0" w:after="283"/>
              <w:jc w:val="center"/>
              <w:rPr/>
            </w:pPr>
            <w:r>
              <w:rPr/>
              <w:t> </w:t>
            </w:r>
          </w:p>
        </w:tc>
        <w:tc>
          <w:tcPr>
            <w:tcW w:w="932" w:type="dxa"/>
            <w:tcBorders>
              <w:bottom w:val="single" w:sz="12" w:space="0" w:color="000000"/>
            </w:tcBorders>
            <w:vAlign w:val="center"/>
          </w:tcPr>
          <w:p>
            <w:pPr>
              <w:pStyle w:val="TableContents"/>
              <w:bidi w:val="0"/>
              <w:spacing w:before="0" w:after="283"/>
              <w:jc w:val="center"/>
              <w:rPr>
                <w:b/>
              </w:rPr>
            </w:pPr>
            <w:r>
              <w:rPr>
                <w:b/>
              </w:rPr>
              <w:t>File Number</w:t>
            </w:r>
          </w:p>
        </w:tc>
        <w:tc>
          <w:tcPr>
            <w:tcW w:w="60" w:type="dxa"/>
            <w:tcBorders/>
            <w:tcMar>
              <w:bottom w:w="0" w:type="dxa"/>
            </w:tcMar>
            <w:vAlign w:val="center"/>
          </w:tcPr>
          <w:p>
            <w:pPr>
              <w:pStyle w:val="TableContents"/>
              <w:bidi w:val="0"/>
              <w:spacing w:before="0" w:after="283"/>
              <w:jc w:val="center"/>
              <w:rPr/>
            </w:pPr>
            <w:r>
              <w:rPr/>
              <w:t> </w:t>
            </w:r>
          </w:p>
        </w:tc>
        <w:tc>
          <w:tcPr>
            <w:tcW w:w="1083" w:type="dxa"/>
            <w:tcBorders>
              <w:bottom w:val="single" w:sz="12" w:space="0" w:color="000000"/>
            </w:tcBorders>
            <w:vAlign w:val="center"/>
          </w:tcPr>
          <w:p>
            <w:pPr>
              <w:pStyle w:val="TableContents"/>
              <w:bidi w:val="0"/>
              <w:spacing w:before="0" w:after="283"/>
              <w:jc w:val="center"/>
              <w:rPr>
                <w:b/>
              </w:rPr>
            </w:pPr>
            <w:r>
              <w:rPr>
                <w:b/>
              </w:rPr>
              <w:t>Initial Effective Date</w:t>
            </w:r>
          </w:p>
        </w:tc>
      </w:tr>
      <w:tr>
        <w:trPr/>
        <w:tc>
          <w:tcPr>
            <w:tcW w:w="875"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5" w:type="dxa"/>
            <w:tcBorders/>
            <w:shd w:fill="CCEEFF" w:val="clear"/>
            <w:tcMar>
              <w:bottom w:w="0" w:type="dxa"/>
            </w:tcMar>
            <w:vAlign w:val="center"/>
          </w:tcPr>
          <w:p>
            <w:pPr>
              <w:pStyle w:val="TableContents"/>
              <w:bidi w:val="0"/>
              <w:spacing w:before="0" w:after="283"/>
              <w:jc w:val="left"/>
              <w:rPr/>
            </w:pPr>
            <w:r>
              <w:rPr/>
              <w:t>Class A 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296" w:type="dxa"/>
            <w:tcBorders/>
            <w:shd w:fill="CCEEFF" w:val="clear"/>
            <w:tcMar>
              <w:bottom w:w="0" w:type="dxa"/>
            </w:tcMar>
            <w:vAlign w:val="center"/>
          </w:tcPr>
          <w:p>
            <w:pPr>
              <w:pStyle w:val="TableContents"/>
              <w:bidi w:val="0"/>
              <w:spacing w:before="0" w:after="283"/>
              <w:jc w:val="right"/>
              <w:rPr/>
            </w:pPr>
            <w:r>
              <w:rPr/>
              <w:t>95,187,767</w:t>
            </w:r>
          </w:p>
        </w:tc>
        <w:tc>
          <w:tcPr>
            <w:tcW w:w="297"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606" w:type="dxa"/>
            <w:tcBorders/>
            <w:shd w:fill="CCEEFF" w:val="clear"/>
            <w:tcMar>
              <w:bottom w:w="0" w:type="dxa"/>
            </w:tcMar>
            <w:vAlign w:val="center"/>
          </w:tcPr>
          <w:p>
            <w:pPr>
              <w:pStyle w:val="TableContents"/>
              <w:bidi w:val="0"/>
              <w:spacing w:before="0" w:after="283"/>
              <w:jc w:val="right"/>
              <w:rPr/>
            </w:pPr>
            <w:r>
              <w:rPr/>
              <w:t>910,470,991.36</w:t>
            </w:r>
          </w:p>
        </w:tc>
        <w:tc>
          <w:tcPr>
            <w:tcW w:w="327"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7" w:type="dxa"/>
            <w:tcBorders/>
            <w:shd w:fill="CCEEFF" w:val="clear"/>
            <w:tcMar>
              <w:bottom w:w="0" w:type="dxa"/>
            </w:tcMar>
            <w:vAlign w:val="center"/>
          </w:tcPr>
          <w:p>
            <w:pPr>
              <w:pStyle w:val="TableContents"/>
              <w:bidi w:val="0"/>
              <w:spacing w:before="0" w:after="283"/>
              <w:jc w:val="center"/>
              <w:rPr/>
            </w:pPr>
            <w:r>
              <w:rPr/>
              <w: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center"/>
              <w:rPr/>
            </w:pPr>
            <w:r>
              <w:rPr/>
              <w:t>333-271014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283"/>
              <w:jc w:val="center"/>
              <w:rPr/>
            </w:pPr>
            <w:r>
              <w:rPr/>
              <w:t>7/3/23</w:t>
            </w:r>
          </w:p>
        </w:tc>
      </w:tr>
      <w:tr>
        <w:trPr/>
        <w:tc>
          <w:tcPr>
            <w:tcW w:w="875" w:type="dxa"/>
            <w:tcBorders/>
            <w:shd w:fill="FFFFFF" w:val="clear"/>
            <w:tcMar>
              <w:bottom w:w="0" w:type="dxa"/>
            </w:tcMar>
            <w:vAlign w:val="center"/>
          </w:tcPr>
          <w:p>
            <w:pPr>
              <w:pStyle w:val="TableContents"/>
              <w:bidi w:val="0"/>
              <w:spacing w:before="0" w:after="283"/>
              <w:jc w:val="left"/>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5" w:type="dxa"/>
            <w:tcBorders/>
            <w:shd w:fill="FFFFFF" w:val="clear"/>
            <w:tcMar>
              <w:bottom w:w="0" w:type="dxa"/>
            </w:tcMar>
            <w:vAlign w:val="center"/>
          </w:tcPr>
          <w:p>
            <w:pPr>
              <w:pStyle w:val="TableContents"/>
              <w:bidi w:val="0"/>
              <w:spacing w:before="0" w:after="283"/>
              <w:jc w:val="left"/>
              <w:rPr/>
            </w:pPr>
            <w:r>
              <w:rPr/>
              <w:t>Warrants to purchase shares of Class A Common Stock, par value $0.0001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296" w:type="dxa"/>
            <w:tcBorders/>
            <w:shd w:fill="FFFFFF" w:val="clear"/>
            <w:tcMar>
              <w:bottom w:w="0" w:type="dxa"/>
            </w:tcMar>
            <w:vAlign w:val="center"/>
          </w:tcPr>
          <w:p>
            <w:pPr>
              <w:pStyle w:val="TableContents"/>
              <w:bidi w:val="0"/>
              <w:spacing w:before="0" w:after="283"/>
              <w:jc w:val="right"/>
              <w:rPr/>
            </w:pPr>
            <w:r>
              <w:rPr/>
              <w:t>8,295,000</w:t>
            </w:r>
          </w:p>
        </w:tc>
        <w:tc>
          <w:tcPr>
            <w:tcW w:w="2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w:t>
            </w:r>
          </w:p>
        </w:tc>
        <w:tc>
          <w:tcPr>
            <w:tcW w:w="1606" w:type="dxa"/>
            <w:tcBorders/>
            <w:shd w:fill="FFFFFF" w:val="clear"/>
            <w:tcMar>
              <w:bottom w:w="0" w:type="dxa"/>
            </w:tcMar>
            <w:vAlign w:val="center"/>
          </w:tcPr>
          <w:p>
            <w:pPr>
              <w:pStyle w:val="TableContents"/>
              <w:bidi w:val="0"/>
              <w:spacing w:before="0" w:after="283"/>
              <w:jc w:val="right"/>
              <w:rPr/>
            </w:pPr>
            <w:r>
              <w:rPr/>
              <w:t>5,495,437.50</w:t>
            </w:r>
          </w:p>
        </w:tc>
        <w:tc>
          <w:tcPr>
            <w:tcW w:w="327" w:type="dxa"/>
            <w:tcBorders/>
            <w:shd w:fill="FFFFFF" w:val="clear"/>
            <w:tcMar>
              <w:bottom w:w="0" w:type="dxa"/>
            </w:tcMar>
            <w:vAlign w:val="center"/>
          </w:tcPr>
          <w:p>
            <w:pPr>
              <w:pStyle w:val="TableContents"/>
              <w:bidi w:val="0"/>
              <w:spacing w:before="0" w:after="283"/>
              <w:jc w:val="left"/>
              <w:rPr>
                <w:b/>
                <w:position w:val="8"/>
                <w:sz w:val="19"/>
              </w:rPr>
            </w:pPr>
            <w:r>
              <w:rPr>
                <w:b/>
                <w:position w:val="8"/>
                <w:sz w:val="19"/>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7" w:type="dxa"/>
            <w:tcBorders/>
            <w:shd w:fill="FFFFFF" w:val="clear"/>
            <w:tcMar>
              <w:bottom w:w="0" w:type="dxa"/>
            </w:tcMar>
            <w:vAlign w:val="center"/>
          </w:tcPr>
          <w:p>
            <w:pPr>
              <w:pStyle w:val="TableContents"/>
              <w:bidi w:val="0"/>
              <w:spacing w:before="0" w:after="283"/>
              <w:jc w:val="center"/>
              <w:rPr/>
            </w:pPr>
            <w:r>
              <w:rPr/>
              <w:t>S-1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2" w:type="dxa"/>
            <w:tcBorders/>
            <w:shd w:fill="FFFFFF" w:val="clear"/>
            <w:tcMar>
              <w:bottom w:w="0" w:type="dxa"/>
            </w:tcMar>
            <w:vAlign w:val="center"/>
          </w:tcPr>
          <w:p>
            <w:pPr>
              <w:pStyle w:val="TableContents"/>
              <w:bidi w:val="0"/>
              <w:spacing w:before="0" w:after="283"/>
              <w:jc w:val="center"/>
              <w:rPr/>
            </w:pPr>
            <w:r>
              <w:rPr/>
              <w:t>333-271014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3" w:type="dxa"/>
            <w:tcBorders/>
            <w:shd w:fill="FFFFFF" w:val="clear"/>
            <w:tcMar>
              <w:bottom w:w="0" w:type="dxa"/>
            </w:tcMar>
            <w:vAlign w:val="center"/>
          </w:tcPr>
          <w:p>
            <w:pPr>
              <w:pStyle w:val="TableContents"/>
              <w:bidi w:val="0"/>
              <w:spacing w:before="0" w:after="283"/>
              <w:jc w:val="center"/>
              <w:rPr/>
            </w:pPr>
            <w:r>
              <w:rPr/>
              <w:t>7/3/23</w:t>
            </w:r>
          </w:p>
        </w:tc>
      </w:tr>
      <w:tr>
        <w:trPr/>
        <w:tc>
          <w:tcPr>
            <w:tcW w:w="875"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5" w:type="dxa"/>
            <w:tcBorders/>
            <w:shd w:fill="CCEEFF" w:val="clear"/>
            <w:tcMar>
              <w:bottom w:w="0" w:type="dxa"/>
            </w:tcMar>
            <w:vAlign w:val="center"/>
          </w:tcPr>
          <w:p>
            <w:pPr>
              <w:pStyle w:val="TableContents"/>
              <w:bidi w:val="0"/>
              <w:spacing w:before="0" w:after="283"/>
              <w:jc w:val="left"/>
              <w:rPr/>
            </w:pPr>
            <w:r>
              <w:rPr/>
              <w:t>Class A 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296" w:type="dxa"/>
            <w:tcBorders/>
            <w:shd w:fill="CCEEFF" w:val="clear"/>
            <w:tcMar>
              <w:bottom w:w="0" w:type="dxa"/>
            </w:tcMar>
            <w:vAlign w:val="center"/>
          </w:tcPr>
          <w:p>
            <w:pPr>
              <w:pStyle w:val="TableContents"/>
              <w:bidi w:val="0"/>
              <w:spacing w:before="0" w:after="283"/>
              <w:jc w:val="right"/>
              <w:rPr/>
            </w:pPr>
            <w:r>
              <w:rPr/>
              <w:t>21,930,384</w:t>
            </w:r>
          </w:p>
        </w:tc>
        <w:tc>
          <w:tcPr>
            <w:tcW w:w="297"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606" w:type="dxa"/>
            <w:tcBorders/>
            <w:shd w:fill="CCEEFF" w:val="clear"/>
            <w:tcMar>
              <w:bottom w:w="0" w:type="dxa"/>
            </w:tcMar>
            <w:vAlign w:val="center"/>
          </w:tcPr>
          <w:p>
            <w:pPr>
              <w:pStyle w:val="TableContents"/>
              <w:bidi w:val="0"/>
              <w:spacing w:before="0" w:after="283"/>
              <w:jc w:val="right"/>
              <w:rPr/>
            </w:pPr>
            <w:r>
              <w:rPr/>
              <w:t>252,199,416.00</w:t>
            </w:r>
          </w:p>
        </w:tc>
        <w:tc>
          <w:tcPr>
            <w:tcW w:w="327"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7" w:type="dxa"/>
            <w:tcBorders/>
            <w:shd w:fill="CCEEFF" w:val="clear"/>
            <w:tcMar>
              <w:bottom w:w="0" w:type="dxa"/>
            </w:tcMar>
            <w:vAlign w:val="center"/>
          </w:tcPr>
          <w:p>
            <w:pPr>
              <w:pStyle w:val="TableContents"/>
              <w:bidi w:val="0"/>
              <w:spacing w:before="0" w:after="283"/>
              <w:jc w:val="center"/>
              <w:rPr/>
            </w:pPr>
            <w:r>
              <w:rPr/>
              <w: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center"/>
              <w:rPr/>
            </w:pPr>
            <w:r>
              <w:rPr/>
              <w:t>333-271014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283"/>
              <w:jc w:val="center"/>
              <w:rPr/>
            </w:pPr>
            <w:r>
              <w:rPr/>
              <w:t>7/3/23</w:t>
            </w:r>
          </w:p>
        </w:tc>
      </w:tr>
      <w:tr>
        <w:trPr/>
        <w:tc>
          <w:tcPr>
            <w:tcW w:w="875" w:type="dxa"/>
            <w:tcBorders/>
            <w:shd w:fill="FFFFFF" w:val="clear"/>
            <w:tcMar>
              <w:bottom w:w="0" w:type="dxa"/>
            </w:tcMar>
            <w:vAlign w:val="center"/>
          </w:tcPr>
          <w:p>
            <w:pPr>
              <w:pStyle w:val="TableContents"/>
              <w:bidi w:val="0"/>
              <w:spacing w:before="0" w:after="283"/>
              <w:jc w:val="left"/>
              <w:rPr/>
            </w:pPr>
            <w:r>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5" w:type="dxa"/>
            <w:tcBorders/>
            <w:shd w:fill="FFFFFF" w:val="clear"/>
            <w:tcMar>
              <w:bottom w:w="0" w:type="dxa"/>
            </w:tcMar>
            <w:vAlign w:val="center"/>
          </w:tcPr>
          <w:p>
            <w:pPr>
              <w:pStyle w:val="TableContents"/>
              <w:bidi w:val="0"/>
              <w:spacing w:before="0" w:after="283"/>
              <w:jc w:val="left"/>
              <w:rPr/>
            </w:pPr>
            <w:r>
              <w:rPr/>
              <w:t>Class A Common Stock, par value $0.0001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296" w:type="dxa"/>
            <w:tcBorders/>
            <w:shd w:fill="FFFFFF" w:val="clear"/>
            <w:tcMar>
              <w:bottom w:w="0" w:type="dxa"/>
            </w:tcMar>
            <w:vAlign w:val="center"/>
          </w:tcPr>
          <w:p>
            <w:pPr>
              <w:pStyle w:val="TableContents"/>
              <w:bidi w:val="0"/>
              <w:spacing w:before="0" w:after="283"/>
              <w:jc w:val="right"/>
              <w:rPr/>
            </w:pPr>
            <w:r>
              <w:rPr/>
              <w:t>9,411,766</w:t>
            </w:r>
          </w:p>
        </w:tc>
        <w:tc>
          <w:tcPr>
            <w:tcW w:w="297" w:type="dxa"/>
            <w:tcBorders/>
            <w:shd w:fill="FFFFFF" w:val="clear"/>
            <w:tcMar>
              <w:bottom w:w="0" w:type="dxa"/>
            </w:tcMar>
            <w:vAlign w:val="center"/>
          </w:tcPr>
          <w:p>
            <w:pPr>
              <w:pStyle w:val="TableContents"/>
              <w:bidi w:val="0"/>
              <w:spacing w:before="0" w:after="283"/>
              <w:jc w:val="left"/>
              <w:rPr>
                <w:b/>
                <w:position w:val="8"/>
                <w:sz w:val="19"/>
              </w:rPr>
            </w:pPr>
            <w:r>
              <w:rPr>
                <w:b/>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w:t>
            </w:r>
          </w:p>
        </w:tc>
        <w:tc>
          <w:tcPr>
            <w:tcW w:w="1606" w:type="dxa"/>
            <w:tcBorders/>
            <w:shd w:fill="FFFFFF" w:val="clear"/>
            <w:tcMar>
              <w:bottom w:w="0" w:type="dxa"/>
            </w:tcMar>
            <w:vAlign w:val="center"/>
          </w:tcPr>
          <w:p>
            <w:pPr>
              <w:pStyle w:val="TableContents"/>
              <w:bidi w:val="0"/>
              <w:spacing w:before="0" w:after="283"/>
              <w:jc w:val="right"/>
              <w:rPr/>
            </w:pPr>
            <w:r>
              <w:rPr/>
              <w:t>39,435,299.54</w:t>
            </w:r>
          </w:p>
        </w:tc>
        <w:tc>
          <w:tcPr>
            <w:tcW w:w="327" w:type="dxa"/>
            <w:tcBorders/>
            <w:shd w:fill="FFFFFF" w:val="clear"/>
            <w:tcMar>
              <w:bottom w:w="0" w:type="dxa"/>
            </w:tcMar>
            <w:vAlign w:val="center"/>
          </w:tcPr>
          <w:p>
            <w:pPr>
              <w:pStyle w:val="TableContents"/>
              <w:bidi w:val="0"/>
              <w:spacing w:before="0" w:after="283"/>
              <w:jc w:val="left"/>
              <w:rPr>
                <w:b/>
                <w:position w:val="8"/>
                <w:sz w:val="19"/>
              </w:rPr>
            </w:pPr>
            <w:r>
              <w:rPr>
                <w:b/>
                <w:position w:val="8"/>
                <w:sz w:val="19"/>
              </w:rPr>
              <w:t>(6)(13)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7" w:type="dxa"/>
            <w:tcBorders/>
            <w:shd w:fill="FFFFFF" w:val="clear"/>
            <w:tcMar>
              <w:bottom w:w="0" w:type="dxa"/>
            </w:tcMar>
            <w:vAlign w:val="center"/>
          </w:tcPr>
          <w:p>
            <w:pPr>
              <w:pStyle w:val="TableContents"/>
              <w:bidi w:val="0"/>
              <w:spacing w:before="0" w:after="283"/>
              <w:jc w:val="center"/>
              <w:rPr/>
            </w:pPr>
            <w:r>
              <w:rPr/>
              <w:t>S-1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2" w:type="dxa"/>
            <w:tcBorders/>
            <w:shd w:fill="FFFFFF" w:val="clear"/>
            <w:tcMar>
              <w:bottom w:w="0" w:type="dxa"/>
            </w:tcMar>
            <w:vAlign w:val="center"/>
          </w:tcPr>
          <w:p>
            <w:pPr>
              <w:pStyle w:val="TableContents"/>
              <w:bidi w:val="0"/>
              <w:spacing w:before="0" w:after="283"/>
              <w:jc w:val="center"/>
              <w:rPr/>
            </w:pPr>
            <w:r>
              <w:rPr/>
              <w:t>333-274621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3" w:type="dxa"/>
            <w:tcBorders/>
            <w:shd w:fill="FFFFFF" w:val="clear"/>
            <w:tcMar>
              <w:bottom w:w="0" w:type="dxa"/>
            </w:tcMar>
            <w:vAlign w:val="center"/>
          </w:tcPr>
          <w:p>
            <w:pPr>
              <w:pStyle w:val="TableContents"/>
              <w:bidi w:val="0"/>
              <w:spacing w:before="0" w:after="283"/>
              <w:jc w:val="center"/>
              <w:rPr/>
            </w:pPr>
            <w:r>
              <w:rPr/>
              <w:t>9/29/23</w:t>
            </w:r>
          </w:p>
        </w:tc>
      </w:tr>
      <w:tr>
        <w:trPr/>
        <w:tc>
          <w:tcPr>
            <w:tcW w:w="875"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5" w:type="dxa"/>
            <w:tcBorders/>
            <w:shd w:fill="CCEEFF" w:val="clear"/>
            <w:tcMar>
              <w:bottom w:w="0" w:type="dxa"/>
            </w:tcMar>
            <w:vAlign w:val="center"/>
          </w:tcPr>
          <w:p>
            <w:pPr>
              <w:pStyle w:val="TableContents"/>
              <w:bidi w:val="0"/>
              <w:spacing w:before="0" w:after="283"/>
              <w:jc w:val="left"/>
              <w:rPr/>
            </w:pPr>
            <w:r>
              <w:rPr/>
              <w:t>Class A 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296" w:type="dxa"/>
            <w:tcBorders/>
            <w:shd w:fill="CCEEFF" w:val="clear"/>
            <w:tcMar>
              <w:bottom w:w="0" w:type="dxa"/>
            </w:tcMar>
            <w:vAlign w:val="center"/>
          </w:tcPr>
          <w:p>
            <w:pPr>
              <w:pStyle w:val="TableContents"/>
              <w:bidi w:val="0"/>
              <w:spacing w:before="0" w:after="283"/>
              <w:jc w:val="right"/>
              <w:rPr/>
            </w:pPr>
            <w:r>
              <w:rPr/>
              <w:t>14,117,649</w:t>
            </w:r>
          </w:p>
        </w:tc>
        <w:tc>
          <w:tcPr>
            <w:tcW w:w="297"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606" w:type="dxa"/>
            <w:tcBorders/>
            <w:shd w:fill="CCEEFF" w:val="clear"/>
            <w:tcMar>
              <w:bottom w:w="0" w:type="dxa"/>
            </w:tcMar>
            <w:vAlign w:val="center"/>
          </w:tcPr>
          <w:p>
            <w:pPr>
              <w:pStyle w:val="TableContents"/>
              <w:bidi w:val="0"/>
              <w:spacing w:before="0" w:after="283"/>
              <w:jc w:val="right"/>
              <w:rPr/>
            </w:pPr>
            <w:r>
              <w:rPr/>
              <w:t>59,152,949.31</w:t>
            </w:r>
          </w:p>
        </w:tc>
        <w:tc>
          <w:tcPr>
            <w:tcW w:w="327"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(6)(13)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7" w:type="dxa"/>
            <w:tcBorders/>
            <w:shd w:fill="CCEEFF" w:val="clear"/>
            <w:tcMar>
              <w:bottom w:w="0" w:type="dxa"/>
            </w:tcMar>
            <w:vAlign w:val="center"/>
          </w:tcPr>
          <w:p>
            <w:pPr>
              <w:pStyle w:val="TableContents"/>
              <w:bidi w:val="0"/>
              <w:spacing w:before="0" w:after="283"/>
              <w:jc w:val="center"/>
              <w:rPr/>
            </w:pPr>
            <w:r>
              <w:rPr/>
              <w: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center"/>
              <w:rPr/>
            </w:pPr>
            <w:r>
              <w:rPr/>
              <w:t>333-274621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283"/>
              <w:jc w:val="center"/>
              <w:rPr/>
            </w:pPr>
            <w:r>
              <w:rPr/>
              <w:t>9/29/23</w:t>
            </w:r>
          </w:p>
        </w:tc>
      </w:tr>
      <w:tr>
        <w:trPr/>
        <w:tc>
          <w:tcPr>
            <w:tcW w:w="875" w:type="dxa"/>
            <w:tcBorders/>
            <w:shd w:fill="FFFFFF" w:val="clear"/>
            <w:tcMar>
              <w:bottom w:w="0" w:type="dxa"/>
            </w:tcMar>
            <w:vAlign w:val="center"/>
          </w:tcPr>
          <w:p>
            <w:pPr>
              <w:pStyle w:val="TableContents"/>
              <w:bidi w:val="0"/>
              <w:spacing w:before="0" w:after="283"/>
              <w:jc w:val="left"/>
              <w:rPr/>
            </w:pPr>
            <w:r>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5" w:type="dxa"/>
            <w:tcBorders/>
            <w:shd w:fill="FFFFFF" w:val="clear"/>
            <w:tcMar>
              <w:bottom w:w="0" w:type="dxa"/>
            </w:tcMar>
            <w:vAlign w:val="center"/>
          </w:tcPr>
          <w:p>
            <w:pPr>
              <w:pStyle w:val="TableContents"/>
              <w:bidi w:val="0"/>
              <w:spacing w:before="0" w:after="283"/>
              <w:jc w:val="left"/>
              <w:rPr/>
            </w:pPr>
            <w:r>
              <w:rPr/>
              <w:t>Class A Common Stock, par value $0.0001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296" w:type="dxa"/>
            <w:tcBorders/>
            <w:shd w:fill="FFFFFF" w:val="clear"/>
            <w:tcMar>
              <w:bottom w:w="0" w:type="dxa"/>
            </w:tcMar>
            <w:vAlign w:val="center"/>
          </w:tcPr>
          <w:p>
            <w:pPr>
              <w:pStyle w:val="TableContents"/>
              <w:bidi w:val="0"/>
              <w:spacing w:before="0" w:after="283"/>
              <w:jc w:val="right"/>
              <w:rPr/>
            </w:pPr>
            <w:r>
              <w:rPr/>
              <w:t>9,411,766</w:t>
            </w:r>
          </w:p>
        </w:tc>
        <w:tc>
          <w:tcPr>
            <w:tcW w:w="297" w:type="dxa"/>
            <w:tcBorders/>
            <w:shd w:fill="FFFFFF" w:val="clear"/>
            <w:tcMar>
              <w:bottom w:w="0" w:type="dxa"/>
            </w:tcMar>
            <w:vAlign w:val="center"/>
          </w:tcPr>
          <w:p>
            <w:pPr>
              <w:pStyle w:val="TableContents"/>
              <w:bidi w:val="0"/>
              <w:spacing w:before="0" w:after="283"/>
              <w:jc w:val="left"/>
              <w:rPr>
                <w:b/>
                <w:position w:val="8"/>
                <w:sz w:val="19"/>
              </w:rPr>
            </w:pPr>
            <w:r>
              <w:rPr>
                <w:b/>
                <w:position w:val="8"/>
                <w:sz w:val="19"/>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w:t>
            </w:r>
          </w:p>
        </w:tc>
        <w:tc>
          <w:tcPr>
            <w:tcW w:w="1606" w:type="dxa"/>
            <w:tcBorders/>
            <w:shd w:fill="FFFFFF" w:val="clear"/>
            <w:tcMar>
              <w:bottom w:w="0" w:type="dxa"/>
            </w:tcMar>
            <w:vAlign w:val="center"/>
          </w:tcPr>
          <w:p>
            <w:pPr>
              <w:pStyle w:val="TableContents"/>
              <w:bidi w:val="0"/>
              <w:spacing w:before="0" w:after="283"/>
              <w:jc w:val="right"/>
              <w:rPr/>
            </w:pPr>
            <w:r>
              <w:rPr/>
              <w:t>24,188,238.62</w:t>
            </w:r>
          </w:p>
        </w:tc>
        <w:tc>
          <w:tcPr>
            <w:tcW w:w="327" w:type="dxa"/>
            <w:tcBorders/>
            <w:shd w:fill="FFFFFF" w:val="clear"/>
            <w:tcMar>
              <w:bottom w:w="0" w:type="dxa"/>
            </w:tcMar>
            <w:vAlign w:val="center"/>
          </w:tcPr>
          <w:p>
            <w:pPr>
              <w:pStyle w:val="TableContents"/>
              <w:bidi w:val="0"/>
              <w:spacing w:before="0" w:after="283"/>
              <w:jc w:val="left"/>
              <w:rPr>
                <w:b/>
                <w:position w:val="8"/>
                <w:sz w:val="19"/>
              </w:rPr>
            </w:pPr>
            <w:r>
              <w:rPr>
                <w:b/>
                <w:position w:val="8"/>
                <w:sz w:val="19"/>
              </w:rPr>
              <w:t>(9)(14)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7" w:type="dxa"/>
            <w:tcBorders/>
            <w:shd w:fill="FFFFFF" w:val="clear"/>
            <w:tcMar>
              <w:bottom w:w="0" w:type="dxa"/>
            </w:tcMar>
            <w:vAlign w:val="center"/>
          </w:tcPr>
          <w:p>
            <w:pPr>
              <w:pStyle w:val="TableContents"/>
              <w:bidi w:val="0"/>
              <w:spacing w:before="0" w:after="283"/>
              <w:jc w:val="center"/>
              <w:rPr/>
            </w:pPr>
            <w:r>
              <w:rPr/>
              <w:t>S-1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2" w:type="dxa"/>
            <w:tcBorders/>
            <w:shd w:fill="FFFFFF" w:val="clear"/>
            <w:tcMar>
              <w:bottom w:w="0" w:type="dxa"/>
            </w:tcMar>
            <w:vAlign w:val="center"/>
          </w:tcPr>
          <w:p>
            <w:pPr>
              <w:pStyle w:val="TableContents"/>
              <w:bidi w:val="0"/>
              <w:spacing w:before="0" w:after="283"/>
              <w:jc w:val="center"/>
              <w:rPr/>
            </w:pPr>
            <w:r>
              <w:rPr/>
              <w:t>333-276697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3" w:type="dxa"/>
            <w:tcBorders/>
            <w:shd w:fill="FFFFFF" w:val="clear"/>
            <w:tcMar>
              <w:bottom w:w="0" w:type="dxa"/>
            </w:tcMar>
            <w:vAlign w:val="center"/>
          </w:tcPr>
          <w:p>
            <w:pPr>
              <w:pStyle w:val="TableContents"/>
              <w:bidi w:val="0"/>
              <w:spacing w:before="0" w:after="283"/>
              <w:jc w:val="center"/>
              <w:rPr/>
            </w:pPr>
            <w:r>
              <w:rPr/>
              <w:t>2/5/24</w:t>
            </w:r>
          </w:p>
        </w:tc>
      </w:tr>
      <w:tr>
        <w:trPr/>
        <w:tc>
          <w:tcPr>
            <w:tcW w:w="875"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5" w:type="dxa"/>
            <w:tcBorders/>
            <w:shd w:fill="CCEEFF" w:val="clear"/>
            <w:tcMar>
              <w:bottom w:w="0" w:type="dxa"/>
            </w:tcMar>
            <w:vAlign w:val="center"/>
          </w:tcPr>
          <w:p>
            <w:pPr>
              <w:pStyle w:val="TableContents"/>
              <w:bidi w:val="0"/>
              <w:spacing w:before="0" w:after="283"/>
              <w:jc w:val="left"/>
              <w:rPr/>
            </w:pPr>
            <w:r>
              <w:rPr/>
              <w:t>Class A 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296" w:type="dxa"/>
            <w:tcBorders/>
            <w:shd w:fill="CCEEFF" w:val="clear"/>
            <w:tcMar>
              <w:bottom w:w="0" w:type="dxa"/>
            </w:tcMar>
            <w:vAlign w:val="center"/>
          </w:tcPr>
          <w:p>
            <w:pPr>
              <w:pStyle w:val="TableContents"/>
              <w:bidi w:val="0"/>
              <w:spacing w:before="0" w:after="283"/>
              <w:jc w:val="right"/>
              <w:rPr/>
            </w:pPr>
            <w:r>
              <w:rPr/>
              <w:t>9,411,766</w:t>
            </w:r>
          </w:p>
        </w:tc>
        <w:tc>
          <w:tcPr>
            <w:tcW w:w="297"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w:t>
            </w:r>
          </w:p>
        </w:tc>
        <w:tc>
          <w:tcPr>
            <w:tcW w:w="1606" w:type="dxa"/>
            <w:tcBorders/>
            <w:shd w:fill="CCEEFF" w:val="clear"/>
            <w:tcMar>
              <w:bottom w:w="0" w:type="dxa"/>
            </w:tcMar>
            <w:vAlign w:val="center"/>
          </w:tcPr>
          <w:p>
            <w:pPr>
              <w:pStyle w:val="TableContents"/>
              <w:bidi w:val="0"/>
              <w:spacing w:before="0" w:after="283"/>
              <w:jc w:val="right"/>
              <w:rPr/>
            </w:pPr>
            <w:r>
              <w:rPr/>
              <w:t>24,188,238.62</w:t>
            </w:r>
          </w:p>
        </w:tc>
        <w:tc>
          <w:tcPr>
            <w:tcW w:w="327"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(9)(14)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7" w:type="dxa"/>
            <w:tcBorders/>
            <w:shd w:fill="CCEEFF" w:val="clear"/>
            <w:tcMar>
              <w:bottom w:w="0" w:type="dxa"/>
            </w:tcMar>
            <w:vAlign w:val="center"/>
          </w:tcPr>
          <w:p>
            <w:pPr>
              <w:pStyle w:val="TableContents"/>
              <w:bidi w:val="0"/>
              <w:spacing w:before="0" w:after="283"/>
              <w:jc w:val="center"/>
              <w:rPr/>
            </w:pPr>
            <w:r>
              <w:rPr/>
              <w:t>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center"/>
              <w:rPr/>
            </w:pPr>
            <w:r>
              <w:rPr/>
              <w:t>333-276697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283"/>
              <w:jc w:val="center"/>
              <w:rPr/>
            </w:pPr>
            <w:r>
              <w:rPr/>
              <w:t>2/5/24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Rule 416 under the Securities Act, the amount of securities previously registered includes such indeterminate number of additional securities that may become issuable as a result of any stock dividend, stock split, recapitalization or other similar transaction.</w:t>
            </w:r>
          </w:p>
        </w:tc>
      </w:tr>
      <w:tr>
        <w:trPr/>
        <w:tc>
          <w:tcPr>
            <w:tcW w:w="20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both"/>
              <w:rPr/>
            </w:pPr>
            <w:r>
              <w:rPr/>
              <w:t> </w:t>
            </w:r>
          </w:p>
        </w:tc>
      </w:tr>
      <w:tr>
        <w:trPr/>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sum of (a) an aggregate of 11,460,416 shares of Class A Common Stock, issued in connection with the Transactions (as defined in the prospectus forming part of this Registration Statement) by us to the selling securityholders named in this prospectus (each, a “selling securityholder” and, collectively, the “selling securityholders”), (b) up to 72,499,922 shares of Class A Common Stock in exchange for 72,499,922 common units of Intuitive Machines, LLC (including Intuitive Machines OpCo Common Units that may be issued in the future pursuant to the future exercise of currently-outstanding options to purchase such Intuitive Machines OpCo Common Units), (c) up to 2,390,762 shares of Class A Common Stock issuable upon the conversion of 26,000 shares of Series A Preferred Stock (as defined in the prospectus) originally issued to the Series A Investors (as defined in the prospectus), (d) up to 541,667 shares of Class A Common Stock issuable upon the exercise of the Preferred Investor Warrants (as defined in the prospectus), (e) 6,845,000 shares of Class A Common Stock underlying the Private Placement Warrants (as defined in the prospectus) and (f) 1,450,000 shares of Class A Common Stock underlying the Public Warrants (as defined in the prospectus).</w:t>
            </w:r>
          </w:p>
        </w:tc>
      </w:tr>
      <w:tr>
        <w:trPr/>
        <w:tc>
          <w:tcPr>
            <w:tcW w:w="204" w:type="dxa"/>
            <w:tcBorders/>
            <w:vAlign w:val="center"/>
          </w:tcPr>
          <w:p>
            <w:pPr>
              <w:pStyle w:val="TableContents"/>
              <w:bidi w:val="0"/>
              <w:spacing w:before="0" w:after="283"/>
              <w:jc w:val="both"/>
              <w:rPr/>
            </w:pPr>
            <w:r>
              <w:rPr/>
              <w:t> </w:t>
            </w:r>
          </w:p>
        </w:tc>
        <w:tc>
          <w:tcPr>
            <w:tcW w:w="10001" w:type="dxa"/>
            <w:tcBorders/>
            <w:vAlign w:val="center"/>
          </w:tcPr>
          <w:p>
            <w:pPr>
              <w:pStyle w:val="TableContents"/>
              <w:bidi w:val="0"/>
              <w:spacing w:before="0" w:after="283"/>
              <w:jc w:val="both"/>
              <w:rPr/>
            </w:pPr>
            <w:r>
              <w:rPr/>
              <w:t> </w:t>
            </w:r>
          </w:p>
        </w:tc>
      </w:tr>
      <w:tr>
        <w:trPr/>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registration fee is payable in connection with the offer and sale of these securities by the selling securityholders pursuant to this Registration Statement because such transactions were previously registered on a Registration Statement on Form S-1 (File No. 333-271014) originally filed with the Securities and Exchange Commission (the “SEC”) on June 5, 2023, as most recently amended by Amendment No. 3 to Form S-1, filed on June 29, 2023, and declared effective on July 3, 2023 (as amended and/or supplemented, the “First Prior Registration Statement”) and such securities are being transferred from the First Prior Registration Statement pursuant to Rule 429 under the Securities Act. See “Statement Pursuant to Rule 429” in this Registration Statement.</w:t>
            </w:r>
          </w:p>
        </w:tc>
      </w:tr>
      <w:tr>
        <w:trPr/>
        <w:tc>
          <w:tcPr>
            <w:tcW w:w="204" w:type="dxa"/>
            <w:tcBorders/>
            <w:vAlign w:val="center"/>
          </w:tcPr>
          <w:p>
            <w:pPr>
              <w:pStyle w:val="TableContents"/>
              <w:bidi w:val="0"/>
              <w:spacing w:before="0" w:after="283"/>
              <w:jc w:val="both"/>
              <w:rPr/>
            </w:pPr>
            <w:r>
              <w:rPr/>
              <w:t> </w:t>
            </w:r>
          </w:p>
        </w:tc>
        <w:tc>
          <w:tcPr>
            <w:tcW w:w="10001" w:type="dxa"/>
            <w:tcBorders/>
            <w:vAlign w:val="center"/>
          </w:tcPr>
          <w:p>
            <w:pPr>
              <w:pStyle w:val="TableContents"/>
              <w:bidi w:val="0"/>
              <w:spacing w:before="0" w:after="283"/>
              <w:jc w:val="both"/>
              <w:rPr/>
            </w:pPr>
            <w:r>
              <w:rPr/>
              <w:t> </w:t>
            </w:r>
          </w:p>
        </w:tc>
      </w:tr>
      <w:tr>
        <w:trPr/>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shares of Class A Common Stock that may be issued upon exercise of outstanding Initial Resale Warrants (as defined in the prospectus), with each such Initial Resale Warrant exercisable for one share of Class A Common Stock, subject to adjustment, for an exercise price of $11.50 per share.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sum of the shares of the Registrant’s Class A Common Stock issuable upon the exercise of (a) that certain that certain Series A Common Stock Purchase Warrant, which entitles the holder thereof to purchase up to 4,705,883 shares of Class A Common Stock at an exercise price of $4.75 per share (the “Series A Warrant”), and (b) that certain Series B Common Stock Purchase Warrant, which entitles the holder thereof to purchase up to 4,705,883 shares of Class A Common Stock at an exercise price of $4.75 per share (the “Series B Warrant” and, together with the Series A Warrant, the “Initial PIPE Warrants”), by the holders thereof.</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registration fee is payable in connection with the offer and sale of these securities by the selling securityholders pursuant to this Registration Statement because such transactions were previously registered on a Registration Statement on Form S-1 (File No. 333-274621) originally filed with the SEC on September 9, 2023 and declared effective on September 29, 2023 (as amended and/or supplemented, the “Second Prior Registration Statement”) and such securities are being transferred from the Second Prior Registration Statement pursuant to Rule 429 under the Securities Act. See “Statement Pursuant to Rule 429” in this Registration Statement.</w:t>
            </w:r>
          </w:p>
        </w:tc>
      </w:tr>
      <w:tr>
        <w:trPr/>
        <w:tc>
          <w:tcPr>
            <w:tcW w:w="314"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sum of (a) 4,705,883 shares of Class A Common Stock issued to Armistice Capital Master Fund Ltd. (“Armistice”) in connection with the closing a private placement pursuant to that certain Securities Purchase Agreement, dated as of August 30, 2023, by and between the Registrant and Armistice, and (b) 9,411,766 shares of Class A Common Stock issuable upon the exercise of the Initial PIPE Warrants.</w:t>
            </w:r>
          </w:p>
        </w:tc>
      </w:tr>
      <w:tr>
        <w:trPr/>
        <w:tc>
          <w:tcPr>
            <w:tcW w:w="314"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sum of the shares of the Registrant’s Class A Common Stock issuable upon the exercise of (a) that certain that certain New Series A Common Stock Purchase Warrant, which entitles the holder thereof to purchase up to 4,705,883 shares of Class A Common Stock at an exercise price of $2.75 per share (the “New Series A Warrant”), and (b) that certain New Series B Common Stock Purchase Warrant, which entitles the holder thereof to purchase up to 4,705,883 shares of Class A Common Stock at an exercise price of $2.75 per share (the “New Series B Warrant” and, together with the New Series A Warrant, the “New PIPE Warrants”), by the holders thereof.</w:t>
            </w:r>
          </w:p>
        </w:tc>
      </w:tr>
      <w:tr>
        <w:trPr/>
        <w:tc>
          <w:tcPr>
            <w:tcW w:w="314"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registration fee is payable in connection with the offer and sale of these securities by the selling securityholders pursuant to this Registration Statement because such transactions were previously registered on a Registration Statement on Form S-1 (File No. 333-276697) originally filed with the SEC on January 26, 2024 and declared effective on February 5, 2024 (as amended and/or supplemented, the “Third Prior Registration Statement”) and such securities are being transferred from the Third Prior Registration Statement pursuant to Rule 429 under the Securities Act. See “Statement Pursuant to Rule 429” in this Registration Statement.</w:t>
            </w:r>
          </w:p>
        </w:tc>
      </w:tr>
      <w:tr>
        <w:trPr/>
        <w:tc>
          <w:tcPr>
            <w:tcW w:w="314"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9,411,766 shares of Class A Common Stock issuable upon the exercise of the New PIPE Warrants issued to Armistice in connection with the closing a private placement pursuant to that certain Warrant Exercise Agreement, dated as of January 10, 2024, by and between the Registrant and Armistice.</w:t>
            </w:r>
          </w:p>
        </w:tc>
      </w:tr>
      <w:tr>
        <w:trPr/>
        <w:tc>
          <w:tcPr>
            <w:tcW w:w="314"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 solely for the purpose of calculating as the registration fee pursuant to Rule 457(c) promulgated under Securities Act based on the average of the high and low sales prices of shares of the registrant’s Class A Common Stock on The Nasdaq Stock Market LLC (“Nasdaq”) on June 15, 2023 (such date being within five business days prior to the date that the First Prior Registration Statement was filed with the SEC).</w:t>
            </w:r>
          </w:p>
        </w:tc>
      </w:tr>
      <w:tr>
        <w:trPr/>
        <w:tc>
          <w:tcPr>
            <w:tcW w:w="314"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 solely for the purpose of calculating the registration fee in accordance with Rule 457(c) under the Securities Act. The proposed maximum offering price per security and proposed maximum aggregate offering price are based on the average of the high and low prices of the redeemable warrants to purchase shares of Class A Common Stock on Nasdaq on June 15, 2023 (such date being within five business days of the date that the First Prior Registration Statement was filed with the SEC).</w:t>
            </w:r>
          </w:p>
        </w:tc>
      </w:tr>
      <w:tr>
        <w:trPr/>
        <w:tc>
          <w:tcPr>
            <w:tcW w:w="314"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 solely for the purpose of calculating as the registration fee pursuant to Rule 457(c) promulgated under Securities Act based on the average of the high and low sales prices of shares of the Registrant’s Class A Common Stock on The Nasdaq Stock Market LLC on September 19, 2023 (such date being within five business days prior to the date that this registration statement was filed with the SEC).</w:t>
            </w:r>
          </w:p>
        </w:tc>
      </w:tr>
      <w:tr>
        <w:trPr/>
        <w:tc>
          <w:tcPr>
            <w:tcW w:w="314"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 solely for the purpose of calculating as the registration fee pursuant to Rule 457(c) promulgated under Securities Act based on the average of the high and low sales prices of shares of the Registrant’s Class A Common Stock on The Nasdaq Stock Market LLC on January 19, 2024 (such date being within five business days prior to the date that the Third Prior Registration Statement was filed with the SEC) and rounded up to the nearest cent.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44452/000184445224000036/lunr-20231231.htm" TargetMode="External"/><Relationship Id="rId4" Type="http://schemas.openxmlformats.org/officeDocument/2006/relationships/hyperlink" Target="http://www.sec.gov/Archives/edgar/data/1844452/000121390024002818/ea191501-8k_intuitive.htm" TargetMode="External"/><Relationship Id="rId5" Type="http://schemas.openxmlformats.org/officeDocument/2006/relationships/hyperlink" Target="http://www.sec.gov/Archives/edgar/data/1844452/000184445224000008/lunr-20240116.htm" TargetMode="External"/><Relationship Id="rId6" Type="http://schemas.openxmlformats.org/officeDocument/2006/relationships/hyperlink" Target="http://www.sec.gov/Archives/edgar/data/1844452/000184445224000016/lunr-20240128.htm" TargetMode="External"/><Relationship Id="rId7" Type="http://schemas.openxmlformats.org/officeDocument/2006/relationships/hyperlink" Target="http://www.sec.gov/Archives/edgar/data/1844452/000184445224000021/lunr-20231221.htm" TargetMode="External"/><Relationship Id="rId8" Type="http://schemas.openxmlformats.org/officeDocument/2006/relationships/hyperlink" Target="http://www.sec.gov/Archives/edgar/data/1844452/000184445224000024/lunr-20240207.htm" TargetMode="External"/><Relationship Id="rId9" Type="http://schemas.openxmlformats.org/officeDocument/2006/relationships/hyperlink" Target="http://www.sec.gov/ix?doc=/Archives/edgar/data/0001844452/000121390024026673/ea0202625-8k_intuitive.htm" TargetMode="External"/><Relationship Id="rId10" Type="http://schemas.openxmlformats.org/officeDocument/2006/relationships/hyperlink" Target="http://www.sec.gov/Archives/edgar/data/1844452/000121390023011021/ea173166-8a12b_intuitive.htm"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hyperlink" Target="http://www.sec.gov/Archives/edgar/data/1844452/000184445224000036/lunr-20231231.htm" TargetMode="External"/><Relationship Id="rId14" Type="http://schemas.openxmlformats.org/officeDocument/2006/relationships/hyperlink" Target="http://www.sec.gov/Archives/edgar/data/1844452/000184445223000025/lunr-20230331.htm" TargetMode="External"/><Relationship Id="rId15" Type="http://schemas.openxmlformats.org/officeDocument/2006/relationships/hyperlink" Target="http://www.sec.gov/Archives/edgar/data/1844452/000184445223000043/lunr-20230630.htm" TargetMode="External"/><Relationship Id="rId16" Type="http://schemas.openxmlformats.org/officeDocument/2006/relationships/hyperlink" Target="http://www.sec.gov/Archives/edgar/data/1844452/000184445223000065/lunr-20230930.htm" TargetMode="External"/><Relationship Id="rId17" Type="http://schemas.openxmlformats.org/officeDocument/2006/relationships/hyperlink" Target="http://www.sec.gov/Archives/edgar/data/1844452/000121390023009374/ea173031-8k_inflect.htm" TargetMode="External"/><Relationship Id="rId18" Type="http://schemas.openxmlformats.org/officeDocument/2006/relationships/hyperlink" Target="http://www.sec.gov/Archives/edgar/data/1844452/000121390023009994/ea173115-8k425_inflect.htm" TargetMode="External"/><Relationship Id="rId19" Type="http://schemas.openxmlformats.org/officeDocument/2006/relationships/hyperlink" Target="http://www.sec.gov/Archives/edgar/data/1844452/000121390023011495/ea173246-8k_intuitive.htm" TargetMode="External"/><Relationship Id="rId20" Type="http://schemas.openxmlformats.org/officeDocument/2006/relationships/hyperlink" Target="http://www.sec.gov/Archives/edgar/data/1844452/000121390023011809/ea173674-8ka1_intuitive.htm" TargetMode="External"/><Relationship Id="rId21" Type="http://schemas.openxmlformats.org/officeDocument/2006/relationships/hyperlink" Target="http://www.sec.gov/Archives/edgar/data/1844452/000184445223000030/lunr-20230623.htm" TargetMode="External"/><Relationship Id="rId22" Type="http://schemas.openxmlformats.org/officeDocument/2006/relationships/hyperlink" Target="http://www.sec.gov/Archives/edgar/data/1844452/000184445223000051/lunr-20230906.htm" TargetMode="External"/><Relationship Id="rId23" Type="http://schemas.openxmlformats.org/officeDocument/2006/relationships/hyperlink" Target="http://www.sec.gov/Archives/edgar/data/1844452/000121390023098631/ea190706-8k_intuitive.htm" TargetMode="External"/><Relationship Id="rId24" Type="http://schemas.openxmlformats.org/officeDocument/2006/relationships/hyperlink" Target="http://www.sec.gov/Archives/edgar/data/1844452/000121390024002818/ea191501-8k_intuitive.htm" TargetMode="External"/><Relationship Id="rId25" Type="http://schemas.openxmlformats.org/officeDocument/2006/relationships/hyperlink" Target="http://www.sec.gov/Archives/edgar/data/1844452/000184445224000008/lunr-20240116.htm" TargetMode="External"/><Relationship Id="rId26" Type="http://schemas.openxmlformats.org/officeDocument/2006/relationships/hyperlink" Target="http://www.sec.gov/Archives/edgar/data/1844452/000184445224000016/lunr-20240128.htm" TargetMode="External"/><Relationship Id="rId27" Type="http://schemas.openxmlformats.org/officeDocument/2006/relationships/hyperlink" Target="http://www.sec.gov/Archives/edgar/data/1844452/000184445224000021/lunr-20231221.htm" TargetMode="External"/><Relationship Id="rId28" Type="http://schemas.openxmlformats.org/officeDocument/2006/relationships/hyperlink" Target="http://www.sec.gov/Archives/edgar/data/1844452/000184445224000024/lunr-20240207.htm" TargetMode="External"/><Relationship Id="rId29" Type="http://schemas.openxmlformats.org/officeDocument/2006/relationships/hyperlink" Target="http://www.sec.gov/Archives/edgar/data/1844452/000121390023011021/ea173166-8a12b_intuitive.htm" TargetMode="External"/><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hyperlink" Target="http://www.sec.gov/Archives/edgar/data/1844452/000121390023011495/ea173246ex3-1_intuitive.htm" TargetMode="External"/><Relationship Id="rId33" Type="http://schemas.openxmlformats.org/officeDocument/2006/relationships/hyperlink" Target="http://www.sec.gov/Archives/edgar/data/1844452/000121390023011495/ea173246ex3-2_intuitive.htm" TargetMode="External"/><Relationship Id="rId34" Type="http://schemas.openxmlformats.org/officeDocument/2006/relationships/hyperlink" Target="http://www.sec.gov/Archives/edgar/data/1844452/000121390023011495/ea173246ex3-3_intuitive.htm" TargetMode="External"/><Relationship Id="rId35" Type="http://schemas.openxmlformats.org/officeDocument/2006/relationships/hyperlink" Target="http://www.sec.gov/Archives/edgar/data/1844452/000121390021049811/ea147903ex4-1_inflec.htm" TargetMode="External"/><Relationship Id="rId36" Type="http://schemas.openxmlformats.org/officeDocument/2006/relationships/hyperlink" Target="http://www.sec.gov/Archives/edgar/data/1844452/000121390023002534/fs42023a3ex4-5_inflection.htm" TargetMode="External"/><Relationship Id="rId37" Type="http://schemas.openxmlformats.org/officeDocument/2006/relationships/hyperlink" Target="http://www.sec.gov/Archives/edgar/data/1844452/000121390023002534/fs42023a3ex4-6_inflection.htm" TargetMode="External"/><Relationship Id="rId38" Type="http://schemas.openxmlformats.org/officeDocument/2006/relationships/hyperlink" Target="http://www.sec.gov/Archives/edgar/data/1844452/000184445223000051/ex41lunr-seriesawarrantexe.htm" TargetMode="External"/><Relationship Id="rId39" Type="http://schemas.openxmlformats.org/officeDocument/2006/relationships/hyperlink" Target="http://www.sec.gov/Archives/edgar/data/1844452/000184445223000051/ex42lunr-seriesbwarrantexe.htm" TargetMode="External"/><Relationship Id="rId40" Type="http://schemas.openxmlformats.org/officeDocument/2006/relationships/hyperlink" Target="http://www.sec.gov/Archives/edgar/data/1844452/000121390024002818/ea191501ex4-1_intuitive.htm" TargetMode="External"/><Relationship Id="rId41" Type="http://schemas.openxmlformats.org/officeDocument/2006/relationships/hyperlink" Target="http://www.sec.gov/Archives/edgar/data/1844452/000121390024002818/ea191501ex4-2_intuitive.htm" TargetMode="External"/><Relationship Id="rId42" Type="http://schemas.openxmlformats.org/officeDocument/2006/relationships/hyperlink" Target="http://www.sec.gov/Archives/edgar/data/1844452/000184445224000016/ex43formseriesacommonstock.htm" TargetMode="External"/><Relationship Id="rId43" Type="http://schemas.openxmlformats.org/officeDocument/2006/relationships/hyperlink" Target="http://www.sec.gov/Archives/edgar/data/1844452/000184445224000016/ex44formseriesbcommonstock.htm" TargetMode="External"/><Relationship Id="rId44" Type="http://schemas.openxmlformats.org/officeDocument/2006/relationships/hyperlink" Target="http://www.sec.gov/Archives/edgar/data/1844452/000184445224000016/ex45formseriesacommonunitp.htm" TargetMode="External"/><Relationship Id="rId45" Type="http://schemas.openxmlformats.org/officeDocument/2006/relationships/hyperlink" Target="http://www.sec.gov/Archives/edgar/data/1844452/000184445224000016/ex46formofseriesbcommonuni.htm" TargetMode="External"/><Relationship Id="rId46" Type="http://schemas.openxmlformats.org/officeDocument/2006/relationships/hyperlink" Target="http://www.sec.gov/Archives/edgar/data/1844452/000184445224000016/ex41formseriesacommonunitp.htm" TargetMode="External"/><Relationship Id="rId47" Type="http://schemas.openxmlformats.org/officeDocument/2006/relationships/hyperlink" Target="http://www.sec.gov/Archives/edgar/data/1844452/000184445224000016/ex42formseriesbcommonunitp.htm" TargetMode="External"/><Relationship Id="rId48" Type="http://schemas.openxmlformats.org/officeDocument/2006/relationships/image" Target="media/image3.jpeg"/><Relationship Id="rId49" Type="http://schemas.openxmlformats.org/officeDocument/2006/relationships/image" Target="media/image4.jpeg"/><Relationship Id="rId50" Type="http://schemas.openxmlformats.org/officeDocument/2006/relationships/image" Target="media/image4.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46538</Words>
  <Characters>244136</Characters>
  <CharactersWithSpaces>291446</CharactersWithSpaces>
  <Paragraphs>2379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