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Intuitive Machines,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001-40823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36-5056189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13467 Columbia Shuttle Street</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Houston Texas 77059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(281) 520-3703</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LUNR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25, 2026, Intuitive Machines,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entered into a Securities Purchase Agreement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certain institutional investors or their affiliates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led by global institutional investors, relating to the issuance and sale to the Investors of shares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price of $15.12 per share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for an aggregate purchase price of $175 million (the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The closing of the Issuance is conditioned upon the satisfaction or waiver of customary closing conditions.</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the Company has agreed to enter into a Registration Rights Agreement with each of the Investors concurrently with the closing of the Issuance. The Registration Rights Agreement will require the Company to file a registration statement registering the shares of Common Stock issued to the Investors for resale no later than April 1, 2026.</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terms of the Purchase Agreement and the Registration Rights Agreement and the transactions contemplated thereby does not purport to be complete and is subject to, and qualified in its entirety by, the full text of the Purchase Agreement and the exhibits and schedules thereto, the form of which is attached hereto as Exhibit 10.1,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3.02.</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Pursuant to the terms of the Purchase Agreement, the Company has agreed to issue shares of Common Stock to the Investors in a transaction not involving any public offering, exempt from registration under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shares of Common Stock have not been registered under the Securities Act and may not be offered or sold in the United States absent registration or an applicable exemption from registration requirements.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February 25, 2026, the Company issued a press release announcing the entry into the Purchase Agreement. A copy of the press release is filed as Exhibit 99.1 to this Current Report on Form 8-K is incorporated by reference herein.</w:t>
      </w:r>
    </w:p>
    <w:p>
      <w:pPr>
        <w:spacing w:after="0" w:line="16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information set forth under this Item 7.01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or the Exchange Act, except as expressly set forth by specific reference in such filing.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8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2"/>
                <w:szCs w:val="22"/>
                <w:color w:val="auto"/>
              </w:rPr>
            </w:pPr>
          </w:p>
        </w:tc>
        <w:tc>
          <w:tcPr>
            <w:tcW w:w="28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Form of Securities Purchase Agreement</w:t>
            </w:r>
          </w:p>
        </w:tc>
        <w:tc>
          <w:tcPr>
            <w:tcW w:w="6680" w:type="dxa"/>
            <w:vAlign w:val="bottom"/>
            <w:tcBorders>
              <w:top w:val="single" w:sz="8" w:color="auto"/>
            </w:tcBorders>
          </w:tcPr>
          <w:p>
            <w:pPr>
              <w:spacing w:after="0"/>
              <w:rPr>
                <w:sz w:val="22"/>
                <w:szCs w:val="22"/>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February 25, 2026.</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Peter McGrath</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Financial Officer and Senior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117"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February 25, 2026, by and between Intuitive Machines,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investors identified on the signature pages hereto (including its respective successors and assigns,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each Purchaser is executing and delivering this Agreement in reliance upon the exemption from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afforded by Section 4(a)(2) of the Securities Act of 1933, as amended (together with the rules and regulations thereunder,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and/or Rule 506 of Regulation D promulgated thereunder; and</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issue and sell to the Purchasers, and the Purchasers, severally and not jointly, desire to purchase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securities of the Company as more fully described in this Agreement.</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contained in this Agreement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adequacy of which are hereby acknowledged, the Company and each Purchaser hereby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the following terms have the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shall mean the Purchaser together with the Purchaser’s Affiliates, and any other Persons acting as a group together with the Purchaser or any of the Purchaser’s Affiliates.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BSA/PATRIOT Act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3.2(l)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are open for use by customers on such day.</w:t>
      </w:r>
    </w:p>
    <w:p>
      <w:pPr>
        <w:sectPr>
          <w:pgSz w:w="11900" w:h="16838" w:orient="portrait"/>
          <w:cols w:equalWidth="0" w:num="1">
            <w:col w:w="11020"/>
          </w:cols>
          <w:pgMar w:left="440" w:top="11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after (x) the date hereof or, (y) if later, the date on which all of the Transaction Documents have been executed and delivered by the applicable parties thereto, and all conditions precedent to (i) each Purchaser’s obligation to pay its Subscription Amount and (ii) the Company’s obligations to deliver the Shares, in each case, have been satisfied or waived.</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Class A common stock of the Company, par value $0.0001 per share.</w:t>
      </w:r>
    </w:p>
    <w:p>
      <w:pPr>
        <w:spacing w:after="0" w:line="22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Issuance</w:t>
      </w:r>
      <w:r>
        <w:rPr>
          <w:rFonts w:ascii="Times New Roman" w:cs="Times New Roman" w:eastAsia="Times New Roman" w:hAnsi="Times New Roman"/>
          <w:sz w:val="18"/>
          <w:szCs w:val="18"/>
          <w:color w:val="auto"/>
        </w:rPr>
        <w:t>” means the issuance of (a) any shares of Common Stock of the Company issued upon the exercise or settlement (including any “net” or “cashless” exercises or settlements) of options or vesting of restricted stock units or other equity awards granted under existing equity incentive plans described in the SEC Reports, (b) the grant of equity awards under existing equity incentive plans, (c) the filing by the Company of a registration statement on Form S-8 with respect to the Company’s existing employee benefit plans, (d) shares of Common Stock issued pursuant to any exercise of outstanding warrants (as described in the SEC Reports), (e) the issuance of shares of Common Stock or securities convertible into, exchangeable for or that represent the right to receive shares of Common Stock in connection with the closing of transactions contemplated by the Membership Interest Purchase Agreement, dated as of November 3, 2025, by and among the Company, Vantor Holdings Inc., as seller and the other parties thereto, as such agreement may be amended from time to time, and/or acquisitions or other similar transactions that have been disclosed by the Company in the SEC Reports, (f) any securities in connection with the transactions pursuant to this Agreement and any securities upon the exercise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ind w:left="4"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exchange of or conversion of any securities issued hereunder, (g) any securities upon the exercise or exchange of securities exercisable or exchangeable for or convertible into shares of Common Stock issued and outstanding on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amended since the date of this Agreement to increase the number of such securities or to decrease the exercise price, exchange price or conversion price of such securities (other than in connection with stock splits or combinations or, for the avoidance of doubt, pursuant to the anti-dilution, price adjustment or other similar terms of such securities as in effect on the date of this Agreement) or to extend the term of such securities,</w:t>
      </w:r>
    </w:p>
    <w:p>
      <w:pPr>
        <w:spacing w:after="0" w:line="3" w:lineRule="exact"/>
        <w:rPr>
          <w:sz w:val="20"/>
          <w:szCs w:val="20"/>
          <w:color w:val="auto"/>
        </w:rPr>
      </w:pPr>
    </w:p>
    <w:p>
      <w:pPr>
        <w:ind w:left="4" w:hanging="4"/>
        <w:spacing w:after="0" w:line="270" w:lineRule="auto"/>
        <w:tabs>
          <w:tab w:leader="none" w:pos="25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securities issued pursuant to or agreements to issue securities in connection with transactions approved by a majority of the disinterested directors of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securities are issued as “restricted securities” (as defined in Rule 144) and carry no registration rights that require or permit the filing of any registration statement in connection therewith during the prohibition period in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xml:space="preserve"> herein,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an issuance to an entity whose primary business is investing in securities, and (i) any securities to any Governmental Entity.</w:t>
      </w:r>
    </w:p>
    <w:p>
      <w:pPr>
        <w:spacing w:after="0" w:line="17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in the United States of America.</w:t>
      </w:r>
    </w:p>
    <w:p>
      <w:pPr>
        <w:spacing w:after="0" w:line="225" w:lineRule="exact"/>
        <w:rPr>
          <w:sz w:val="20"/>
          <w:szCs w:val="20"/>
          <w:color w:val="auto"/>
        </w:rPr>
      </w:pPr>
    </w:p>
    <w:p>
      <w:pPr>
        <w:ind w:left="4" w:right="2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Sale Price</w:t>
      </w:r>
      <w:r>
        <w:rPr>
          <w:rFonts w:ascii="Times New Roman" w:cs="Times New Roman" w:eastAsia="Times New Roman" w:hAnsi="Times New Roman"/>
          <w:sz w:val="18"/>
          <w:szCs w:val="18"/>
          <w:color w:val="auto"/>
        </w:rPr>
        <w:t>” means, as of any Trading Day, the closing sale price per share (or if no closing sale price is reported, the average of the bid and ask prices or, if more than one in either case, the average of the average bid and the average ask prices) of Common Stock, as reported in composite transactions for the Trading Market.</w:t>
      </w:r>
    </w:p>
    <w:p>
      <w:pPr>
        <w:spacing w:after="0" w:line="171" w:lineRule="exact"/>
        <w:rPr>
          <w:sz w:val="20"/>
          <w:szCs w:val="20"/>
          <w:color w:val="auto"/>
        </w:rPr>
      </w:pPr>
    </w:p>
    <w:p>
      <w:pPr>
        <w:ind w:left="4"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Law</w:t>
      </w:r>
      <w:r>
        <w:rPr>
          <w:rFonts w:ascii="Times New Roman" w:cs="Times New Roman" w:eastAsia="Times New Roman" w:hAnsi="Times New Roman"/>
          <w:sz w:val="17"/>
          <w:szCs w:val="17"/>
          <w:color w:val="auto"/>
        </w:rPr>
        <w:t>” means any federal, state, local, municipal, foreign or other law, statute, legislation, principle of common law, ordinance, code, edict, decree, proclamation, treaty, convention, rule, regulation, directive, requirement, writ, injunction, settlement, Order or Consent that is or has been issued, enacted, adopted, passed, approved, promulgated, made, implemented or otherwise put into effect by or under the authority of any Governmental Entity.</w:t>
      </w:r>
    </w:p>
    <w:p>
      <w:pPr>
        <w:spacing w:after="0" w:line="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losses, liabilities, obligations, claims, damages, costs and expenses, including all judgments, amounts paid in settlements, court costs and reasonable attorneys’ fees and costs of investigation.</w:t>
      </w:r>
    </w:p>
    <w:p>
      <w:pPr>
        <w:spacing w:after="0" w:line="155"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with respect to a party hereto, (i) a material adverse change in the condition, financial or otherwise, or in the earnings, business affairs or business prospects of the Company and its Subsidiaries considered as one enterprise, whether or not arising in the ordinary course of business, or (ii) any event, change, development, circumstance, condition, state of facts or occurrence that individually or in the aggregate is, or would reasonably be expected to be, materially adverse to the ability of such party to perform its obligations or consummate the transactions contemplated hereby by the Closing Date (or on a timely basis to the extent such obligations require performance after the Closing Date).</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3.1(u)</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5.18.</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NASA</w:t>
      </w:r>
      <w:r>
        <w:rPr>
          <w:rFonts w:ascii="Times New Roman" w:cs="Times New Roman" w:eastAsia="Times New Roman" w:hAnsi="Times New Roman"/>
          <w:sz w:val="18"/>
          <w:szCs w:val="18"/>
          <w:color w:val="auto"/>
        </w:rPr>
        <w:t>” means the National Aeronautics and Space Administration.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List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3.2(l)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Officer’s Certificate</w:t>
      </w:r>
      <w:r>
        <w:rPr>
          <w:rFonts w:ascii="Times New Roman" w:cs="Times New Roman" w:eastAsia="Times New Roman" w:hAnsi="Times New Roman"/>
          <w:sz w:val="17"/>
          <w:szCs w:val="17"/>
          <w:color w:val="auto"/>
        </w:rPr>
        <w:t xml:space="preserve">” a certificate, in form and substance satisfactory to the Purchasers, signed by the Chief Executive Officer or the Chief Financial Officer of the Company to the effect that (i) the representations and warranties of the Company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hereof are true and correct in all material respects, except for those representation and warranties qualified by materiality or Material Adverse Effect, which shall be true and correct in all respects,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spacing w:after="0" w:line="4" w:lineRule="exact"/>
        <w:rPr>
          <w:sz w:val="20"/>
          <w:szCs w:val="20"/>
          <w:color w:val="auto"/>
        </w:rPr>
      </w:pPr>
    </w:p>
    <w:p>
      <w:pPr>
        <w:ind w:left="4" w:right="420" w:hanging="4"/>
        <w:spacing w:after="0" w:line="260"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covenants and agreements to be performed or complied with by the Company at or prior to the Closing have been performed or complied with by it, and (iii) all of the conditions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have been satisfied.</w:t>
      </w:r>
    </w:p>
    <w:p>
      <w:pPr>
        <w:spacing w:after="0" w:line="177"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with respect to any Person that is an entity, its certificate of incorporation or formation, bylaws, operating agreement, memorandum and articles of association or similar organizational documents, in each case, as amended.</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4"/>
          </w:cols>
          <w:pgMar w:left="436" w:top="266" w:right="499" w:bottom="1440" w:gutter="0" w:footer="0" w:header="0"/>
        </w:sectPr>
      </w:pPr>
    </w:p>
    <w:bookmarkStart w:id="7" w:name="page8"/>
    <w:bookmarkEnd w:id="7"/>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means Cantor Fitzgerald &amp; Co.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 action, claim, suit, investigation or proceeding, whether commenced or threatened.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$15.12.</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means the Registration Rights Agreement among the Company, the Purchasers and the other parties thereto, in the form of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of the Shares by the Purchasers as provided for in the Registration Rights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Shelf Effectiveness Date</w:t>
      </w:r>
      <w:r>
        <w:rPr>
          <w:rFonts w:ascii="Times New Roman" w:cs="Times New Roman" w:eastAsia="Times New Roman" w:hAnsi="Times New Roman"/>
          <w:sz w:val="18"/>
          <w:szCs w:val="18"/>
          <w:color w:val="auto"/>
        </w:rPr>
        <w:t>” means the date on which the Registration Statement shall have become effective.</w:t>
      </w:r>
    </w:p>
    <w:p>
      <w:pPr>
        <w:spacing w:after="0" w:line="225" w:lineRule="exact"/>
        <w:rPr>
          <w:sz w:val="20"/>
          <w:szCs w:val="20"/>
          <w:color w:val="auto"/>
        </w:rPr>
      </w:pPr>
    </w:p>
    <w:p>
      <w:pPr>
        <w:ind w:right="3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32" w:lineRule="exact"/>
        <w:rPr>
          <w:sz w:val="20"/>
          <w:szCs w:val="20"/>
          <w:color w:val="auto"/>
        </w:rPr>
      </w:pPr>
    </w:p>
    <w:p>
      <w:pPr>
        <w:ind w:right="3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424</w:t>
      </w:r>
      <w:r>
        <w:rPr>
          <w:rFonts w:ascii="Times New Roman" w:cs="Times New Roman" w:eastAsia="Times New Roman" w:hAnsi="Times New Roman"/>
          <w:sz w:val="17"/>
          <w:szCs w:val="17"/>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Territory</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Standstill Termination Date</w:t>
      </w:r>
      <w:r>
        <w:rPr>
          <w:rFonts w:ascii="Times New Roman" w:cs="Times New Roman" w:eastAsia="Times New Roman" w:hAnsi="Times New Roman"/>
          <w:sz w:val="18"/>
          <w:szCs w:val="18"/>
          <w:color w:val="auto"/>
        </w:rPr>
        <w:t>” shall mean the date that is sixty (60) consecutive calendar days from the Closing Date.</w:t>
      </w:r>
    </w:p>
    <w:p>
      <w:pPr>
        <w:spacing w:after="0" w:line="225" w:lineRule="exact"/>
        <w:rPr>
          <w:sz w:val="20"/>
          <w:szCs w:val="20"/>
          <w:color w:val="auto"/>
        </w:rPr>
      </w:pPr>
    </w:p>
    <w:p>
      <w:pPr>
        <w:ind w:right="1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Subscription Amount</w:t>
      </w:r>
      <w:r>
        <w:rPr>
          <w:rFonts w:ascii="Times New Roman" w:cs="Times New Roman" w:eastAsia="Times New Roman" w:hAnsi="Times New Roman"/>
          <w:sz w:val="17"/>
          <w:szCs w:val="17"/>
          <w:color w:val="auto"/>
        </w:rPr>
        <w:t xml:space="preserve">” shall mean, as to each Purchaser, the aggregate amount to be paid for the Shares purchased hereunder pursuant to the terms of this Agreement as set forth across from such Purchaser’s name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hereto in U.S. dollars and in immediately available funds.</w:t>
      </w:r>
    </w:p>
    <w:p>
      <w:pPr>
        <w:spacing w:after="0" w:line="132"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with respect to any Person, any corporation, partnership, association or other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partnership, association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or other business entity if such Person or Persons will be allocated a majority of partnership, association or other business entity gains or losses or will be or control the managing director, managing member, general partner or other managing Person of such partnership, association or other business entity. A Subsidiary of a Person will also include any variable interest entity which is consolidated with such Person under applicable accounting rules.</w:t>
      </w:r>
    </w:p>
    <w:p>
      <w:pPr>
        <w:spacing w:after="0" w:line="17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direct or indirect federal, state, local, foreign and other net income, gross income, gross receipts, sales, use, value-added, ad valorem, transfer, franchise, profits, license, lease, service, service use, withholding, payroll, employment, social security and related contributions due in relation to the payment of compensation to employees, excise, severance, stamp, occupation, premium, property, windfall profits, alternative minimum, estimated, customs, duties or other taxes, fees, assessments or charges in the nature of a tax, together with any interest and any penalties, additions to tax or additional amounts with respect thereto imposed by a Governmental Entity.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the Nasdaq Global Market or whichever of the New York Stock Exchange, the NYSE American, the Nasdaq Global Select Market or the Nasdaq Capital Market on which the Common Stock is listed or quoted for trading on the date in question.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all exhibits and schedule hereto and the Registration Rights Agreement.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and any successor transfer agent of the Company.</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440" w:top="266" w:right="599" w:bottom="1440" w:gutter="0" w:footer="0" w:header="0"/>
        </w:sectPr>
      </w:pPr>
    </w:p>
    <w:bookmarkStart w:id="9" w:name="page10"/>
    <w:bookmarkEnd w:id="9"/>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Trading Day, the per share volume weighted average price of the shares of Common Stock as displayed under the heading “Bloomberg VWAP” on the applicable Bloomberg page (or, if such page is not available, its equivalent successor page) in respect of the period from the scheduled open of trading until the scheduled close of trading of the primary trading session on such Trading Day (or, if such volume weighted average price is unavailable, the market value of one share of Common Stock on such Trading Day, determined, using a volume weighted average price method, by a nationally recognized independent investment banking firm selected by the Company). The VWAP will be determined without regard to after-hours trading or any other trading outside of the regular trading session.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Purchase and Delivery of Shares; Closing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5"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upon the terms and subject to the conditions set forth herein, the Company agrees to sell to each Purchaser, and each Purchaser agrees to purchase, severally and not jointly with each other Purchaser, a number of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equal to the quotient of (x) the Subscription Amount of such Purchaser divided by (y) the Purchase Price (rounded down to the nearest whole share), for an aggregate purchase price equal to the Subscription Amount. Upon the satisfaction or waiver of the conditions set forth in Section 2.3, the closing of the purchase and sale of the Shares pursuant to this Agreement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virtually by the electronic exchange of documents. At or prior to the Closing, each Purchaser shall execute any related agreements or other documents, in each case, required to be executed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hereof, dated on or before the Closing Date.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Deliveries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evidence of issuance by book entry of the Shares, registered in the name of such Purchaser;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Certificate;</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6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form and substance satisfactory to the Purchasers, executed on behalf of the Company by its Secretary, dated as of the Closing Date, certifying the resolutions adopted by the Board of Directors of the Company approving the transactions contemplated by this Agreement, the other Transaction Documents and the issuance of the Shares, certifying the current versions of the Certificate of Incorporation and Bylaws of the Company and certifying as to the signatures and authority of persons signing the Transaction Documents and related documents on behalf of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0" w:name="page11"/>
    <w:bookmarkEnd w:id="10"/>
    <w:p>
      <w:pPr>
        <w:ind w:left="420" w:right="100" w:firstLine="948"/>
        <w:spacing w:after="0" w:line="256" w:lineRule="auto"/>
        <w:tabs>
          <w:tab w:leader="none" w:pos="167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opinion letter from Simpson Thacher &amp; Bartlett LLP, the Company’s counsel, dated as of the Closing Date, addressed to the Purchasers, in customary form and substance that is reasonably acceptable to the Purchasers and the Placement Agent, addressing such legal matters as the Company, the Purchasers and the Placement Agent reasonably agree, which letter shall include a statement acknowledging that the Placement Agent may rely on such letter and the opinions set forth therein in its capacity as placement agent for the transactions contemplated by this Agreement and solely for the purposes of its acting in such capacity, subject to the assumptions, qualifications and limitations set forth therein, as if such letter were addressed to the Placement Agent;</w:t>
      </w:r>
    </w:p>
    <w:p>
      <w:pPr>
        <w:spacing w:after="0" w:line="79" w:lineRule="exact"/>
        <w:rPr>
          <w:rFonts w:ascii="Times New Roman" w:cs="Times New Roman" w:eastAsia="Times New Roman" w:hAnsi="Times New Roman"/>
          <w:sz w:val="18"/>
          <w:szCs w:val="18"/>
          <w:color w:val="auto"/>
        </w:rPr>
      </w:pPr>
    </w:p>
    <w:p>
      <w:pPr>
        <w:ind w:left="420" w:right="560" w:firstLine="948"/>
        <w:spacing w:after="0" w:line="282" w:lineRule="auto"/>
        <w:tabs>
          <w:tab w:leader="none" w:pos="172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Chief Executive Officer or Chief Financial Officer, which shall be provided at least two (2) Business Days prior to the Closing Date; and</w:t>
      </w:r>
    </w:p>
    <w:p>
      <w:pPr>
        <w:spacing w:after="0" w:line="53" w:lineRule="exact"/>
        <w:rPr>
          <w:rFonts w:ascii="Times New Roman" w:cs="Times New Roman" w:eastAsia="Times New Roman" w:hAnsi="Times New Roman"/>
          <w:sz w:val="18"/>
          <w:szCs w:val="18"/>
          <w:color w:val="auto"/>
        </w:rPr>
      </w:pPr>
    </w:p>
    <w:p>
      <w:pPr>
        <w:ind w:left="1780" w:hanging="412"/>
        <w:spacing w:after="0"/>
        <w:tabs>
          <w:tab w:leader="none" w:pos="17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State of the State of Delaware dated as of the Closing Date, to the effect that the Company is in</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w:t>
      </w:r>
    </w:p>
    <w:p>
      <w:pPr>
        <w:spacing w:after="0" w:line="206"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117" w:lineRule="exact"/>
        <w:rPr>
          <w:rFonts w:ascii="Times New Roman" w:cs="Times New Roman" w:eastAsia="Times New Roman" w:hAnsi="Times New Roman"/>
          <w:sz w:val="18"/>
          <w:szCs w:val="18"/>
          <w:color w:val="auto"/>
        </w:rPr>
      </w:pPr>
    </w:p>
    <w:p>
      <w:pPr>
        <w:ind w:left="1580" w:hanging="212"/>
        <w:spacing w:after="0"/>
        <w:tabs>
          <w:tab w:leader="none" w:pos="15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117" w:lineRule="exact"/>
        <w:rPr>
          <w:rFonts w:ascii="Times New Roman" w:cs="Times New Roman" w:eastAsia="Times New Roman" w:hAnsi="Times New Roman"/>
          <w:sz w:val="18"/>
          <w:szCs w:val="18"/>
          <w:color w:val="auto"/>
        </w:rPr>
      </w:pPr>
    </w:p>
    <w:p>
      <w:pPr>
        <w:ind w:left="1640" w:hanging="272"/>
        <w:spacing w:after="0"/>
        <w:tabs>
          <w:tab w:leader="none" w:pos="1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 and</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w:t>
      </w:r>
    </w:p>
    <w:p>
      <w:pPr>
        <w:spacing w:after="0" w:line="225" w:lineRule="exact"/>
        <w:rPr>
          <w:rFonts w:ascii="Times New Roman" w:cs="Times New Roman" w:eastAsia="Times New Roman" w:hAnsi="Times New Roman"/>
          <w:sz w:val="18"/>
          <w:szCs w:val="18"/>
          <w:color w:val="auto"/>
        </w:rPr>
      </w:pPr>
    </w:p>
    <w:p>
      <w:pPr>
        <w:ind w:left="-20" w:firstLine="987"/>
        <w:spacing w:after="0" w:line="261" w:lineRule="auto"/>
        <w:tabs>
          <w:tab w:leader="none" w:pos="12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Closing does not occur within three (3) business days after the Closing Date, and the Purchaser has paid the Subscription Amount prior to the Closing Date, then the Company shall promptly (but not later than one (1) Business Day thereafter) return to the Purchaser the Subscription Amount, and any book-entries for the Shares shall be deemed repurchased and cancelled; provided that, unless this Agreement has been terminated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hereof, such return of the Subscription Amount shall not terminate this Agreement.</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Closing Conditions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660" w:firstLine="987"/>
        <w:spacing w:after="0" w:line="282" w:lineRule="auto"/>
        <w:tabs>
          <w:tab w:leader="none" w:pos="121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Company to consummate the Closing shall be subject to the satisfaction or valid waiver in writing by the Company of the additional conditions that, on the Closing Date:</w:t>
      </w:r>
    </w:p>
    <w:p>
      <w:pPr>
        <w:spacing w:after="0" w:line="53" w:lineRule="exact"/>
        <w:rPr>
          <w:rFonts w:ascii="Times New Roman" w:cs="Times New Roman" w:eastAsia="Times New Roman" w:hAnsi="Times New Roman"/>
          <w:sz w:val="18"/>
          <w:szCs w:val="18"/>
          <w:color w:val="auto"/>
        </w:rPr>
      </w:pPr>
    </w:p>
    <w:p>
      <w:pPr>
        <w:ind w:left="420" w:right="100" w:firstLine="948"/>
        <w:spacing w:after="0" w:line="266" w:lineRule="auto"/>
        <w:tabs>
          <w:tab w:leader="none" w:pos="158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Purchaser contained herein shall be true and correct as of the Closing Date as if made as of the Closing Date (unless such representation or warranty was made as of a specific date, in which case such representation and warranty shall be true and correct as of such date);</w:t>
      </w:r>
    </w:p>
    <w:p>
      <w:pPr>
        <w:spacing w:after="0" w:line="67" w:lineRule="exact"/>
        <w:rPr>
          <w:rFonts w:ascii="Times New Roman" w:cs="Times New Roman" w:eastAsia="Times New Roman" w:hAnsi="Times New Roman"/>
          <w:sz w:val="18"/>
          <w:szCs w:val="18"/>
          <w:color w:val="auto"/>
        </w:rPr>
      </w:pPr>
    </w:p>
    <w:p>
      <w:pPr>
        <w:ind w:left="420" w:right="280" w:firstLine="948"/>
        <w:spacing w:after="0" w:line="282" w:lineRule="auto"/>
        <w:tabs>
          <w:tab w:leader="none" w:pos="163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to be performed or complied with by each such Purchaser on or prior to the Closing shall have been performed or complied with by it in all material respects;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60" w:top="270" w:right="459" w:bottom="1440" w:gutter="0" w:footer="0" w:header="0"/>
        </w:sectPr>
      </w:pPr>
    </w:p>
    <w:bookmarkStart w:id="11" w:name="page12"/>
    <w:bookmarkEnd w:id="11"/>
    <w:p>
      <w:pPr>
        <w:ind w:left="1700" w:hanging="312"/>
        <w:spacing w:after="0"/>
        <w:tabs>
          <w:tab w:leader="none" w:pos="17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the Closing, the Purchaser shall have delivered the items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to consummate the Closing shall be subject to the satisfaction or valid waiver in writing by each Purchaser solely as to such Purchaser of the additional conditions that, on the Closing Date:</w:t>
      </w:r>
    </w:p>
    <w:p>
      <w:pPr>
        <w:spacing w:after="0" w:line="53" w:lineRule="exact"/>
        <w:rPr>
          <w:rFonts w:ascii="Times New Roman" w:cs="Times New Roman" w:eastAsia="Times New Roman" w:hAnsi="Times New Roman"/>
          <w:sz w:val="18"/>
          <w:szCs w:val="18"/>
          <w:color w:val="auto"/>
        </w:rPr>
      </w:pPr>
    </w:p>
    <w:p>
      <w:pPr>
        <w:ind w:left="440" w:right="60" w:firstLine="948"/>
        <w:spacing w:after="0" w:line="256" w:lineRule="auto"/>
        <w:tabs>
          <w:tab w:leader="none" w:pos="160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spacing w:after="0" w:line="79" w:lineRule="exact"/>
        <w:rPr>
          <w:sz w:val="20"/>
          <w:szCs w:val="20"/>
          <w:color w:val="auto"/>
        </w:rPr>
      </w:pPr>
    </w:p>
    <w:p>
      <w:pPr>
        <w:ind w:left="440" w:right="20" w:firstLine="948"/>
        <w:spacing w:after="0" w:line="282" w:lineRule="auto"/>
        <w:tabs>
          <w:tab w:leader="none" w:pos="16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to be performed or complied with by the Company on or prior to the Closing shall have been performed or complied with by it in all material respects;</w:t>
      </w:r>
    </w:p>
    <w:p>
      <w:pPr>
        <w:spacing w:after="0" w:line="53" w:lineRule="exact"/>
        <w:rPr>
          <w:rFonts w:ascii="Times New Roman" w:cs="Times New Roman" w:eastAsia="Times New Roman" w:hAnsi="Times New Roman"/>
          <w:sz w:val="18"/>
          <w:szCs w:val="18"/>
          <w:color w:val="auto"/>
        </w:rPr>
      </w:pPr>
    </w:p>
    <w:p>
      <w:pPr>
        <w:jc w:val="both"/>
        <w:ind w:left="440" w:right="40" w:firstLine="948"/>
        <w:spacing w:after="0" w:line="261" w:lineRule="auto"/>
        <w:tabs>
          <w:tab w:leader="none" w:pos="17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have entered into any side letter agreement or similar agreement or understanding (written or oral) with any other Purchaser or any other investor or potential investor in connection with such other Purchaser’s, investor’s or potential investor’s direct or indirect investment in the Company, in each case, providing terms with respect to such investment that are materially more favorable than those provided in the Transaction Documents;</w:t>
      </w:r>
    </w:p>
    <w:p>
      <w:pPr>
        <w:spacing w:after="0" w:line="71" w:lineRule="exact"/>
        <w:rPr>
          <w:rFonts w:ascii="Times New Roman" w:cs="Times New Roman" w:eastAsia="Times New Roman" w:hAnsi="Times New Roman"/>
          <w:sz w:val="18"/>
          <w:szCs w:val="18"/>
          <w:color w:val="auto"/>
        </w:rPr>
      </w:pPr>
    </w:p>
    <w:p>
      <w:pPr>
        <w:ind w:left="440" w:right="220" w:firstLine="948"/>
        <w:spacing w:after="0" w:line="282" w:lineRule="auto"/>
        <w:tabs>
          <w:tab w:leader="none" w:pos="16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with Nasdaq a Listing of Additional Shares notice form for the listing of the Shares and shall not have received any objection to such notice from Nasdaq;</w:t>
      </w:r>
    </w:p>
    <w:p>
      <w:pPr>
        <w:spacing w:after="0" w:line="53"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or suspension of trading imposed by Nasdaq, the SEC or any other governmental or regulatory body with respect to public trading in the Common Stock;</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Closing, the delivery by the Company of the items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of this Agreement;</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Effect shall have occurred since the date hereof;</w:t>
      </w:r>
    </w:p>
    <w:p>
      <w:pPr>
        <w:spacing w:after="0" w:line="117" w:lineRule="exact"/>
        <w:rPr>
          <w:rFonts w:ascii="Times New Roman" w:cs="Times New Roman" w:eastAsia="Times New Roman" w:hAnsi="Times New Roman"/>
          <w:sz w:val="18"/>
          <w:szCs w:val="18"/>
          <w:color w:val="auto"/>
        </w:rPr>
      </w:pPr>
    </w:p>
    <w:p>
      <w:pPr>
        <w:jc w:val="both"/>
        <w:ind w:left="440" w:right="220" w:firstLine="948"/>
        <w:spacing w:after="0" w:line="261" w:lineRule="auto"/>
        <w:tabs>
          <w:tab w:leader="none" w:pos="17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2" w:name="page13"/>
    <w:bookmarkEnd w:id="12"/>
    <w:p>
      <w:pPr>
        <w:ind w:left="440" w:right="240" w:firstLine="948"/>
        <w:spacing w:after="0" w:line="282" w:lineRule="auto"/>
        <w:tabs>
          <w:tab w:leader="none" w:pos="169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governmental authority shall have issued any order, decree or ruling, and no law shall be in effect, enjoining, restraining or otherwise prohibiting any of the transactions contemplated hereby; and</w:t>
      </w:r>
    </w:p>
    <w:p>
      <w:pPr>
        <w:spacing w:after="0" w:line="53" w:lineRule="exact"/>
        <w:rPr>
          <w:rFonts w:ascii="Times New Roman" w:cs="Times New Roman" w:eastAsia="Times New Roman" w:hAnsi="Times New Roman"/>
          <w:sz w:val="18"/>
          <w:szCs w:val="18"/>
          <w:color w:val="auto"/>
        </w:rPr>
      </w:pPr>
    </w:p>
    <w:p>
      <w:pPr>
        <w:ind w:left="440" w:right="380" w:firstLine="948"/>
        <w:spacing w:after="0" w:line="266" w:lineRule="auto"/>
        <w:tabs>
          <w:tab w:leader="none" w:pos="1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of the purchase of Shares by each Purchaser shall occur substantially concurrently, provided that a failure by any Purchaser to provide the deliverables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or satisfy the requirements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shall not affect the timing of the Closing in respect of any other Purchaser.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17"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Representations and Warranties of the Company</w:t>
      </w:r>
      <w:r>
        <w:rPr>
          <w:rFonts w:ascii="Times New Roman" w:cs="Times New Roman" w:eastAsia="Times New Roman" w:hAnsi="Times New Roman"/>
          <w:sz w:val="18"/>
          <w:szCs w:val="18"/>
          <w:color w:val="auto"/>
        </w:rPr>
        <w:t>. The Company hereby represents and warrants to each Purchaser that the following representations and warranties are true and complete as of the date hereof and as of the Closing Date (other than representations and warranties which address matters only as of a certain date, which shall be true and correct as written as of such certain date):</w:t>
      </w:r>
    </w:p>
    <w:p>
      <w:pPr>
        <w:spacing w:after="0" w:line="175" w:lineRule="exact"/>
        <w:rPr>
          <w:sz w:val="20"/>
          <w:szCs w:val="20"/>
          <w:color w:val="auto"/>
        </w:rPr>
      </w:pPr>
    </w:p>
    <w:p>
      <w:pPr>
        <w:ind w:firstLine="987"/>
        <w:spacing w:after="0" w:line="253" w:lineRule="auto"/>
        <w:tabs>
          <w:tab w:leader="none" w:pos="12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validly existing and in good standing under the laws of the jurisdiction of its incorporation, (ii) has the requisite power and authority to own, lease and operate its properties, to carry on its business as it is now being conducted and to enter into and perform its obligations under this Agreement and the other Transaction Documents,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cause a Material Adverse Effect. Each Subsidiary of the Company is (i) a corporation, limited liability company or other entity validly existing and in good standing under the laws of the jurisdiction of its incorporation, (ii) has the requisite power and authority to own, lease and operate its properties, to carry on its business as it is now being conducted, and (iii) is duly licensed or qualified to conduct its business and, if applicable, is in good standing under the laws of each jurisdiction (other than its jurisdiction of incorporation or formation) in which the conduct of its business or the ownership of its properties or assets requires such license or qualification, except, with respect to the foregoing clause (iii), where the failure to be in good standing would not cause Material Adverse Effect. Neither the Company nor any of its Subsidiaries is in violation of any provision of its Organizational Documents in any material respect.</w:t>
      </w:r>
    </w:p>
    <w:p>
      <w:pPr>
        <w:spacing w:after="0" w:line="189"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each of the other Transaction Documents by the Company and the consummation by the Company of the transactions contemplated hereby and thereby have been duly authorized by all necessary action on the part of the Company and no further action is required by the Company, its Board of Directors, or its stockholders in connection herewith or therewith. This Agreement and each other Transaction Document to which the Company is a party has been (or upon delivery will have been)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 w:name="page14"/>
    <w:bookmarkEnd w:id="13"/>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duly executed by the Company and, when duly executed by the other parties thereto and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3" w:lineRule="exact"/>
        <w:rPr>
          <w:sz w:val="20"/>
          <w:szCs w:val="20"/>
          <w:color w:val="auto"/>
        </w:rPr>
      </w:pPr>
    </w:p>
    <w:p>
      <w:pPr>
        <w:ind w:left="4" w:right="380" w:firstLine="987"/>
        <w:spacing w:after="0" w:line="261" w:lineRule="auto"/>
        <w:tabs>
          <w:tab w:leader="none" w:pos="12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other Transaction Documents to which it is a party, the issuance of the Shares and the consummation by the Company of the transactions contemplated hereby and thereby do not and will not</w:t>
      </w:r>
    </w:p>
    <w:p>
      <w:pPr>
        <w:ind w:left="4" w:hanging="4"/>
        <w:spacing w:after="0" w:line="268" w:lineRule="auto"/>
        <w:tabs>
          <w:tab w:leader="none" w:pos="21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 with or violate any material provision of the Company’s certificate of incorporation or bylaws,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to which the Company or any Subsidiary is a party or by which any property or asset of the Company or any Subsidiary is bound or affected, (each a “</w:t>
      </w:r>
      <w:r>
        <w:rPr>
          <w:rFonts w:ascii="Times New Roman" w:cs="Times New Roman" w:eastAsia="Times New Roman" w:hAnsi="Times New Roman"/>
          <w:sz w:val="17"/>
          <w:szCs w:val="17"/>
          <w:b w:val="1"/>
          <w:bCs w:val="1"/>
          <w:color w:val="auto"/>
        </w:rPr>
        <w:t>Contract</w:t>
      </w:r>
      <w:r>
        <w:rPr>
          <w:rFonts w:ascii="Times New Roman" w:cs="Times New Roman" w:eastAsia="Times New Roman" w:hAnsi="Times New Roman"/>
          <w:sz w:val="17"/>
          <w:szCs w:val="17"/>
          <w:color w:val="auto"/>
        </w:rPr>
        <w:t xml:space="preserve">”) or (iii) assuming the accuracy of the representations and warranties of each Purchaser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of this Agreement,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cause Material Adverse Effect.</w:t>
      </w:r>
    </w:p>
    <w:p>
      <w:pPr>
        <w:spacing w:after="0" w:line="177" w:lineRule="exact"/>
        <w:rPr>
          <w:rFonts w:ascii="Times New Roman" w:cs="Times New Roman" w:eastAsia="Times New Roman" w:hAnsi="Times New Roman"/>
          <w:sz w:val="17"/>
          <w:szCs w:val="17"/>
          <w:color w:val="auto"/>
        </w:rPr>
      </w:pPr>
    </w:p>
    <w:p>
      <w:pPr>
        <w:ind w:left="4" w:firstLine="987"/>
        <w:spacing w:after="0" w:line="255" w:lineRule="auto"/>
        <w:tabs>
          <w:tab w:leader="none" w:pos="12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of each Purchaser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Agreement, the Company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Agreement or the other Transaction Documents (including, without limitation, the issuance of the Shares), other than (i) filings required by applicable state securities laws, (ii) the filing of the Registration Statement pursuant to the Registration Rights Agreement, (iii) filings required by the Commission, (iv) filings required by the Trading Market, and (v) those filings, the failure of which to obtain would not have a Material Adverse Effect.</w:t>
      </w:r>
    </w:p>
    <w:p>
      <w:pPr>
        <w:spacing w:after="0" w:line="188" w:lineRule="exact"/>
        <w:rPr>
          <w:rFonts w:ascii="Times New Roman" w:cs="Times New Roman" w:eastAsia="Times New Roman" w:hAnsi="Times New Roman"/>
          <w:sz w:val="18"/>
          <w:szCs w:val="18"/>
          <w:color w:val="auto"/>
        </w:rPr>
      </w:pPr>
    </w:p>
    <w:p>
      <w:pPr>
        <w:ind w:left="4" w:right="60" w:firstLine="987"/>
        <w:spacing w:after="0" w:line="312" w:lineRule="auto"/>
        <w:tabs>
          <w:tab w:leader="none" w:pos="12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are duly authorized and, when issued and paid for in accordance with this Agreement, will be duly and validly issued, fully paid and nonassessable, free and clear of all Liens imposed by the Company, except for restrictions on transfer imposed by applicable securities laws.</w:t>
      </w:r>
    </w:p>
    <w:p>
      <w:pPr>
        <w:spacing w:after="0" w:line="139" w:lineRule="exact"/>
        <w:rPr>
          <w:rFonts w:ascii="Times New Roman" w:cs="Times New Roman" w:eastAsia="Times New Roman" w:hAnsi="Times New Roman"/>
          <w:sz w:val="17"/>
          <w:szCs w:val="17"/>
          <w:color w:val="auto"/>
        </w:rPr>
      </w:pPr>
    </w:p>
    <w:p>
      <w:pPr>
        <w:ind w:left="4" w:right="180" w:firstLine="987"/>
        <w:spacing w:after="0" w:line="282" w:lineRule="auto"/>
        <w:tabs>
          <w:tab w:leader="none" w:pos="12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liabilities of any nature (whether accrued, absolute, contingent or otherwise) that would be required under GAAP, to be reflected on a consolidated balance sheet of the Company (including the notes thereto) except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4" w:name="page15"/>
    <w:bookmarkEnd w:id="14"/>
    <w:p>
      <w:pPr>
        <w:ind w:left="4"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liabilities (i) reflected or reserved against in the consolidated balance sheet (or the notes thereto) of the Company and its Subsidiaries as of September 30, 2025 (the “Balance Sheet Date”) included in the SEC Reports, (ii) incurred after the Balance Sheet Date in the ordinary course of business and, in any case, do not arise from any material breach of a Contract, (iii) expressly contemplated by this Agreement or otherwise incurred in connection with the transactions contemplated hereby, (iv) that have been discharged or paid prior to the date hereof, (v) as otherwise disclosed in the Company’s quarterly report on Form 10-Q for the quarter ended September 30, 2025 or in SEC Reports filed or furnished after the filing of such Form 10-Q and prior to the date hereof or (vi) as would not, individually or in the aggregate, have had or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ind w:left="4" w:firstLine="987"/>
        <w:spacing w:after="0" w:line="253" w:lineRule="auto"/>
        <w:tabs>
          <w:tab w:leader="none" w:pos="12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SEC Reports or as otherwise would not, singly or in the aggregate, reasonably be expected to result in a Material Adverse Effect, there is no action, suit, proceeding, inquiry or investigation before or brought by any Governmental Entity (including, without limitation, NASA and the U.S. Department of Defense) now pending or, to the knowledge of the Company, threatened, against or affecting the Company or any of its Subsidiaries (collectively,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which would adversely affect its properties or assets, the consummation of the transactions contemplated in this Agreement or the performance by the Company of its obligations hereunder, or the legality, validity or enforceability of the Transaction Documents; and the aggregate of all pending legal or governmental actions, suits, inquiries, investigations or proceedings to which the Company or any of its Subsidiaries is a party or of which any of their respective properties or assets is the subject which are not described in the SEC Reports, including ordinary routine litigation incidental to the business, would not, singly or in the aggregate, reasonably be expected to result in a Material Adverse Effect. The Commission has not issued any stop order or other order suspending the effectiveness of any registration statement filed by the Company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left="4" w:right="40" w:firstLine="987"/>
        <w:spacing w:after="0" w:line="276" w:lineRule="auto"/>
        <w:tabs>
          <w:tab w:leader="none" w:pos="125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the accuracy of each Purchaser’s representations and warranties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of this Agreement, (i) no registration under the Securities Act or any state securities (or Blue Sky) laws is required for the offer and sale of the Shares by the Company to such Purchaser and</w:t>
      </w:r>
    </w:p>
    <w:p>
      <w:pPr>
        <w:jc w:val="both"/>
        <w:ind w:left="4" w:right="40" w:hanging="4"/>
        <w:spacing w:after="0" w:line="253"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qualification, designation, declaration or filing with, any federal, state, local or other governmental authority, self-regulatory organization or other person is required on the part of the Company in connection with the consummation of the transactions contemplated by this Agreement (including, without limitation, the issuance of the Shares), except for filings pursuant to the Exchange Act, Regulation D of the Securities Act and applicable state securities laws and any such filings required by the applicable Trading Market.</w:t>
      </w:r>
    </w:p>
    <w:p>
      <w:pPr>
        <w:spacing w:after="0" w:line="188"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person acting on its behalf has engaged in any form of general solicitation or general advertising (within the meaning of Regulation D) in connection with any offer or sale of the Shares. The Shares are not being offered in a manner involving a public offering under, or in a distribution in violation of, the Securities Act or any state securities laws. Neither the Company nor any person acting on the Company’s behalf has, directly or indirectly, at any time within the past six (6) months, made any offer or sale of any security or solicitation of any offer to buy any security under circumstances that would cause the offering of the Shares pursuant to this Agreement to be integrated with prior offerings by the Company for purposes of the Securities Act or any applicable stockholder approval provisions. Neither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5" w:name="page16"/>
    <w:bookmarkEnd w:id="15"/>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nor any person acting on the Company’s behalf has offered or sold any securities, or has taken any other action, which would reasonably be expected to subject the offer, issuance or sale of the Shares, as contemplated hereby, to the registration provisions of the Securities Act.</w:t>
      </w:r>
    </w:p>
    <w:p>
      <w:pPr>
        <w:spacing w:after="0" w:line="162" w:lineRule="exact"/>
        <w:rPr>
          <w:sz w:val="20"/>
          <w:szCs w:val="20"/>
          <w:color w:val="auto"/>
        </w:rPr>
      </w:pPr>
    </w:p>
    <w:p>
      <w:pPr>
        <w:ind w:right="280" w:firstLine="987"/>
        <w:spacing w:after="0" w:line="282" w:lineRule="auto"/>
        <w:tabs>
          <w:tab w:leader="none" w:pos="12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or dispute exists or, to the knowledge of the Company, is imminent with respect to any of the employees of the Company, which would reasonably be expected to cause a Material Adverse Effect.</w:t>
      </w:r>
    </w:p>
    <w:p>
      <w:pPr>
        <w:spacing w:after="0" w:line="161" w:lineRule="exact"/>
        <w:rPr>
          <w:rFonts w:ascii="Times New Roman" w:cs="Times New Roman" w:eastAsia="Times New Roman" w:hAnsi="Times New Roman"/>
          <w:sz w:val="18"/>
          <w:szCs w:val="18"/>
          <w:color w:val="auto"/>
        </w:rPr>
      </w:pPr>
    </w:p>
    <w:p>
      <w:pPr>
        <w:ind w:right="100" w:firstLine="987"/>
        <w:spacing w:after="0" w:line="258"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any of its Subsidiaries with respect to any Money Laundering Laws is pending or, to the best knowledge of the Company, threatened.</w:t>
      </w:r>
    </w:p>
    <w:p>
      <w:pPr>
        <w:spacing w:after="0" w:line="183" w:lineRule="exact"/>
        <w:rPr>
          <w:rFonts w:ascii="Times New Roman" w:cs="Times New Roman" w:eastAsia="Times New Roman" w:hAnsi="Times New Roman"/>
          <w:sz w:val="18"/>
          <w:szCs w:val="18"/>
          <w:color w:val="auto"/>
        </w:rPr>
      </w:pPr>
    </w:p>
    <w:p>
      <w:pPr>
        <w:ind w:right="100" w:firstLine="987"/>
        <w:spacing w:after="0" w:line="282" w:lineRule="auto"/>
        <w:tabs>
          <w:tab w:leader="none" w:pos="12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cause a Material Adverse Effect, the Company is in all material respects in compliance with applicable provisions of the Sarbanes-Oxley Act of 2002, as amended, and the rules and regulations thereunder.</w:t>
      </w:r>
    </w:p>
    <w:p>
      <w:pPr>
        <w:spacing w:after="0" w:line="157" w:lineRule="exact"/>
        <w:rPr>
          <w:rFonts w:ascii="Times New Roman" w:cs="Times New Roman" w:eastAsia="Times New Roman" w:hAnsi="Times New Roman"/>
          <w:sz w:val="18"/>
          <w:szCs w:val="18"/>
          <w:color w:val="auto"/>
        </w:rPr>
      </w:pPr>
    </w:p>
    <w:p>
      <w:pPr>
        <w:jc w:val="both"/>
        <w:ind w:right="400" w:firstLine="987"/>
        <w:spacing w:after="0" w:line="268" w:lineRule="auto"/>
        <w:tabs>
          <w:tab w:leader="none" w:pos="12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is eligible for clearing through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Deposit/Withdrawal At Custodian system, and the Company is eligible and participating in the Direct Registration System of DTC with respect to the Common Stock. The Company’s Transfer Agent is a participant in DTC’s Fast Automated Securities Transfer Program.</w:t>
      </w:r>
    </w:p>
    <w:p>
      <w:pPr>
        <w:spacing w:after="0" w:line="17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solely responsible for the payment of any fees, costs, expenses and commissions of the Placement Agent.</w:t>
      </w:r>
    </w:p>
    <w:p>
      <w:pPr>
        <w:spacing w:after="0" w:line="22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their respective filing dates, or, if amended, as of the date of such amendment, which shall be deemed to supersede such original filing, all reports, schedules, forms, statements and other documents required to be filed by the Company under the Securities Act and the Exchange Act, including pursuant to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15(d)</w:t>
      </w:r>
      <w:r>
        <w:rPr>
          <w:rFonts w:ascii="Times New Roman" w:cs="Times New Roman" w:eastAsia="Times New Roman" w:hAnsi="Times New Roman"/>
          <w:sz w:val="18"/>
          <w:szCs w:val="18"/>
          <w:color w:val="auto"/>
        </w:rPr>
        <w:t xml:space="preserve">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complied in all material respects with the applicable requirements of the Securities Act and the Exchange Act, and the rules and regulations of the Commission promulgated thereunder, and none of the SEC Reports, when filed, or, if amended, as of the date of such amendment, which shall be deemed to supersede such original filing, contained any untrue statement of a material fact or omitted to state a material fact required to be stated therein or necessary in order to make the statements therein, in the light of the circumstances under which they were made, not misleading. As of the date hereof, there are no material outstanding or unresolved comments in comment letters received by the Company from the staff of the Division of Corporation Finance of the Commission with respect to any of the SEC Reports.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6" w:name="page17"/>
    <w:bookmarkEnd w:id="16"/>
    <w:p>
      <w:pPr>
        <w:ind w:left="4" w:right="40" w:firstLine="987"/>
        <w:spacing w:after="0" w:line="253" w:lineRule="auto"/>
        <w:tabs>
          <w:tab w:leader="none" w:pos="12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statements of the Company included in the SEC Reports comply in all material respects with applicable accounting requirements and the rules and regulations of the Commission with respect thereto as in effect at the time of filing, or, if amended, as of the date of such amendment, which shall be deemed to supersede such original filing, and fairly present in all material respects the financial position of the Company as of and for the dates thereof and the results of operations and cash flows for the periods then ended, subject, in the case of unaudited statements, to normal, year-end audit adjustments. Notwithstanding the foregoing, this representation and warranty shall not apply to any statement or information in the SEC Reports that relates or arises from any statement or information in the SEC Reports that relates to changes to historical accounting policies of the Company in connection with any order, directive, guideline, comment or recommendation from the Commission or the Company’s auditor or accountant that is applicable to the Company (collectively, the “</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nor shall any correction, amendment, revision or restatement of the Company’s financial statements due wholly or in part to the SEC Guidance or any other accounting matters, nor any other effects that relate to or arise out of, or are in connection with or in response to, any of the foregoing or any changes in accounting or disclosure related thereto, be deemed to be a breach of any representation or warranty by the Company or material noncompliance for purposes of this Agreement or the other Transaction Documents.</w:t>
      </w:r>
    </w:p>
    <w:p>
      <w:pPr>
        <w:spacing w:after="0" w:line="189" w:lineRule="exact"/>
        <w:rPr>
          <w:rFonts w:ascii="Times New Roman" w:cs="Times New Roman" w:eastAsia="Times New Roman" w:hAnsi="Times New Roman"/>
          <w:sz w:val="18"/>
          <w:szCs w:val="18"/>
          <w:color w:val="auto"/>
        </w:rPr>
      </w:pPr>
    </w:p>
    <w:p>
      <w:pPr>
        <w:ind w:left="4" w:firstLine="987"/>
        <w:spacing w:after="0" w:line="251" w:lineRule="auto"/>
        <w:tabs>
          <w:tab w:leader="none" w:pos="125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issued and outstanding shares of capital stock of the Company are as set forth in the SEC Reports (except for subsequent issuances, if any, pursuant to this Agreement, pursuant to reservations, agreements or employee benefit plans referred to in the SEC Reports or pursuant to the exercise of convertible securities or options referred to in the SEC Reports). The outstanding shares of capital stock or other equity interests of the Company have been duly authorized and validly issued and are fully paid and non-assessable. None of the outstanding shares of capital stock or other equity interests of the Company were issued in violation of any preemptive or other similar rights of any securityholder of the Company. No Person has any right of first refusal, preemptive right, right of participation, or any similar right to participate in the transactions contemplated by the Transaction Documents that has not been waived. Except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Except as disclosed in the SEC Reports, the issuance and sale of the Shares will not obligate the Company to issue shares of Common Stock or other securities to any Person. Except as disclosed in the SEC Reports, there are no outstanding securities or instruments of the Company with any provision that adjusts the exercise, conversion, exchange or reset price of such security or instrument upon an issuance of securities by the Company. Except as disclosed in the SEC Reports, there are no outstanding securities or instruments of the Company that contain any redemption or similar provisions, and there are no contracts, commitments, understandings or arrangements by which the Company is or may become bound to redeem a security of the Company. Except as set forth above and as set forth in the SEC Reports, there are no outstanding (a) shares, equity interests or voting securities of the Company,</w:t>
      </w:r>
    </w:p>
    <w:p>
      <w:pPr>
        <w:spacing w:after="0" w:line="10" w:lineRule="exact"/>
        <w:rPr>
          <w:rFonts w:ascii="Times New Roman" w:cs="Times New Roman" w:eastAsia="Times New Roman" w:hAnsi="Times New Roman"/>
          <w:sz w:val="18"/>
          <w:szCs w:val="18"/>
          <w:color w:val="auto"/>
        </w:rPr>
      </w:pPr>
    </w:p>
    <w:p>
      <w:pPr>
        <w:ind w:left="4" w:right="420" w:hanging="4"/>
        <w:spacing w:after="0" w:line="260"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the Company convertible into or exchangeable for shares or other equity interests or voting securities of the Company, (c) options, warrants or other rights (including preemptive rights) or agreements, arrangements or commitments of any character, whether or not</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contingent, of the Company to subscribe for, purchase or acquire from any individual, entity or other person, and no obligation of the Company to issue, any shares of the Company, or any other equity interests or voting securities in the Company or any securities convertible into or exchangeable or exercisable for such shares or other equity interests or voting securities, (d) equity equivalents or other similar rights of or with respect to the Company, or (e) obligations of the Company to repurchase, redeem, or otherwise acquire any of the foregoing securities, shares, options, equity equivalents, interests or rights. Except as set forth in the SEC Reports, there are no stockholder agreements, voting trusts or other agreements or understandings to which the Company is a party or by which it is bound relating to the voting of any Common Stock or other equity interests in the Company.</w:t>
      </w:r>
    </w:p>
    <w:p>
      <w:pPr>
        <w:spacing w:after="0" w:line="187" w:lineRule="exact"/>
        <w:rPr>
          <w:sz w:val="20"/>
          <w:szCs w:val="20"/>
          <w:color w:val="auto"/>
        </w:rPr>
      </w:pPr>
    </w:p>
    <w:p>
      <w:pPr>
        <w:jc w:val="both"/>
        <w:ind w:right="300" w:firstLine="987"/>
        <w:spacing w:after="0" w:line="266" w:lineRule="auto"/>
        <w:tabs>
          <w:tab w:leader="none" w:pos="1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applicable Nasdaq continued listing requirements. There are no proceedings pending or, to the Company’s knowledge, threatened against the Company relating to the continued listing of the Common Stock on Nasdaq and the Company has not received any notice of, nor is there any reasonable basis for, the delisting of the Common Stock from Nasdaq.</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“investment company” within the meaning of the Investment Company Act of 1940, as amended.</w:t>
      </w:r>
    </w:p>
    <w:p>
      <w:pPr>
        <w:spacing w:after="0" w:line="225" w:lineRule="exact"/>
        <w:rPr>
          <w:rFonts w:ascii="Times New Roman" w:cs="Times New Roman" w:eastAsia="Times New Roman" w:hAnsi="Times New Roman"/>
          <w:sz w:val="18"/>
          <w:szCs w:val="18"/>
          <w:color w:val="auto"/>
        </w:rPr>
      </w:pPr>
    </w:p>
    <w:p>
      <w:pPr>
        <w:ind w:right="40" w:firstLine="987"/>
        <w:spacing w:after="0" w:line="254" w:lineRule="auto"/>
        <w:tabs>
          <w:tab w:leader="none" w:pos="12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as described in the SEC Reports;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to the Company’s knowledge,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Company’s business practices:</w:t>
      </w:r>
    </w:p>
    <w:p>
      <w:pPr>
        <w:spacing w:after="0" w:line="117" w:lineRule="exact"/>
        <w:rPr>
          <w:rFonts w:ascii="Times New Roman" w:cs="Times New Roman" w:eastAsia="Times New Roman" w:hAnsi="Times New Roman"/>
          <w:sz w:val="18"/>
          <w:szCs w:val="18"/>
          <w:color w:val="auto"/>
        </w:rPr>
      </w:pPr>
    </w:p>
    <w:p>
      <w:pPr>
        <w:ind w:left="440" w:right="120" w:firstLine="948"/>
        <w:spacing w:after="0" w:line="261" w:lineRule="auto"/>
        <w:tabs>
          <w:tab w:leader="none" w:pos="16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nor, to the knowledge of the Company, any director, officer, agent, employee, affiliate or other person acting on behalf of the Company or its Subsidiaries is aware of or has taken any action, directly or indirectly, that would result in a material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18" w:name="page19"/>
    <w:bookmarkEnd w:id="18"/>
    <w:p>
      <w:pPr>
        <w:ind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Each of the Company and, to the knowledge of the Company, its affiliates has conducted its business in material compliance with the FCPA and has instituted and maintained and will continue to maintain policies and procedures designed to ensure, and which are reasonably expected to continue to ensure, continued compliance with all applicable anti-bribery and anti-corruption laws. Neither the Company nor any of its Subsidiaries or, to the knowledge of the Company, any director, officer, agent, employee, affiliate or other person acting on behalf of the Company or any of its Subsidiaries has (i) violated or is in violation of or committed an offense under any provision of the Bribery Act 2010 of the United Kingdom or any other applicable anti-bribery or anti-corruption law or (ii) made or taken an act in furtherance of an offer, payment, promise, or authorization of the direct or indirect payment of any money benefit to any foreign or domestic government official or employee, including of any government-owned or controlled entity or of a public international organization, or any person acting in an official capacity for on behalf of any of the foregoing, or any foreign political party or official thereof or any candidate for foreign political office, in contravention of any applicable anti-bribery or anti-corruption law. Neither the Company nor its Subsidiaries will use, directly or knowingly indirectly, the proceeds from the sale of Shares in furtherance of an offer, payment, promise to pay, or authorization of the payment or giving of money, or anything else of value, to any person in violation of any applicable anti-bribery and anti-corruption laws.</w:t>
      </w:r>
    </w:p>
    <w:p>
      <w:pPr>
        <w:spacing w:after="0" w:line="74" w:lineRule="exact"/>
        <w:rPr>
          <w:sz w:val="20"/>
          <w:szCs w:val="20"/>
          <w:color w:val="auto"/>
        </w:rPr>
      </w:pPr>
    </w:p>
    <w:p>
      <w:pPr>
        <w:ind w:firstLine="948"/>
        <w:spacing w:after="0" w:line="253" w:lineRule="auto"/>
        <w:tabs>
          <w:tab w:leader="none" w:pos="12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nor, to the knowledge of the Company, any director, officer, agent, employee, affiliate or representative of the Company or any of its Subsidiaries is a Person, or is owned or controlled by one or more Persons, (i)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 (ii) located, organized or resident in a country or territory that is the subject of Sanctions, including, without limitation, Cuba, Iran, North Korea, Syria, the Crimea Region, the so-called Donetsk People’s Republic, the so-called Luhansk People’s Republic and the non-government controlled areas of Zaporizhzhia and Kherson (each, a “</w:t>
      </w:r>
      <w:r>
        <w:rPr>
          <w:rFonts w:ascii="Times New Roman" w:cs="Times New Roman" w:eastAsia="Times New Roman" w:hAnsi="Times New Roman"/>
          <w:sz w:val="18"/>
          <w:szCs w:val="18"/>
          <w:b w:val="1"/>
          <w:bCs w:val="1"/>
          <w:color w:val="auto"/>
        </w:rPr>
        <w:t>Sanctioned Territory</w:t>
      </w:r>
      <w:r>
        <w:rPr>
          <w:rFonts w:ascii="Times New Roman" w:cs="Times New Roman" w:eastAsia="Times New Roman" w:hAnsi="Times New Roman"/>
          <w:sz w:val="18"/>
          <w:szCs w:val="18"/>
          <w:color w:val="auto"/>
        </w:rPr>
        <w:t>”); and the Company will not directly or, to the knowledge of the Company, indirectly use the proceeds of the sale of the Shares, or lend, contribute or otherwise make available such proceeds to any Subsidiaries, joint venture partners or other Person, to fund or facilitate any activities of or business with any Person, or in any country or territory, that, at the time of such funding or facilitation, is the subject of Sanctions or a Sanctioned Territory or in any other manner that will result in a violation by any Person (including any Person participating in the transaction, whether as underwriter, advisor, investor or otherwise) of Sanctions.</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880" w:top="270" w:right="439" w:bottom="1440" w:gutter="0" w:footer="0" w:header="0"/>
        </w:sectPr>
      </w:pPr>
    </w:p>
    <w:bookmarkStart w:id="19" w:name="page20"/>
    <w:bookmarkEnd w:id="19"/>
    <w:p>
      <w:pPr>
        <w:ind w:left="-20" w:firstLine="987"/>
        <w:spacing w:after="0" w:line="268" w:lineRule="auto"/>
        <w:tabs>
          <w:tab w:leader="none" w:pos="126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singly or in the aggregate, reasonably be expected to result in a Material Adverse Effect, (i) each of the Company and its Subsidiaries own or possess, or can acquire on reasonable terms, adequate patents, patent rights, licenses, inventions, copyrights, data, software, know-how (including trade secrets and other unpatented and/or unpatentable proprietary or confidential information, systems or procedures), trademarks, service marks, trade names or other intellectual property (collectively, “</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necessary to carry on the business now operated by them and proposed to be operated by them, (ii) each of the Company and its Subsidiaries, and to the knowledge of the Company, any counterparties thereto are not in breach of any license agreements to which the Company or its Subsidiaries is a party, (iii) the operation of the business of the Company does not infringe, misappropriate or otherwise violate any rights in Intellectual Property of any third party and (iv) neither the Company nor any of its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 and which infringement or conflict (if the subject of any unfavorable decision, ruling or finding) or invalidity or inadequacy. The Company has taken reasonable steps in accordance with normal industry practice to maintain the confidentiality of all Intellectual Property of the Company the value of which to the Company is contingent upon maintaining the confidentiality thereof. Except as would not, singly or in the aggregate, reasonably be expected to result in a Material Adverse Effect, (i) no such Intellectual Property has been disclosed other than to employees, representatives, and agents of the Company, all of whom are bound by written confidentiality agreements; (ii) no present or former employee, officer, or director of the Company, or agent or outside contractor or consultant of the Company, holds any right, title or interest, directly or indirectly, in whole or in part, in or to any Intellectual Property owned, purported to be owned, or licensed by the Company; and (iii) each Company employee involved with the development of Intellectual Property has entered into a work-for hire or invention assignment agreement with the Company.</w:t>
      </w:r>
    </w:p>
    <w:p>
      <w:pPr>
        <w:spacing w:after="0" w:line="177" w:lineRule="exact"/>
        <w:rPr>
          <w:rFonts w:ascii="Times New Roman" w:cs="Times New Roman" w:eastAsia="Times New Roman" w:hAnsi="Times New Roman"/>
          <w:sz w:val="17"/>
          <w:szCs w:val="17"/>
          <w:color w:val="auto"/>
        </w:rPr>
      </w:pPr>
    </w:p>
    <w:p>
      <w:pPr>
        <w:ind w:left="-20" w:firstLine="987"/>
        <w:spacing w:after="0" w:line="258" w:lineRule="auto"/>
        <w:tabs>
          <w:tab w:leader="none" w:pos="1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carry, or are covered by, insurance in such amounts and covering such risks as the Company and each of its Subsidiaries reasonably believe are adequate for the conduct of their properties and as is customary for companies engaged in similar businesses in similar industries. The Company does not have any reason to believe that it will not be able to renew its existing insurance coverage as and when such coverage expires or to obtain similar coverage from similar insurers as may be necessary to continue its business (without an increase in cost of such insurance coverage that would cause a Material Adverse Effect).</w:t>
      </w:r>
    </w:p>
    <w:p>
      <w:pPr>
        <w:spacing w:after="0" w:line="183" w:lineRule="exact"/>
        <w:rPr>
          <w:rFonts w:ascii="Times New Roman" w:cs="Times New Roman" w:eastAsia="Times New Roman" w:hAnsi="Times New Roman"/>
          <w:sz w:val="18"/>
          <w:szCs w:val="18"/>
          <w:color w:val="auto"/>
        </w:rPr>
      </w:pPr>
    </w:p>
    <w:p>
      <w:pPr>
        <w:ind w:left="-20" w:right="40" w:firstLine="987"/>
        <w:spacing w:after="0" w:line="255" w:lineRule="auto"/>
        <w:tabs>
          <w:tab w:leader="none" w:pos="12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singly or in the aggregate, reasonably be expected to result in a Material Adverse Effect, (i) each of the Company and its Subsidiaries has good and marketable title to all real property owned by them and good title to all other properties owned by them, in each case, free and clear of all mortgages, pledges, liens, security interests, claims, restrictions or encumbrances of any kind except; (ii) all of the leases under which the Company or any of its Subsidiaries holds properties described in the SEC Reports, are in full force and effect, and (iii) neither the Company nor any of its Subsidiaries has received any notice of any claim of any sort that has been asserted by anyone adverse to the rights of any of the Company or any of its Subsidiaries under any of the leases or subleases mentioned above, or affecting or questioning the rights of the Company or any of its Subsidiaries to the continued possession of the leased or subleased premises under any such lease or sublease.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60" w:top="270" w:right="459" w:bottom="1440" w:gutter="0" w:footer="0" w:header="0"/>
        </w:sectPr>
      </w:pPr>
    </w:p>
    <w:bookmarkStart w:id="20" w:name="page21"/>
    <w:bookmarkEnd w:id="20"/>
    <w:p>
      <w:pPr>
        <w:ind w:left="4" w:firstLine="987"/>
        <w:spacing w:after="0" w:line="266"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Company’s knowledge, none of the Company’s stockholders, officers or directors or any family member or affiliate of any of the foregoing, has either directly or indirectly an interest in, or is a party to, any transaction that would be required to be disclosed as a related party transaction pursuant to Item 404 of Regulation S-K promulgated under the Securities Act that is not so disclosed.</w:t>
      </w:r>
    </w:p>
    <w:p>
      <w:pPr>
        <w:spacing w:after="0" w:line="176" w:lineRule="exact"/>
        <w:rPr>
          <w:sz w:val="20"/>
          <w:szCs w:val="20"/>
          <w:color w:val="auto"/>
        </w:rPr>
      </w:pPr>
    </w:p>
    <w:p>
      <w:pPr>
        <w:ind w:left="4" w:firstLine="987"/>
        <w:spacing w:after="0" w:line="266" w:lineRule="auto"/>
        <w:tabs>
          <w:tab w:leader="none" w:pos="13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Placement Agent’s fees, no brokerage or finder’s fees or commissions are or will be payable by the Company to any broker, financial advisor or consultant, finder, placement agent, investment banker, bank or other Person with respect to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3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 disclosed in the SEC Reports, (ii) have been waived and (iii) as provided for in the Company’s Registration Rights Agreement with the Purchasers of even date herewith, no Person has any right to cause the Company to effect the registration under the Securities Act of any securities of the Company.</w:t>
      </w:r>
    </w:p>
    <w:p>
      <w:pPr>
        <w:spacing w:after="0" w:line="175" w:lineRule="exact"/>
        <w:rPr>
          <w:rFonts w:ascii="Times New Roman" w:cs="Times New Roman" w:eastAsia="Times New Roman" w:hAnsi="Times New Roman"/>
          <w:sz w:val="18"/>
          <w:szCs w:val="18"/>
          <w:color w:val="auto"/>
        </w:rPr>
      </w:pPr>
    </w:p>
    <w:p>
      <w:pPr>
        <w:ind w:left="4" w:right="60" w:firstLine="987"/>
        <w:spacing w:after="0" w:line="276" w:lineRule="auto"/>
        <w:tabs>
          <w:tab w:leader="none" w:pos="132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matters that would not, individually or in the aggregate, cause a Material Adverse Effect, the Company and its Subsidiaries each (i) has made or filed all applicable income and franchise tax returns, reports and declarations required by any jurisdiction to which it is subject,</w:t>
      </w:r>
    </w:p>
    <w:p>
      <w:pPr>
        <w:ind w:left="4" w:right="80" w:hanging="4"/>
        <w:spacing w:after="0" w:line="253"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paid all taxes and other governmental assessments and charges that are material in amount, shown or determined to be due on such returns, reports and declarations, (iii) has set aside on its books provision reasonably adequate for the payment of all material taxes for periods subsequent to the periods to which such returns, reports or declarations apply and (iv) there are no unpaid taxes in any material amount claimed to be due by the taxing authority of any jurisdiction, and the officers of the Company or of any Subsidiary know of no basis for any such claim. The Company is classified as a Subchapter C corporation for U.S. federal tax purposes.</w:t>
      </w:r>
    </w:p>
    <w:p>
      <w:pPr>
        <w:spacing w:after="0" w:line="186"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3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88"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3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accounting firm is Grant Thornton LLP. To the knowledge and belief of the Company, such accounting firm is a registered public accounting firm as required by the Exchange Act.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1" w:name="page22"/>
    <w:bookmarkEnd w:id="21"/>
    <w:p>
      <w:pPr>
        <w:ind w:left="4" w:firstLine="987"/>
        <w:spacing w:after="0" w:line="254" w:lineRule="auto"/>
        <w:tabs>
          <w:tab w:leader="none" w:pos="12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191" w:lineRule="exact"/>
        <w:rPr>
          <w:rFonts w:ascii="Times New Roman" w:cs="Times New Roman" w:eastAsia="Times New Roman" w:hAnsi="Times New Roman"/>
          <w:sz w:val="18"/>
          <w:szCs w:val="18"/>
          <w:color w:val="auto"/>
        </w:rPr>
      </w:pPr>
    </w:p>
    <w:p>
      <w:pPr>
        <w:ind w:left="4" w:firstLine="987"/>
        <w:spacing w:after="0" w:line="255" w:lineRule="auto"/>
        <w:tabs>
          <w:tab w:leader="none" w:pos="13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its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left="4" w:right="60" w:firstLine="987"/>
        <w:spacing w:after="0" w:line="272" w:lineRule="auto"/>
        <w:tabs>
          <w:tab w:leader="none" w:pos="13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Agreement or elsewhere herein to the contrary notwithstanding,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w:t>
      </w:r>
    </w:p>
    <w:p>
      <w:pPr>
        <w:spacing w:after="0" w:line="1" w:lineRule="exact"/>
        <w:rPr>
          <w:rFonts w:ascii="Times New Roman" w:cs="Times New Roman" w:eastAsia="Times New Roman" w:hAnsi="Times New Roman"/>
          <w:sz w:val="17"/>
          <w:szCs w:val="17"/>
          <w:color w:val="auto"/>
        </w:rPr>
      </w:pPr>
    </w:p>
    <w:p>
      <w:pPr>
        <w:ind w:left="4" w:right="40" w:hanging="4"/>
        <w:spacing w:after="0" w:line="251"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would reduce the value of the Purchasers’ equity interests in the Company at and after the time that the hedging activities are being conducted. The Company acknowledges that such aforementioned hedging activities do not constitute a breach of any of the Transaction Documents.</w:t>
      </w:r>
    </w:p>
    <w:p>
      <w:pPr>
        <w:spacing w:after="0" w:line="193" w:lineRule="exact"/>
        <w:rPr>
          <w:rFonts w:ascii="Times New Roman" w:cs="Times New Roman" w:eastAsia="Times New Roman" w:hAnsi="Times New Roman"/>
          <w:sz w:val="18"/>
          <w:szCs w:val="18"/>
          <w:color w:val="auto"/>
        </w:rPr>
      </w:pPr>
    </w:p>
    <w:p>
      <w:pPr>
        <w:jc w:val="both"/>
        <w:ind w:left="4" w:right="400" w:firstLine="987"/>
        <w:spacing w:after="0" w:line="276" w:lineRule="auto"/>
        <w:tabs>
          <w:tab w:leader="none" w:pos="126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w:t>
      </w:r>
    </w:p>
    <w:p>
      <w:pPr>
        <w:ind w:left="4" w:right="380" w:hanging="4"/>
        <w:spacing w:after="0" w:line="260"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bid for, purchased, or, paid any compensation for soliciting purchases of, any of the Shares, or (iii) paid or agreed to pay to any Person any compensation for soliciting another to purchase any other securities of the Company.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22" w:name="page23"/>
    <w:bookmarkEnd w:id="22"/>
    <w:p>
      <w:pPr>
        <w:ind w:left="-20" w:firstLine="987"/>
        <w:spacing w:after="0" w:line="267" w:lineRule="auto"/>
        <w:tabs>
          <w:tab w:leader="none" w:pos="12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singly or in the aggregate, reasonably be expected to result in a Material Adverse Effect, (i) there has been no security breach or incident, unauthorized access or disclosure, or other compromise of, or relating to the Company’s or any of its Subsidiaries’ information technology and computer systems, networks, hardware, software, data and databases (including the data and information of their respective customers, employees, suppliers, vendors and any third party data maintained, processed or stored by the Company or any of its Subsidiaries, and any such data processed or stored by third parties on behalf of the Company or any of its Subsidiaries), equipment or technology (collectively, “</w:t>
      </w:r>
      <w:r>
        <w:rPr>
          <w:rFonts w:ascii="Times New Roman" w:cs="Times New Roman" w:eastAsia="Times New Roman" w:hAnsi="Times New Roman"/>
          <w:sz w:val="17"/>
          <w:szCs w:val="17"/>
          <w:b w:val="1"/>
          <w:bCs w:val="1"/>
          <w:color w:val="auto"/>
        </w:rPr>
        <w:t>IT Systems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Data</w:t>
      </w:r>
      <w:r>
        <w:rPr>
          <w:rFonts w:ascii="Times New Roman" w:cs="Times New Roman" w:eastAsia="Times New Roman" w:hAnsi="Times New Roman"/>
          <w:sz w:val="17"/>
          <w:szCs w:val="17"/>
          <w:color w:val="auto"/>
        </w:rPr>
        <w:t>”); (ii) neither the Company nor its Subsidiaries has been notified of, and each of them have no knowledge of any event or condition that could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 in, any security breach or incident, unauthorized access or disclosure or other compromise to their IT Systems and Data; (iii) neither the Company, its Subsidiaries, nor any third party acting at their direction or authorization has paid any perpetrator of any actual or threatened security breach or incident or cyber-attack, including, but not limited to a ransomware attack or a denial-of-service attack; and (iv)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and for the past four years have been,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singly or in the aggregate, reasonably be expected to result in a Material Adverse Effect, the Company has not received notice of any complaint, audit, proceeding, investigation, or claim against the Company or any of its Subsidiaries initiated by any Person alleging that the Company’s or any of its Subsidiaries’ practice is in violation of any privacy or information security laws; nor is the Company or any of its Subsidiaries subject to any order, judgement, or consent decree due to any of its privacy or information security practices.</w:t>
      </w:r>
    </w:p>
    <w:p>
      <w:pPr>
        <w:spacing w:after="0" w:line="189" w:lineRule="exact"/>
        <w:rPr>
          <w:rFonts w:ascii="Times New Roman" w:cs="Times New Roman" w:eastAsia="Times New Roman" w:hAnsi="Times New Roman"/>
          <w:sz w:val="17"/>
          <w:szCs w:val="17"/>
          <w:color w:val="auto"/>
        </w:rPr>
      </w:pPr>
    </w:p>
    <w:p>
      <w:pPr>
        <w:ind w:left="-20" w:right="40" w:firstLine="987"/>
        <w:spacing w:after="0" w:line="261" w:lineRule="auto"/>
        <w:tabs>
          <w:tab w:leader="none" w:pos="131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agreement or understanding with any Purchaser with respect to the transactions contemplated by the Transaction Documents other than as specified in the Transaction Documents. For the avoidance of doubt, the Company has not entered into any other securities purchase agreement with any other Person on or around the date hereof, that includes terms and conditions that are materially more advantageous to such Person than to any Purchaser hereunder.</w:t>
      </w:r>
    </w:p>
    <w:p>
      <w:pPr>
        <w:spacing w:after="0" w:line="179"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and agrees that (i) the Placement Agent is acting solely as placement agent in connection with the execution, delivery and performance of the Transaction Documents and is not acting as underwriter or in any other capacity and is not and shall not be construed as fiduciary for the Purchasers, the Company or any other person or entity in connection with the execution, delivery and performance of the Transaction Documents, (ii) the Placement Agent has not made nor will make any representation or warranty, whether express or implied, of any kind or character and the Placement Agent has not provided any advice or recommendation in connection with the execution, delivery and performance of the Transaction Documents and (iii) the Placement Agent will not have any responsibility with respect to (A) any representations, warranties or agreements made by any person or entity under or in connection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70" w:right="459" w:bottom="1440" w:gutter="0" w:footer="0" w:header="0"/>
        </w:sectPr>
      </w:pPr>
    </w:p>
    <w:bookmarkStart w:id="23" w:name="page24"/>
    <w:bookmarkEnd w:id="23"/>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execution, delivery and performance of the Transaction Documents, or the execution, legality, validity or enforceability (with respect to any person) thereof, or (B) the business, affairs, financial condition, operations or properties of, or any other matter concerning the Company.</w:t>
      </w:r>
    </w:p>
    <w:p>
      <w:pPr>
        <w:spacing w:after="0" w:line="162" w:lineRule="exact"/>
        <w:rPr>
          <w:sz w:val="20"/>
          <w:szCs w:val="20"/>
          <w:color w:val="auto"/>
        </w:rPr>
      </w:pPr>
    </w:p>
    <w:p>
      <w:pPr>
        <w:ind w:right="60" w:firstLine="987"/>
        <w:spacing w:after="0" w:line="289" w:lineRule="auto"/>
        <w:tabs>
          <w:tab w:leader="none" w:pos="14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entered into, and will not enter into, any other agreement or any definitive transaction document, side letter, undertaking letter, or other similar agreement or instrument with any Purchaser or any other purchaser of Shares in connection with the transactions contemplated hereby with terms and conditions that are more favorable than the terms and conditions provided to the Purchasers under this Agreement.</w:t>
      </w:r>
    </w:p>
    <w:p>
      <w:pPr>
        <w:spacing w:after="0" w:line="154"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of this Agreement and as of the Closing Date (or, if such representations and warranties are made with respect to a specified date, as of such date) to the Company that the following representations and warranties are true and complete as of the date hereof and as of the Closing Date:</w:t>
      </w:r>
    </w:p>
    <w:p>
      <w:pPr>
        <w:spacing w:after="0" w:line="175" w:lineRule="exact"/>
        <w:rPr>
          <w:sz w:val="20"/>
          <w:szCs w:val="20"/>
          <w:color w:val="auto"/>
        </w:rPr>
      </w:pPr>
    </w:p>
    <w:p>
      <w:pPr>
        <w:ind w:right="20" w:firstLine="987"/>
        <w:spacing w:after="0" w:line="266"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is either an individual or an entity duly incorporated or formed, validly existing and in good standing under the laws of its jurisdiction of formation or incorporation with the requisite power and authority to enter into and perform its obligations under the Transaction Documents.</w:t>
      </w:r>
    </w:p>
    <w:p>
      <w:pPr>
        <w:spacing w:after="0" w:line="175"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Document to which it is a party has been duly authorized, executed and delivered by such Purchaser, and assuming the due authorization, execution and delivery of the same by the Company, each Transaction Document to which such Purchaser is a party shall constitute the valid and legally binding obligation of such Purchaser, enforceable against such Purchaser in accordance with its terms, except as such enforceability may be limited by bankruptcy, insolvency, reorganization, moratorium and similar laws affecting creditors generally and by the availability of equitable remedies.</w:t>
      </w:r>
    </w:p>
    <w:p>
      <w:pPr>
        <w:spacing w:after="0" w:line="183"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Transaction Documents, including the purchase of the Shares hereunder, the compliance by such Purchaser with all of the provisions of the Transaction Documents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such Purchaser pursuant to the terms of (i) any indenture, mortgage, deed of trust, loan agreement, lease, license or other agreement or instrument to which such Purchaser is a party or by which such Purchaser is bound or to which any of the property or assets of such Purchaser is subject; (ii) the Organizational Documents of such Purchaser; or (iii) any statute or any judgment, order, rule or regulation of any court or governmental agency or body, domestic or foreign, having jurisdiction over such Purchaser or any of its properties that in the case of clauses (i) and (iii), would reasonably be expected to have a material adverse effect on such Purchaser’s legal authority to consummate the transactions contemplated by the Transaction Documents, including the purchase of the Shares.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24" w:name="page25"/>
    <w:bookmarkEnd w:id="24"/>
    <w:p>
      <w:pPr>
        <w:ind w:firstLine="987"/>
        <w:spacing w:after="0" w:line="254"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the time such Purchaser was offered the Shares, it was, and as of the date hereof it is, an “accredited investor” (within the meaning of Rule 501(a) under the Securities Act), satisfying the applicable requirements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(ii) acquiring the Shares only for its own account and not for the account of others, or if such Purchaser is subscribing for the Shares as a fiduciary or agent for one or more investor accounts, each owner of such account is an “accredited investor” (within the meaning of Rule 501(a) under the Securities Act) and such Purchaser has full investment discretion with respect to each such account, and the full power and authority to make the acknowledgements, representations and agreements herein on behalf of each owner of each such account, and (iii) not acquiring the Shares with a view to, or for offer or sale in connection with, any distribution thereof in violation of the Securities Act (and has provided the Company with the requested information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following the signature page hereto).</w:t>
      </w:r>
    </w:p>
    <w:p>
      <w:pPr>
        <w:spacing w:after="0" w:line="191" w:lineRule="exact"/>
        <w:rPr>
          <w:rFonts w:ascii="Times New Roman" w:cs="Times New Roman" w:eastAsia="Times New Roman" w:hAnsi="Times New Roman"/>
          <w:sz w:val="18"/>
          <w:szCs w:val="18"/>
          <w:color w:val="auto"/>
        </w:rPr>
      </w:pPr>
    </w:p>
    <w:p>
      <w:pPr>
        <w:ind w:firstLine="987"/>
        <w:spacing w:after="0" w:line="245" w:lineRule="auto"/>
        <w:tabs>
          <w:tab w:leader="none" w:pos="12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acknowledges and agrees, in reliance on the Company’s representations set forth herein, that the Shares are being offered in a transaction not involving any public offering within the meaning of the Securities Act and that the Shares have not been registered under the Securities Act or the securities laws of any state in the United States or other jurisdiction and that the Company is not required to register the Shares except as set forth in the Registration Rights Agreement. Such Purchaser acknowledges and agrees that the Shares may not be offered, resold, transferred, pledged or otherwise disposed of by such Purchaser absent an effective registration statement under the Securities Act, except (i) to the Company or a Subsidiary thereof, (ii) pursuant to an applicable exemption from the registration requirements of the Securities Act (including, without limitation, a private resale pursuant to so called “Section 4(a)1</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(iii) an ordinary course pledge such as a broker lien over account property generally, and, in each of clauses (i) through (iii), in accordance with any applicable securities laws of the states and other jurisdictions of the United States, and that any certificates or account entries representing the Shares shall contain a restrictive legend to such effect. Such Purchaser acknowledges and agrees that the Shares will be subject to these securities law transfer restrictions, and as a result of these transfer restrictions, such Purchaser may not be able to readily offer, resell, transfer, pledge or otherwise dispose of the Shares and may be required to bear the financial risk of an investment in the Shares for an indefinite period of time. The Purchaser acknowledges and agrees that the Shares will not be immediately eligible for offer, resale, transfer, pledge or disposition pursuant to Rule 144 promulgated under the Securities Act. Such Purchaser acknowledges and agrees that it has been advised to consult legal counsel prior to making any offer, resale, pledge or transfer of any of the Shares. By making the representations in this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the Purchaser does not agree to hold any of the Shares for any minimum or other specific term and reserves the right to assign, transfer or otherwise dispose of any of the Shares at any time in accordance with or pursuant to a registration statement or an exemption under the Securities Act.</w:t>
      </w:r>
    </w:p>
    <w:p>
      <w:pPr>
        <w:spacing w:after="0" w:line="197" w:lineRule="exact"/>
        <w:rPr>
          <w:rFonts w:ascii="Times New Roman" w:cs="Times New Roman" w:eastAsia="Times New Roman" w:hAnsi="Times New Roman"/>
          <w:sz w:val="18"/>
          <w:szCs w:val="18"/>
          <w:color w:val="auto"/>
        </w:rPr>
      </w:pPr>
    </w:p>
    <w:p>
      <w:pPr>
        <w:ind w:right="60" w:firstLine="987"/>
        <w:spacing w:after="0" w:line="254" w:lineRule="auto"/>
        <w:tabs>
          <w:tab w:leader="none" w:pos="12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understands and agrees that it is purchasing the Shares directly from the Company. Each Purchaser further acknowledges that there have not been, and such Purchaser hereby agrees that it is not relying on, any representations, warranties, covenants or agreements made to such Purchaser by the Company, the Placement Agent, or any of their respective Affiliates or any of their control persons, officers, directors, employees, partners, agents or representatives, or any other person or entity, expressly or by implication, other than those representations, warranties covenants and agreements of the Company set forth in this Agreement. Such Purchaser agrees that none of (i) any other Purchaser (including the controlling persons, members, officers, directors, partners, agents, or employees of any such other Purchaser) and (ii) absent its own negligence, fraud, willful misconduct, breach of agreement or violation of applicable law, the Placement Agent, their respective Affiliates or any of their respective Affiliates’ control persons, officers, directors or employees shall be liable to the Purchasers pursuant to this Agreement for any action heretofore or hereafter taken or omitted to be taken by any of them in connection with the purchase of the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5" w:name="page26"/>
    <w:bookmarkEnd w:id="25"/>
    <w:p>
      <w:pPr>
        <w:ind w:firstLine="987"/>
        <w:spacing w:after="0" w:line="252"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making its decision to purchase the Shares, such Purchaser has relied solely upon independent investigation made by such Purchaser, the SEC Reports, and the Company’s representations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 Such Purchaser acknowledges and agrees that such Purchaser has received such information as such Purchaser deems necessary in order to make an investment decision with respect to the Shares, including with respect to the Company, and made its own assessment and is satisfied concerning the relevant financial, tax and other economic considerations relevant to the Purchaser’s investment in the Shares. Without limiting the generality of the foregoing, such Purchaser acknowledges that it has been given the opportunity to review the Company’s filings with the Commission. Such Purchaser represents and agrees that such Purchaser and such Purchaser’s professional advisor(s), if any, have had the full opportunity to ask such questions, receive such answers and obtain such information as such Purchaser and the Purchaser’s professional advisor(s), if any, have deemed necessary to make an investment decision with respect to the Shares. Such Purchaser acknowledges and agrees that none of the Placement Agent or officers, directors, employees or other representatives, legal counsel, financial advisors, accountants or agents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Placement Agent has provided such Purchaser with any information, recommendation or advice with respect to the Shares nor is such information, recommendation or advice necessary or desired. The Placement Agent has not made nor makes any representation as to the Company or the quality or value of the Shares. In addition, the Company, the Placement Agent and their respective Affiliates or Representatives may have acquired non-public information with respect to the Company. In connection with the issuance of the Shares to the Purchaser, the Placement Agent has not acted as financial advisors or fiduciaries to the Purchaser.</w:t>
      </w:r>
    </w:p>
    <w:p>
      <w:pPr>
        <w:spacing w:after="0" w:line="197"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became aware of this offering of the Shares solely by means of direct contact between such Purchaser and the Company or its Affiliates, by means of direct contact between such Purchaser or its Affiliates or by means of contact from the Placement Agent, and Shares were offered to such Purchaser solely by direct contact between such Purchaser and the Company or its Affiliates and the Placement Agent. Such Purchaser did not become aware of this offering of the Shares, nor were the Shares offered to such Purchaser, by any other means.</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acknowledges that it is aware that there are substantial risks incident to the purchase and ownership of the Shares, including those set forth in the SEC Reports. Such Purchaser has such knowledge and experience in financial and business matters as to be capable of evaluating the merits and risks of an investment in the Shares, and such Purchaser has had an opportunity to seek, and has sought, such accounting, legal, business and tax advice as such Purchaser has considered necessary to make an informed investment decision. Such Purchaser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exercised independent judgment in evaluating its participation in the purchase of the Shares. Such Purchaser understands and acknowledges that the purchase and sale of the Shares hereunder meets (i) the exemptions from filing under FINRA Rule 5123(b)(1)(A) and (ii) the institutional customer exemption under FINRA Rule 2111(b).</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6" w:name="page27"/>
    <w:bookmarkEnd w:id="26"/>
    <w:p>
      <w:pPr>
        <w:ind w:left="-40" w:right="60" w:firstLine="987"/>
        <w:spacing w:after="0" w:line="266" w:lineRule="auto"/>
        <w:tabs>
          <w:tab w:leader="none" w:pos="11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Purchaser has adequately analyzed and fully considered the risks of an investment in the Shares and determined that the Shares are a suitable investment for such Purchaser and that such Purchaser is able at this time and in the foreseeable future to bear the economic risk of a total loss of such Purchaser’s investment in the Company. Such Purchaser acknowledges specifically that a possibility of total loss exists.</w:t>
      </w:r>
    </w:p>
    <w:p>
      <w:pPr>
        <w:spacing w:after="0" w:line="175" w:lineRule="exact"/>
        <w:rPr>
          <w:rFonts w:ascii="Times New Roman" w:cs="Times New Roman" w:eastAsia="Times New Roman" w:hAnsi="Times New Roman"/>
          <w:sz w:val="18"/>
          <w:szCs w:val="18"/>
          <w:color w:val="auto"/>
        </w:rPr>
      </w:pPr>
    </w:p>
    <w:p>
      <w:pPr>
        <w:ind w:left="-40" w:right="280" w:firstLine="987"/>
        <w:spacing w:after="0" w:line="282"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understands and agrees that no federal or state agency has passed upon or endorsed the merits of the offering of the Shares or made any findings or determination as to the fairness of this investment.</w:t>
      </w:r>
    </w:p>
    <w:p>
      <w:pPr>
        <w:spacing w:after="0" w:line="161" w:lineRule="exact"/>
        <w:rPr>
          <w:rFonts w:ascii="Times New Roman" w:cs="Times New Roman" w:eastAsia="Times New Roman" w:hAnsi="Times New Roman"/>
          <w:sz w:val="18"/>
          <w:szCs w:val="18"/>
          <w:color w:val="auto"/>
        </w:rPr>
      </w:pPr>
    </w:p>
    <w:p>
      <w:pPr>
        <w:ind w:left="-40" w:firstLine="987"/>
        <w:spacing w:after="0" w:line="253" w:lineRule="auto"/>
        <w:tabs>
          <w:tab w:leader="none" w:pos="11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is not (i) a person or entity named on the List of Specially Designated Nationals and Blocked Persons administered by OFAC or in any Executive Order issued by the President of the United States and administered by OFAC (“</w:t>
      </w:r>
      <w:r>
        <w:rPr>
          <w:rFonts w:ascii="Times New Roman" w:cs="Times New Roman" w:eastAsia="Times New Roman" w:hAnsi="Times New Roman"/>
          <w:sz w:val="18"/>
          <w:szCs w:val="18"/>
          <w:b w:val="1"/>
          <w:bCs w:val="1"/>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Such Purchaser agrees to provide law enforcement agencies, if requested thereby, such records as required by applicable law, provided that such Purchaser is permitted to do so under applicable law. If such Purchaser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8"/>
          <w:szCs w:val="18"/>
          <w:b w:val="1"/>
          <w:bCs w:val="1"/>
          <w:color w:val="auto"/>
        </w:rPr>
        <w:t>BSA/PATRIOT Act</w:t>
      </w:r>
      <w:r>
        <w:rPr>
          <w:rFonts w:ascii="Times New Roman" w:cs="Times New Roman" w:eastAsia="Times New Roman" w:hAnsi="Times New Roman"/>
          <w:sz w:val="18"/>
          <w:szCs w:val="18"/>
          <w:color w:val="auto"/>
        </w:rPr>
        <w:t>”), such Purchaser maintains policies and procedures reasonably designed to comply with applicable obligations under the BSA/PATRIOT Act. To the extent required under applicable Law, such Purchaser maintains policies and procedures reasonably designed for the screening of its investors against the OFAC sanctions programs, including the OFAC List. To the extent required under applicable law, such Purchaser maintains policies and procedures reasonably designed to ensure that the funds held by such Purchaser and used to purchase the Shares were legally derived.</w:t>
      </w:r>
    </w:p>
    <w:p>
      <w:pPr>
        <w:spacing w:after="0" w:line="191"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foreign person (as defined in 31 C.F.R. § 800.224) in which the national or subnational governments of a single foreign state have a substantial interest (as defined in 31 C.F.R. § 800.244) will acquire a substantial interest in the Company as a result of the purchase and sale of Shares hereunder such that a declaration to the Committee on Foreign Investment in the United States would be mandatory under 31 C.F.R. § 800.401, and no foreign person will have control (as defined in 31 C.F.R. § 800.208) over the Company from and after the Closing as a result of the purchase and sale of Shares hereunder.</w:t>
      </w:r>
    </w:p>
    <w:p>
      <w:pPr>
        <w:spacing w:after="0" w:line="183" w:lineRule="exact"/>
        <w:rPr>
          <w:rFonts w:ascii="Times New Roman" w:cs="Times New Roman" w:eastAsia="Times New Roman" w:hAnsi="Times New Roman"/>
          <w:sz w:val="18"/>
          <w:szCs w:val="18"/>
          <w:color w:val="auto"/>
        </w:rPr>
      </w:pPr>
    </w:p>
    <w:p>
      <w:pPr>
        <w:ind w:left="-40" w:right="40" w:firstLine="987"/>
        <w:spacing w:after="0" w:line="258"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 will have sufficient funds to pay the Subscription Amount pursuant to </w:t>
      </w:r>
      <w:r>
        <w:rPr>
          <w:rFonts w:ascii="Times New Roman" w:cs="Times New Roman" w:eastAsia="Times New Roman" w:hAnsi="Times New Roman"/>
          <w:sz w:val="18"/>
          <w:szCs w:val="18"/>
          <w:u w:val="single" w:color="auto"/>
          <w:color w:val="auto"/>
        </w:rPr>
        <w:t>Section 2.2(b)(iii)</w:t>
      </w:r>
      <w:r>
        <w:rPr>
          <w:rFonts w:ascii="Times New Roman" w:cs="Times New Roman" w:eastAsia="Times New Roman" w:hAnsi="Times New Roman"/>
          <w:sz w:val="18"/>
          <w:szCs w:val="18"/>
          <w:color w:val="auto"/>
        </w:rPr>
        <w:t xml:space="preserve"> of this Agreement and any expenses incurred by such Purchaser in connection with the transactions contemplated by or in connection with the Transaction Documents; (ii) has the resources and capabilities (financial or otherwise) to perform its obligations under the Transaction Documents; and (iii) has not incurred any obligation, commitment, restriction or liability of any kind, absolute or contingent, present or future, which would have a material adverse effect on its legal authority to perform its obligations under the Transaction Documents.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80" w:top="270" w:right="499" w:bottom="1440" w:gutter="0" w:footer="0" w:header="0"/>
        </w:sectPr>
      </w:pPr>
    </w:p>
    <w:bookmarkStart w:id="27" w:name="page28"/>
    <w:bookmarkEnd w:id="27"/>
    <w:p>
      <w:pPr>
        <w:ind w:left="4" w:right="180" w:firstLine="987"/>
        <w:spacing w:after="0" w:line="270" w:lineRule="auto"/>
        <w:tabs>
          <w:tab w:leader="none" w:pos="125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Purchaser acknowledges that it is not relying upon, and has not relied upon, any statement, representation or warranty made by any person, firm or corporation (including, without limitation, the Company, the Placement Agent or any of their respective Affiliates or any of their control persons, officers, directors, employees, agents or representatives), other than the SEC Reports and the representations and warranties of the Company contained in </w:t>
      </w:r>
      <w:r>
        <w:rPr>
          <w:rFonts w:ascii="Times New Roman" w:cs="Times New Roman" w:eastAsia="Times New Roman" w:hAnsi="Times New Roman"/>
          <w:sz w:val="17"/>
          <w:szCs w:val="17"/>
          <w:u w:val="single" w:color="auto"/>
          <w:color w:val="auto"/>
        </w:rPr>
        <w:t>the Transaction Documents</w:t>
      </w:r>
      <w:r>
        <w:rPr>
          <w:rFonts w:ascii="Times New Roman" w:cs="Times New Roman" w:eastAsia="Times New Roman" w:hAnsi="Times New Roman"/>
          <w:sz w:val="17"/>
          <w:szCs w:val="17"/>
          <w:color w:val="auto"/>
        </w:rPr>
        <w:t>, in making its investment or decision to invest in the Company. Such Purchaser agrees that none of</w:t>
      </w:r>
    </w:p>
    <w:p>
      <w:pPr>
        <w:spacing w:after="0" w:line="2" w:lineRule="exact"/>
        <w:rPr>
          <w:rFonts w:ascii="Times New Roman" w:cs="Times New Roman" w:eastAsia="Times New Roman" w:hAnsi="Times New Roman"/>
          <w:sz w:val="17"/>
          <w:szCs w:val="17"/>
          <w:color w:val="auto"/>
        </w:rPr>
      </w:pPr>
    </w:p>
    <w:p>
      <w:pPr>
        <w:ind w:left="4" w:right="120" w:hanging="4"/>
        <w:spacing w:after="0" w:line="252"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Purchaser or any other Person participating in any other private placement of shares of Common Stock (including the controlling persons, officers, directors, partners, agents or employees of any such other Person), (ii) the Company’s Affiliates or any of its respective Affiliates’ control persons, officers, directors, partners, agents, employees or representatives nor (iii) the Placement Agent, its respective Affiliates or any of their respective control persons, officers, directors, partners, agents, employees or representatives; in each case, absent its own negligence, fraud, willful misconduct, breach of agreement or violation of applicable law, shall be liable to such Purchaser pursuant to the Transaction Documents for any action heretofore or hereafter taken or omitted to be taken by Purchaser in connection with the purchase of the Shares hereunder.</w:t>
      </w:r>
    </w:p>
    <w:p>
      <w:pPr>
        <w:spacing w:after="0" w:line="189"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broker or finder which has been retained by or is authorized to act on behalf of the Purchaser is entitled to any brokerage or finder’s fee or commission to be paid by such Purchaser solely in connection with the sale of the Shares to such Purchaser.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acknowledges its obligations under applicable securities laws with respect to the treatment of non-public information relating to the Company. For the avoidance of doubt, nothing in this Agreement or any Transaction Document, nor the delivery of any information (including any information that may constitute material non-public information) to Purchaser, shall restrict or be deemed to restrict any Purchaser’s ability to effect transactions in the securities of any issuer other than the Company.</w:t>
      </w:r>
    </w:p>
    <w:p>
      <w:pPr>
        <w:spacing w:after="0" w:line="179"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Transfer Restrictions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87"/>
        <w:spacing w:after="0" w:line="254" w:lineRule="auto"/>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Shares may only be disposed of by a Purchaser in compliance with applicable state and federal securities laws. In connection with any transfer of Shares by a Purchaser other than (i) pursuant to an effective registration statement or Rule 144, (ii) to the Company, (iii) to an Affiliate of such Purchaser or (iv) in connection with a pledge as contemplated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(1) the Company may require the transferor thereof to provide to the Company an opinion of counsel selected by the transferor (in-house counsel to suffice), the form and substance of which opinion shall be reasonably satisfactory to the Company, to the effect that such transfer does not require registration of such transferred Shares under the Securities Act, and (2) as a condition of transfer, any such transferee shall agree in writing to be bound by the terms of this Agreement and, if permitted pursuant to the terms thereof, the Registration Rights Agreement and shall have the rights and obligations of the Purchasers under this Agreement and the Registration Rights Agreement, if a party thereto.</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4"/>
          </w:cols>
          <w:pgMar w:left="436" w:top="270" w:right="479" w:bottom="1440" w:gutter="0" w:footer="0" w:header="0"/>
        </w:sectPr>
      </w:pPr>
    </w:p>
    <w:bookmarkStart w:id="28" w:name="page29"/>
    <w:bookmarkEnd w:id="28"/>
    <w:p>
      <w:pPr>
        <w:ind w:right="380" w:firstLine="987"/>
        <w:spacing w:after="0" w:line="282"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Purchaser agrees to the imprinting or notation, so long as is required by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of a legend on or with respect to the Shares in the following form:</w:t>
      </w:r>
    </w:p>
    <w:p>
      <w:pPr>
        <w:spacing w:after="0" w:line="54" w:lineRule="exact"/>
        <w:rPr>
          <w:sz w:val="20"/>
          <w:szCs w:val="20"/>
          <w:color w:val="auto"/>
        </w:rPr>
      </w:pPr>
    </w:p>
    <w:p>
      <w:pPr>
        <w:ind w:left="440" w:right="80"/>
        <w:spacing w:after="0" w:line="254" w:lineRule="auto"/>
        <w:rPr>
          <w:sz w:val="20"/>
          <w:szCs w:val="20"/>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8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notwithstanding anything to the contrary herein, a Purchaser may from time to time pledge pursuant to a bona fide margin agreement with a registered broker-dealer or grant a security interest in some or all of the Shares to a financial institution that is an “accredited investor” as defined in Rule 501(a) under the Securities Act and, if required under the terms of such arrangement, such Purchaser may transfer, pledge or grant a security interest over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(as agreed between Company and Purchaser), the Company will execute and deliver such reasonable documentation as a pledgee or secured party of Shares may reasonably request in connection with a pledge or transfer of the Shares, including, if the Shares are subject to registration pursuant to the Registration Rights Agreement, the preparation and filing of any required prospectus supplement under Rule 424(b) under the Securities Act or other applicable provision of the Securities Act to appropriately amend the list of selling securityholders thereunder.</w:t>
      </w:r>
    </w:p>
    <w:p>
      <w:pPr>
        <w:spacing w:after="0" w:line="194" w:lineRule="exact"/>
        <w:rPr>
          <w:sz w:val="20"/>
          <w:szCs w:val="20"/>
          <w:color w:val="auto"/>
        </w:rPr>
      </w:pPr>
    </w:p>
    <w:p>
      <w:pPr>
        <w:ind w:firstLine="987"/>
        <w:spacing w:after="0" w:line="255"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cause the issuance, by book entry, of Shares not containing any legend (including the legend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hereof), (i) following any sale of such Shares pursuant to a registration statement (including the Registration Statement) covering the resale of such security is effective under the Securities Act, (ii) following any sale of such Shares pursuant to Rule 144, (iii) if such Shares are eligible for sale under Rule 144, without the requirement for the Company to be in compliance with the current public information required under Rule 144(c)(1) or Rule 144(i)(2) as to such Shares and without volume or manner-of-sale restrictions, or (iv) if in the opinion of counsel to the Company, such legend is not required under applicable requirements of the Securities Act (including judicial interpretations and pronouncements issued by the staff of the Commission).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29" w:name="page30"/>
    <w:bookmarkEnd w:id="29"/>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agrees that at and after such time as the Company is obligated to issue Shares without legends pursuant to the first paragraph of this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it will, no later than the earlier of (i) one (1) Trading Day and (ii) the number of Trading Days comprising the Standard Settlement Period (as defined below) following the delivery by a Purchaser to the Company or the Transfer Agent of a request with respect to the book entry position representing the Shares issued with a restrictive legend, instruct its counsel to issue a legal opinion to the Transfer Agent if required by the Transfer Agent to effect the removal of the legend hereunder and promptly thereafter, deliver or cause to be delivered to such Purchaser a statement evidencing the book entry position representing such shares that is free from all restrictive and other legends. The Company may not make any notation on its records or give instructions to the Transfer Agent that enlarge the restrictions on transfer set forth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Shares subject to legend removal hereunder shall be transmitted by the Transfer Agent to a Purchaser by crediting the account of such Purchaser’s prime broker with the Depository Trust Company System as directed by such Purchaser. As used herein, “Standard Settlement Period” means the standard settlement period, expressed in a number of Trading Days, on the Company’s primary Trading Market with respect to the Common Stock as in effect on the date of delivery of a certificate representing Shares issued with a restrictive legend.</w:t>
      </w:r>
    </w:p>
    <w:p>
      <w:pPr>
        <w:spacing w:after="0" w:line="192" w:lineRule="exact"/>
        <w:rPr>
          <w:sz w:val="20"/>
          <w:szCs w:val="20"/>
          <w:color w:val="auto"/>
        </w:rPr>
      </w:pPr>
    </w:p>
    <w:p>
      <w:pPr>
        <w:ind w:firstLine="987"/>
        <w:spacing w:after="0" w:line="258"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agrees with the Company that such Purchaser will sell any Shares pursuant to either the registration requirements of 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reasonable evidence of issuance by book entry, representing Shares as set forth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is predicated upon the Company’s reliance upon this understanding.</w:t>
      </w:r>
    </w:p>
    <w:p>
      <w:pPr>
        <w:spacing w:after="0" w:line="17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Shares may result in dilution of the outstanding shares of Common Stock, which dilution may be substantial under certain market conditions. The Company further acknowledges that its obligations under the Transaction Documents are unconditional and absolute and not subject to any right of set off, counterclaim, delay or reduction, regardless of the effect of any such dilution or any claim the Company may have against such Purchaser and regardless of the dilutive effect that such issuance may have on the ownership of the other stockholders of the Company.</w:t>
      </w:r>
    </w:p>
    <w:p>
      <w:pPr>
        <w:spacing w:after="0" w:line="179"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Furnishing of Information; Public Information</w:t>
      </w:r>
      <w:r>
        <w:rPr>
          <w:rFonts w:ascii="Times New Roman" w:cs="Times New Roman" w:eastAsia="Times New Roman" w:hAnsi="Times New Roman"/>
          <w:sz w:val="18"/>
          <w:szCs w:val="18"/>
          <w:color w:val="auto"/>
        </w:rPr>
        <w:t>. Until the earlier of (i) the time that no Purchaser owns any Shares and (ii) the date that is five years after the Closing Date, the Company shall use commercially reasonable efforts to maintain the registration of the Common Stock under Section 12(b) or 12(g) of the Exchange Act and to timely file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0" w:name="page31"/>
    <w:bookmarkEnd w:id="30"/>
    <w:p>
      <w:pPr>
        <w:ind w:firstLine="44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b w:val="1"/>
          <w:bCs w:val="1"/>
          <w:u w:val="single" w:color="auto"/>
          <w:color w:val="auto"/>
        </w:rPr>
        <w:t>Securities Laws Disclosure; Publicity</w:t>
      </w:r>
      <w:r>
        <w:rPr>
          <w:rFonts w:ascii="Times New Roman" w:cs="Times New Roman" w:eastAsia="Times New Roman" w:hAnsi="Times New Roman"/>
          <w:sz w:val="18"/>
          <w:szCs w:val="18"/>
          <w:color w:val="auto"/>
        </w:rPr>
        <w:t>. The Company shall by 9:00 a.m., New York City time,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Business Day immediately following the date of this Agreement, or by 9:00 a.m., New York City time, on the date of the Agreement if this Agreement is executed before 9:00 a.m., New York City time, (a) issue a press release and/or file a Current Report on Form 8-K disclosing the material terms of the transactions contemplated hereby, which shall have been previously reviewed by counsel for the Placement Agent, and (b) in respect of any information that is issued in a press release, file a Current Report on Form 8-K (the time of actual issuance of such Current Report on Form 8-K, the “</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xml:space="preserve">”), which shall have been previously reviewed by counsel for the Placement Agent and shall include (i) all material, non-public information that that the Company has provided to the Purchaser at any time prior to the Disclosure Time and (ii) this Agreement as an exhibit thereto. From and after the Disclosure Time, the Company represents and covenants to the Purchasers and the Placement Agent that the Company shall have publicly disclosed all material, non-public information regarding the Company or the Transactions contemplated by the Transaction Agreements delivered to any of the Purchasers by the Company or any of its officers, directors, employees or agents (including the Placement Agent) in connection with the transactions contemplated by the Transaction Documents. In addition, effective upon the Disclosure Time, the Company acknowledges and agrees that any and all confidentiality or similar obligations under this Agreement, or an agreement entered into in connection with the transactions contemplated by the Transaction Documents, whether written or oral, between the Company or any of its officers, directors, agents, employees or Affiliates on the one hand, and any of the Purchasers or any of their respective officers, directors, agents, employees or investment advisers,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and the Placement Agent (such consent not to be unreasonably withheld or delayed), with respect to any press release of any Purchaser, or without the prior consent of each Purchaser and the Placement Agent (such consent not to be unreasonably withheld or delayed), with respect to any press release of the Company. To the extent any disclosure is required by law or the regulations of the Trading Market, the Company shall provide such Purchaser with prompt prior notice of such requirement so that such Purchaser may (a) seek appropriate relief to prevent or limit such disclosure, (b) furnish only that portion of the information which is legally required to be furnished or disclosed, and to the extent reasonably feasible, (c) consult with the Company on content and timing prior to any such disclosure. Notwithstanding anything to the contrary contained herein, without the prior written consent of any applicable Purchaser, the Company shall not (and shall cause each of its affiliates and representatives not to) disclose the name of such Purchaser or its investment adviser in any filing, announcement, release or otherwise, except as required by applicable law in which case the Company shall comply with the provisions of this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Stockholder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exclusively as a result of the transactions contemplated by this Agreement any Purchaser is an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6" w:right="479" w:bottom="1440" w:gutter="0" w:footer="0" w:header="0"/>
        </w:sectPr>
      </w:pPr>
    </w:p>
    <w:bookmarkStart w:id="31" w:name="page32"/>
    <w:bookmarkEnd w:id="31"/>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Times New Roman" w:cs="Times New Roman" w:eastAsia="Times New Roman" w:hAnsi="Times New Roman"/>
          <w:sz w:val="18"/>
          <w:szCs w:val="18"/>
          <w:b w:val="1"/>
          <w:bCs w:val="1"/>
          <w:u w:val="single" w:color="auto"/>
          <w:color w:val="auto"/>
        </w:rPr>
        <w:t>Non-Public Information</w:t>
      </w:r>
      <w:r>
        <w:rPr>
          <w:rFonts w:ascii="Times New Roman" w:cs="Times New Roman" w:eastAsia="Times New Roman" w:hAnsi="Times New Roman"/>
          <w:sz w:val="18"/>
          <w:szCs w:val="18"/>
          <w:color w:val="auto"/>
        </w:rPr>
        <w:t>. From and after the Disclosure Time, the Company covenants and agrees that neither it, nor any other Person acting on its behalf, will provide any Purchaser or its agents or counsel with any information that constitutes, or the Company believes constitutes, material non-public information, unless prior thereto such Purchaser shall have consented (in writing, with e-mail being sufficient) to the receipt of such information and agreed with the Company to keep such information confidential. To the extent that the Company or any of its respective officers, director, agents, employees or Affiliates delivers any material, non-public information to any Purchaser without such Purchaser’s consent, the Company hereby covenants and agree that such Purchaser shall not have any duty of trust or confidentiality to the Company or any of its respective officers, directors, agents, employees or Affiliates, or a duty to the Company or any of its respective officers, directors, agents, employees or Affiliates not to trade while aware of, such material, non-public information, provided that such Purchaser shall remain subject to applicable law. To the extent that any notice provided pursuant to any Transaction Document constitutes, or contains, material, non-public information regarding the Company, the Company shall use its commercially reasonable efforts to simultaneously file such notice with the Commission pursuant to a Current Report on Form 8-K. The Company understands and confirms that the Purchasers shall be relying on the foregoing covenants in effecting transactions in securities of the Company.</w:t>
      </w:r>
    </w:p>
    <w:p>
      <w:pPr>
        <w:spacing w:after="0" w:line="190"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general corporate and working capital purposes or for such other purposes as the Company may determine in its exclusive discretion.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75" w:lineRule="auto"/>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b w:val="1"/>
          <w:bCs w:val="1"/>
          <w:u w:val="single" w:color="auto"/>
          <w:color w:val="auto"/>
        </w:rPr>
        <w:t>Listing of Shares</w:t>
      </w:r>
      <w:r>
        <w:rPr>
          <w:rFonts w:ascii="Times New Roman" w:cs="Times New Roman" w:eastAsia="Times New Roman" w:hAnsi="Times New Roman"/>
          <w:sz w:val="17"/>
          <w:szCs w:val="17"/>
          <w:color w:val="auto"/>
        </w:rPr>
        <w:t>. The Company shall, as applicable: (i) promptly after the Closing Date and in connection with the registration with the Commission of the Shares, in the manner required by the principal Trading Market, prepare and file with such Trading Market an additional shares listing notification covering the Shares and (ii) use commercially reasonable efforts to maintain the listing or quotation of the Common Stock on any date at least equal to the Shares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6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u w:val="single" w:color="auto"/>
          <w:color w:val="auto"/>
        </w:rPr>
        <w:t>Subsequent Equity Sales</w:t>
      </w:r>
      <w:r>
        <w:rPr>
          <w:rFonts w:ascii="Times New Roman" w:cs="Times New Roman" w:eastAsia="Times New Roman" w:hAnsi="Times New Roman"/>
          <w:sz w:val="18"/>
          <w:szCs w:val="18"/>
          <w:color w:val="auto"/>
        </w:rPr>
        <w:t>. From the date hereof until the Standstill Termination Date, the Company shall not, without the prior written consent of the Purchasers of at least a majority in interest of the Shares then held by the Purchasers, (i) other than in an Exempt Issuance, issue, enter into any agreement to issue or announce the issuance or proposed issuance of any shares of Common Stock or (ii) file any registration statement or any amendment or supplement thereto, in each case other than in furtherance of an Exempt Issuance or as contemplated pursuant to the Registration Rights Agreement.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66" w:right="519" w:bottom="1440" w:gutter="0" w:footer="0" w:header="0"/>
        </w:sectPr>
      </w:pPr>
    </w:p>
    <w:bookmarkStart w:id="32" w:name="page33"/>
    <w:bookmarkEnd w:id="32"/>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4.12 </w:t>
      </w:r>
      <w:r>
        <w:rPr>
          <w:rFonts w:ascii="Times New Roman" w:cs="Times New Roman" w:eastAsia="Times New Roman" w:hAnsi="Times New Roman"/>
          <w:sz w:val="18"/>
          <w:szCs w:val="18"/>
          <w:b w:val="1"/>
          <w:bCs w:val="1"/>
          <w:u w:val="single" w:color="auto"/>
          <w:color w:val="auto"/>
        </w:rPr>
        <w:t>Certain Transactions and Confidentiality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or the termination of this Agreement in accordance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(iii) no Purchaser shall have any duty of confidentiality or duty not to trade in the securities of the Company to the Company after the issuance of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Notwithstanding the foregoing, in the case of an Purchaser that is a multi-managed investment vehicle whereby separate portfolio managers manage separate portions of such Purchaser’s assets, the covenant set forth above shall only apply with respect to the portion of assets managed by the portfolio manager that made the investment decision to purchase the Shares covered by this Agreement.</w:t>
      </w:r>
    </w:p>
    <w:p>
      <w:pPr>
        <w:spacing w:after="0" w:line="18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u w:val="single" w:color="auto"/>
          <w:color w:val="auto"/>
        </w:rPr>
        <w:t>Blue Sky Filings</w:t>
      </w:r>
      <w:r>
        <w:rPr>
          <w:rFonts w:ascii="Times New Roman" w:cs="Times New Roman" w:eastAsia="Times New Roman" w:hAnsi="Times New Roman"/>
          <w:sz w:val="18"/>
          <w:szCs w:val="18"/>
          <w:color w:val="auto"/>
        </w:rPr>
        <w:t>. The Company shall take such action as the Company shall reasonably determine is necessary in order to obtain an exemption for, or to qualify the Shares for, sale to the Purchasers at the Closing under applicable securities or “Blue Sky” laws of the states of the United States.</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Purchasers.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17"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may be terminated by mutual written agreement of a Purchaser as to such Purchaser’s obligations and the Company. The Company shall provide prompt notice of any such termination to each other Purchaser.</w:t>
      </w:r>
    </w:p>
    <w:p>
      <w:pPr>
        <w:spacing w:after="0" w:line="155"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b w:val="1"/>
          <w:bCs w:val="1"/>
          <w:u w:val="single" w:color="auto"/>
          <w:color w:val="auto"/>
        </w:rPr>
        <w:t>Fees and Expenses</w:t>
      </w:r>
      <w:r>
        <w:rPr>
          <w:rFonts w:ascii="Times New Roman" w:cs="Times New Roman" w:eastAsia="Times New Roman" w:hAnsi="Times New Roman"/>
          <w:sz w:val="17"/>
          <w:szCs w:val="17"/>
          <w:color w:val="auto"/>
        </w:rPr>
        <w:t>. Except as expressly set forth in the Transaction Documents or the Engagement Letters (as defined below), each party shall pay the fees and expenses of its advisers, counsel, accountants and other experts, if any, and all other expenses incurred by such party incident to the negotiation, preparation, execution, delivery and performance of this Agreement and the Transaction Documents.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33" w:name="page34"/>
    <w:bookmarkEnd w:id="33"/>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5.3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u w:val="single" w:color="auto"/>
          <w:color w:val="auto"/>
        </w:rPr>
        <w:t>Use of Single Agreement</w:t>
      </w:r>
      <w:r>
        <w:rPr>
          <w:rFonts w:ascii="Times New Roman" w:cs="Times New Roman" w:eastAsia="Times New Roman" w:hAnsi="Times New Roman"/>
          <w:sz w:val="18"/>
          <w:szCs w:val="18"/>
          <w:color w:val="auto"/>
        </w:rPr>
        <w:t>. For ease of administration, this single Agreement is being executed so as to enable each Purchaser identified on the signature page to enter into an Agreement, severally, but not jointly. The parties agree that (i) this Agreement shall be treated as if it were a separate agreement with respect to each Purchaser listed on the signature page, as if each Purchaser entity had executed a separate Agreement naming only itself as Purchaser, and (ii) no Purchaser listed on the signature page shall have any liability under the Agreement for obligations of any other Purchaser so listed.</w:t>
      </w:r>
    </w:p>
    <w:p>
      <w:pPr>
        <w:spacing w:after="0" w:line="179" w:lineRule="exact"/>
        <w:rPr>
          <w:sz w:val="20"/>
          <w:szCs w:val="20"/>
          <w:color w:val="auto"/>
        </w:rPr>
      </w:pPr>
    </w:p>
    <w:p>
      <w:pPr>
        <w:ind w:firstLine="440"/>
        <w:spacing w:after="0" w:line="23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u w:val="single" w:color="auto"/>
          <w:color w:val="auto"/>
        </w:rPr>
        <w:t>Amendments; Waivers</w:t>
      </w:r>
      <w:r>
        <w:rPr>
          <w:rFonts w:ascii="Times New Roman" w:cs="Times New Roman" w:eastAsia="Times New Roman" w:hAnsi="Times New Roman"/>
          <w:sz w:val="18"/>
          <w:szCs w:val="18"/>
          <w:color w:val="auto"/>
        </w:rPr>
        <w:t xml:space="preserve">. No amendment, modification, alteration, or change in any of the terms of this Agreement shall be valid or binding upon the parties hereto unless made in writing and duly executed by the Company and the Purchaser. No amendment, modification, alteration or change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xml:space="preserve"> can be made without the prior written consent of the Placement Agent. The Company, on the one hand, and each Purchaser, on the other hand, may by an instrument signed in writing by such parties waive the performance, compliance or satisfaction by such Purchaser or the Company, respectively, with any term or provision of this Agreement or any condition hereto to be performed, complied with or satisfied by such Purchaser or the Company, respectively.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8"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34" w:name="page35"/>
    <w:bookmarkEnd w:id="34"/>
    <w:p>
      <w:pPr>
        <w:ind w:right="4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5.8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the other and the Purchasers. Each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such “Purchaser.”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color w:val="auto"/>
        </w:rPr>
        <w:t>. The Placement Agent shall be the express third-party beneficiaries of the representations and warranties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 and the representations and warranties of the Purchasers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Except as otherwise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 this Agreement is intended for the benefit of the parties hereto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respective successors and permitted assigns and is not for the benefit of, nor may any provision hereof be enforced by, any other Person.</w:t>
      </w:r>
    </w:p>
    <w:p>
      <w:pPr>
        <w:spacing w:after="0" w:line="20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Each party agrees that it shall commence any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exclusively in the state and federal courts sitting in the State of New York. Each party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187"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survive the Closing and the delivery of the Shares.</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(including any electronic signature covered by the U.S. federal ESIGN Act of 2000, Uniform Electronic Transactions Act, the Electronic Signatures and Records Act or other applicable law, e.g., www.docusign.com), such signature shall create a valid and binding obligation of the party executing (or on whose behalf such signature is executed) with the same force and effect as if such “.pdf’ signature page were an original thereof.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6" w:right="459" w:bottom="1440" w:gutter="0" w:footer="0" w:header="0"/>
        </w:sectPr>
      </w:pPr>
    </w:p>
    <w:bookmarkStart w:id="35" w:name="page36"/>
    <w:bookmarkEnd w:id="35"/>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2"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79"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u w:val="single" w:color="auto"/>
          <w:color w:val="auto"/>
        </w:rPr>
        <w:t>Replacement of Shares</w:t>
      </w:r>
      <w:r>
        <w:rPr>
          <w:rFonts w:ascii="Times New Roman" w:cs="Times New Roman" w:eastAsia="Times New Roman" w:hAnsi="Times New Roman"/>
          <w:sz w:val="18"/>
          <w:szCs w:val="18"/>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79"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Purchasers and the Company will be entitled to specific performance under the Transaction Documents. The parties agree that monetary damages will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b w:val="1"/>
          <w:bCs w:val="1"/>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6" w:right="439" w:bottom="1440" w:gutter="0" w:footer="0" w:header="0"/>
        </w:sectPr>
      </w:pPr>
    </w:p>
    <w:bookmarkStart w:id="36" w:name="page37"/>
    <w:bookmarkEnd w:id="36"/>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5.18 </w:t>
      </w:r>
      <w:r>
        <w:rPr>
          <w:rFonts w:ascii="Times New Roman" w:cs="Times New Roman" w:eastAsia="Times New Roman" w:hAnsi="Times New Roman"/>
          <w:sz w:val="18"/>
          <w:szCs w:val="18"/>
          <w:b w:val="1"/>
          <w:bCs w:val="1"/>
          <w:u w:val="single" w:color="auto"/>
          <w:color w:val="auto"/>
        </w:rPr>
        <w:t>Usury</w:t>
      </w:r>
      <w:r>
        <w:rPr>
          <w:rFonts w:ascii="Times New Roman" w:cs="Times New Roman" w:eastAsia="Times New Roman" w:hAnsi="Times New Roman"/>
          <w:sz w:val="18"/>
          <w:szCs w:val="18"/>
          <w:color w:val="auto"/>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thereof forward, unless such application is precluded by applicable law.</w:t>
      </w:r>
    </w:p>
    <w:p>
      <w:pPr>
        <w:spacing w:after="0" w:line="182"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b w:val="1"/>
          <w:bCs w:val="1"/>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76"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Exculpation of the Placement Agent</w:t>
      </w:r>
      <w:r>
        <w:rPr>
          <w:rFonts w:ascii="Times New Roman" w:cs="Times New Roman" w:eastAsia="Times New Roman" w:hAnsi="Times New Roman"/>
          <w:sz w:val="18"/>
          <w:szCs w:val="18"/>
          <w:color w:val="auto"/>
        </w:rPr>
        <w:t>. Each party hereto agrees for the express benefit of the Placement Agent, its affiliates and their representatives that:</w:t>
      </w:r>
    </w:p>
    <w:p>
      <w:pPr>
        <w:spacing w:after="0" w:line="159" w:lineRule="exact"/>
        <w:rPr>
          <w:sz w:val="20"/>
          <w:szCs w:val="20"/>
          <w:color w:val="auto"/>
        </w:rPr>
      </w:pPr>
    </w:p>
    <w:p>
      <w:pPr>
        <w:ind w:left="4" w:right="40" w:firstLine="987"/>
        <w:spacing w:after="0" w:line="276" w:lineRule="auto"/>
        <w:tabs>
          <w:tab w:leader="none" w:pos="124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Placement Agent nor its affiliates or representatives (i) have any duties or obligations other than those specifically set forth herein or in the Engagement Letter; (ii) shall be liable for any improper payment made in accordance with the information provided by the Company;</w:t>
      </w:r>
    </w:p>
    <w:p>
      <w:pPr>
        <w:ind w:left="4" w:right="20" w:hanging="4"/>
        <w:spacing w:after="0" w:line="252"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representation or warranty, or have any responsibilities as to the validity, accuracy, value or genuineness of any information, certificates or documentation delivered by or on behalf of the Company pursuant to this Agreement or the Transaction Documents or in connection with any of the transactions; or (iv) shall be liable (A) for any action taken, suffered or omitted by any of them in good faith and reasonably believed to be authorized or within the discretion or rights or powers conferred upon it by this Agreement or any Transaction Document or (B) for anything which any of them may do or refrain from doing in connection with this Agreement or any Transaction Document, except for such party’s own fraud, gross negligence, willful misconduct, breach of agreement, violation of applicable law or bad faith.</w:t>
      </w:r>
    </w:p>
    <w:p>
      <w:pPr>
        <w:spacing w:after="0" w:line="189" w:lineRule="exact"/>
        <w:rPr>
          <w:rFonts w:ascii="Times New Roman" w:cs="Times New Roman" w:eastAsia="Times New Roman" w:hAnsi="Times New Roman"/>
          <w:sz w:val="18"/>
          <w:szCs w:val="18"/>
          <w:color w:val="auto"/>
        </w:rPr>
      </w:pPr>
    </w:p>
    <w:p>
      <w:pPr>
        <w:ind w:left="4" w:right="220" w:firstLine="987"/>
        <w:spacing w:after="0" w:line="289" w:lineRule="auto"/>
        <w:tabs>
          <w:tab w:leader="none" w:pos="12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Placement Agent, its affiliates and their representatives shall be entitled to (i) rely on, and shall be protected in acting upon, any certificate, instrument, opinion, notice, letter or any other document or security delivered to any of them by or on behalf of the Company, and (ii) be indemnified by the Company for acting as Placement Agent, hereunder pursuant the indemnification provisions set forth in the Engagement Letter.</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66" w:right="479" w:bottom="1440" w:gutter="0" w:footer="0" w:header="0"/>
        </w:sectPr>
      </w:pPr>
    </w:p>
    <w:bookmarkStart w:id="37" w:name="page38"/>
    <w:bookmarkEnd w:id="37"/>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5.21 </w:t>
      </w:r>
      <w:r>
        <w:rPr>
          <w:rFonts w:ascii="Times New Roman" w:cs="Times New Roman" w:eastAsia="Times New Roman" w:hAnsi="Times New Roman"/>
          <w:sz w:val="18"/>
          <w:szCs w:val="18"/>
          <w:b w:val="1"/>
          <w:bCs w:val="1"/>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5" w:lineRule="exact"/>
        <w:rPr>
          <w:sz w:val="20"/>
          <w:szCs w:val="20"/>
          <w:color w:val="auto"/>
        </w:rPr>
      </w:pPr>
    </w:p>
    <w:p>
      <w:pPr>
        <w:ind w:right="200" w:firstLine="440"/>
        <w:spacing w:after="0" w:line="271" w:lineRule="auto"/>
        <w:rPr>
          <w:sz w:val="20"/>
          <w:szCs w:val="20"/>
          <w:color w:val="auto"/>
        </w:rPr>
      </w:pPr>
      <w:r>
        <w:rPr>
          <w:rFonts w:ascii="Times New Roman" w:cs="Times New Roman" w:eastAsia="Times New Roman" w:hAnsi="Times New Roman"/>
          <w:sz w:val="17"/>
          <w:szCs w:val="17"/>
          <w:color w:val="auto"/>
        </w:rPr>
        <w:t xml:space="preserve">5.22 </w:t>
      </w:r>
      <w:r>
        <w:rPr>
          <w:rFonts w:ascii="Times New Roman" w:cs="Times New Roman" w:eastAsia="Times New Roman" w:hAnsi="Times New Roman"/>
          <w:sz w:val="17"/>
          <w:szCs w:val="17"/>
          <w:b w:val="1"/>
          <w:bCs w:val="1"/>
          <w:u w:val="single" w:color="auto"/>
          <w:color w:val="auto"/>
        </w:rPr>
        <w:t>Construction</w:t>
      </w:r>
      <w:r>
        <w:rPr>
          <w:rFonts w:ascii="Times New Roman" w:cs="Times New Roman" w:eastAsia="Times New Roman" w:hAnsi="Times New Roman"/>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 In this Agreement, unless the context otherwise requires: (i) whenever required by the context,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in this Agreement shall be deemed in each case to refer to this Agreement as a whole and not to any particular portion of this Agreement.</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5.23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 IN ANY ACTION, SUIT, OR PROCEEDING IN ANY JURISDICTION BROUGHT BY ANY PARTY</w:t>
      </w:r>
    </w:p>
    <w:p>
      <w:pPr>
        <w:spacing w:after="0" w:line="43"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b w:val="1"/>
          <w:bCs w:val="1"/>
          <w:u w:val="single" w:color="auto"/>
          <w:color w:val="auto"/>
        </w:rPr>
        <w:t>Independent Nature of Purchasers’ Obligations and Rights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obligations of each Purchaser hereunder are several and not joint with the obligations of any other Purchaser hereunder, and no Purchaser shall be responsible </w:t>
      </w:r>
      <w:r>
        <w:rPr>
          <w:rFonts w:ascii="Times New Roman" w:cs="Times New Roman" w:eastAsia="Times New Roman" w:hAnsi="Times New Roman"/>
          <w:sz w:val="18"/>
          <w:szCs w:val="18"/>
          <w:u w:val="single" w:color="auto"/>
          <w:color w:val="auto"/>
        </w:rPr>
        <w:t>or disadvantaged</w:t>
      </w:r>
      <w:r>
        <w:rPr>
          <w:rFonts w:ascii="Times New Roman" w:cs="Times New Roman" w:eastAsia="Times New Roman" w:hAnsi="Times New Roman"/>
          <w:sz w:val="18"/>
          <w:szCs w:val="18"/>
          <w:color w:val="auto"/>
        </w:rPr>
        <w:t xml:space="preserve"> in any way for the performance</w:t>
      </w:r>
      <w:r>
        <w:rPr>
          <w:rFonts w:ascii="Times New Roman" w:cs="Times New Roman" w:eastAsia="Times New Roman" w:hAnsi="Times New Roman"/>
          <w:sz w:val="18"/>
          <w:szCs w:val="18"/>
          <w:u w:val="single" w:color="auto"/>
          <w:color w:val="auto"/>
        </w:rPr>
        <w:t>, or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thereof,</w:t>
      </w:r>
      <w:r>
        <w:rPr>
          <w:rFonts w:ascii="Times New Roman" w:cs="Times New Roman" w:eastAsia="Times New Roman" w:hAnsi="Times New Roman"/>
          <w:sz w:val="18"/>
          <w:szCs w:val="18"/>
          <w:color w:val="auto"/>
        </w:rPr>
        <w:t xml:space="preserve"> of the obligations of any other Purchaser hereunder. Nothing contained herein or in any other agreement or document delivered at any closing, and no action taken by any Purchaser pursuant hereto or thereto, shall be deemed to constitute the Purchasers as a partnership, an association, a joint venture or any other kind of group or entity, or create a presumption that the Purchasers are in any way acting in concert or as a group or entity with respect to such obligations or the transactions contemplated by this Agreement or any other matters, and the Company acknowledges that the Purchasers are not acting in concert or as a group, and the Company shall not assert any such claim, with respect to such obligations or transactions. Each Purchaser shall be entitled to protect and enforce its rights, including, without limitation, the rights arising out of this Agreement, and it shall not be necessary for any other Purchaser to be joined as an additional party in any proceeding for such purpose. The use of a single agreement with respect to the obligations of the Company was solely in the control of the Company, not the action or decision of any Purchaser, and was done solely for the convenience of the Company and not because it was required or requested to do so by any Purchaser. It is expressly understood and agreed that each provision contained in this Agreement is between the Company and each Purchaser, solely, and not between the Company and the Purchasers collectively and not between and among Purchasers</w:t>
      </w:r>
      <w:r>
        <w:rPr>
          <w:rFonts w:ascii="Times New Roman" w:cs="Times New Roman" w:eastAsia="Times New Roman" w:hAnsi="Times New Roman"/>
          <w:sz w:val="18"/>
          <w:szCs w:val="18"/>
          <w:u w:val="single" w:color="auto"/>
          <w:color w:val="auto"/>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66" w:right="479" w:bottom="1440" w:gutter="0" w:footer="0" w:header="0"/>
        </w:sectPr>
      </w:pPr>
    </w:p>
    <w:bookmarkStart w:id="38" w:name="page39"/>
    <w:bookmarkEnd w:id="3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5.25 </w:t>
      </w:r>
      <w:r>
        <w:rPr>
          <w:rFonts w:ascii="Times New Roman" w:cs="Times New Roman" w:eastAsia="Times New Roman" w:hAnsi="Times New Roman"/>
          <w:sz w:val="18"/>
          <w:szCs w:val="18"/>
          <w:b w:val="1"/>
          <w:bCs w:val="1"/>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Purchasers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Purchasers or of any affiliates or assignees thereof, as such for any obligation of the Purchasers under this Agreement or any documents or instruments delivered in connection with this Agreement for any claim based on, in respect of or by reason of such obligations or their creation.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66" w:right="479" w:bottom="1440" w:gutter="0" w:footer="0" w:header="0"/>
        </w:sectPr>
      </w:pPr>
    </w:p>
    <w:bookmarkStart w:id="39" w:name="page40"/>
    <w:bookmarkEnd w:id="39"/>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INTUITIVE MACHINES, INC.</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Address for Notice:</w:t>
            </w:r>
          </w:p>
        </w:tc>
        <w:tc>
          <w:tcPr>
            <w:tcW w:w="0" w:type="dxa"/>
            <w:vAlign w:val="bottom"/>
          </w:tcPr>
          <w:p>
            <w:pPr>
              <w:spacing w:after="0"/>
              <w:rPr>
                <w:sz w:val="1"/>
                <w:szCs w:val="1"/>
                <w:color w:val="auto"/>
              </w:rPr>
            </w:pPr>
          </w:p>
        </w:tc>
      </w:tr>
      <w:tr>
        <w:trPr>
          <w:trHeight w:val="20"/>
        </w:trPr>
        <w:tc>
          <w:tcPr>
            <w:tcW w:w="814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8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13467 Columbia Shuttle Street</w:t>
            </w:r>
          </w:p>
        </w:tc>
        <w:tc>
          <w:tcPr>
            <w:tcW w:w="0" w:type="dxa"/>
            <w:vAlign w:val="bottom"/>
          </w:tcPr>
          <w:p>
            <w:pPr>
              <w:spacing w:after="0"/>
              <w:rPr>
                <w:sz w:val="1"/>
                <w:szCs w:val="1"/>
                <w:color w:val="auto"/>
              </w:rPr>
            </w:pPr>
          </w:p>
        </w:tc>
      </w:tr>
      <w:tr>
        <w:trPr>
          <w:trHeight w:val="232"/>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Houston, TX 77059</w:t>
            </w:r>
          </w:p>
        </w:tc>
        <w:tc>
          <w:tcPr>
            <w:tcW w:w="0" w:type="dxa"/>
            <w:vAlign w:val="bottom"/>
          </w:tcPr>
          <w:p>
            <w:pPr>
              <w:spacing w:after="0"/>
              <w:rPr>
                <w:sz w:val="1"/>
                <w:szCs w:val="1"/>
                <w:color w:val="auto"/>
              </w:rPr>
            </w:pPr>
          </w:p>
        </w:tc>
      </w:tr>
      <w:tr>
        <w:trPr>
          <w:trHeight w:val="23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4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2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9"/>
        </w:trPr>
        <w:tc>
          <w:tcPr>
            <w:tcW w:w="814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Simpson Thacher &amp; Bartlett LLP 900 G Street, NW</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Washington, D.C. 20001</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William R. Golden III</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Email: wgolden@stblaw.com</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750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[REMAINDER OF PAGE INTENTIONALLY LEFT BLANK]</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40" w:top="270" w:right="599" w:bottom="1440" w:gutter="0" w:footer="0" w:header="0"/>
        </w:sectPr>
      </w:pPr>
    </w:p>
    <w:bookmarkStart w:id="40" w:name="page41"/>
    <w:bookmarkEnd w:id="4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caused this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and to be provided to transfer agents: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ectPr>
          <w:pgSz w:w="11900" w:h="16838" w:orient="portrait"/>
          <w:cols w:equalWidth="0" w:num="1">
            <w:col w:w="10760"/>
          </w:cols>
          <w:pgMar w:left="440" w:top="270" w:right="6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984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SCHEDULE A</w:t>
            </w:r>
          </w:p>
        </w:tc>
        <w:tc>
          <w:tcPr>
            <w:tcW w:w="0" w:type="dxa"/>
            <w:vAlign w:val="bottom"/>
          </w:tcPr>
          <w:p>
            <w:pPr>
              <w:spacing w:after="0"/>
              <w:rPr>
                <w:sz w:val="1"/>
                <w:szCs w:val="1"/>
                <w:color w:val="auto"/>
              </w:rPr>
            </w:pPr>
          </w:p>
        </w:tc>
      </w:tr>
      <w:tr>
        <w:trPr>
          <w:trHeight w:val="367"/>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90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0" w:type="dxa"/>
            <w:vAlign w:val="bottom"/>
          </w:tcPr>
          <w:p>
            <w:pPr>
              <w:spacing w:after="0"/>
              <w:rPr>
                <w:sz w:val="1"/>
                <w:szCs w:val="1"/>
                <w:color w:val="auto"/>
              </w:rPr>
            </w:pPr>
          </w:p>
        </w:tc>
      </w:tr>
      <w:tr>
        <w:trPr>
          <w:trHeight w:val="167"/>
        </w:trPr>
        <w:tc>
          <w:tcPr>
            <w:tcW w:w="1180" w:type="dxa"/>
            <w:vAlign w:val="bottom"/>
            <w:tcBorders>
              <w:bottom w:val="single" w:sz="8" w:color="auto"/>
            </w:tcBorders>
            <w:vMerge w:val="continue"/>
          </w:tcPr>
          <w:p>
            <w:pPr>
              <w:spacing w:after="0"/>
              <w:rPr>
                <w:sz w:val="14"/>
                <w:szCs w:val="14"/>
                <w:color w:val="auto"/>
              </w:rPr>
            </w:pPr>
          </w:p>
        </w:tc>
        <w:tc>
          <w:tcPr>
            <w:tcW w:w="904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699516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105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42" w:name="page43"/>
    <w:bookmarkEnd w:id="4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ELIGIBILITY REPRESENTATIONS OF EACH PURCHASER</w:t>
      </w:r>
    </w:p>
    <w:p>
      <w:pPr>
        <w:spacing w:after="0" w:line="121"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I. In connection with the issuance of the Shares, the Purchaser represents and warrants that it comes within one category marked below, and that for any category marked, it has truthfully set forth, where applicable, the factual basis or reason the Purchaser comes within that category. This page should be completed by the Purchaser and constitutes a part of the Securities Purchase Agreement. ALL INFORMATION IN RESPONSE TO THESE QUESTIONS WILL BE KEPT STRICTLY CONFIDENTIAL. The Purchaser agrees to furnish any additional information that Issuer deems necessary in order to verify the answers set forth below. The Purchaser agrees that he or she will notify Issuer at any time on or prior to the issuance of the Shares in the event that the representations and warranties in this questionnaire shall cease to be true, accurate and complete.</w:t>
      </w:r>
    </w:p>
    <w:p>
      <w:pPr>
        <w:spacing w:after="0" w:line="214" w:lineRule="exact"/>
        <w:rPr>
          <w:sz w:val="20"/>
          <w:szCs w:val="20"/>
          <w:color w:val="auto"/>
        </w:rPr>
      </w:pPr>
    </w:p>
    <w:p>
      <w:pPr>
        <w:ind w:left="1664" w:right="80" w:hanging="1664"/>
        <w:spacing w:after="0" w:line="266" w:lineRule="auto"/>
        <w:tabs>
          <w:tab w:leader="none" w:pos="355" w:val="left"/>
        </w:tabs>
        <w:numPr>
          <w:ilvl w:val="0"/>
          <w:numId w:val="4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AThe Purchaser is an individual (not a partnership, corporation, etc.) whose individual net worth, or joint net worth with his or her spouse or spousal equivalent (as defined in Rule 501(j) under the Securities Act), exclusive of principal residence presently exceeds $1,000,000.</w:t>
      </w:r>
    </w:p>
    <w:p>
      <w:pPr>
        <w:spacing w:after="0" w:line="66" w:lineRule="exact"/>
        <w:rPr>
          <w:sz w:val="20"/>
          <w:szCs w:val="20"/>
          <w:color w:val="auto"/>
        </w:rPr>
      </w:pPr>
    </w:p>
    <w:p>
      <w:pPr>
        <w:ind w:left="1664" w:right="20"/>
        <w:spacing w:after="0" w:line="256" w:lineRule="auto"/>
        <w:rPr>
          <w:sz w:val="20"/>
          <w:szCs w:val="20"/>
          <w:color w:val="auto"/>
        </w:rPr>
      </w:pPr>
      <w:r>
        <w:rPr>
          <w:rFonts w:ascii="Times New Roman" w:cs="Times New Roman" w:eastAsia="Times New Roman" w:hAnsi="Times New Roman"/>
          <w:sz w:val="18"/>
          <w:szCs w:val="18"/>
          <w:i w:val="1"/>
          <w:iCs w:val="1"/>
          <w:color w:val="auto"/>
        </w:rPr>
        <w:t>Explanation</w:t>
      </w:r>
      <w:r>
        <w:rPr>
          <w:rFonts w:ascii="Times New Roman" w:cs="Times New Roman" w:eastAsia="Times New Roman" w:hAnsi="Times New Roman"/>
          <w:sz w:val="18"/>
          <w:szCs w:val="18"/>
          <w:color w:val="auto"/>
        </w:rPr>
        <w:t>. For purposes of calculating net worth under this Category A, (i) the Purchaser’s primary residence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as an asset, (ii) indebtedness that is secured by the Purchaser’s primary residence, up to the estimated fair market value of the primary residence at the time of the sale of the Shares, shall not be included as a liability, (iii) to the extent that the indebtedness that is secured by the primary residence is in excess of the fair market value of the primary residence, the excess amount shall be included as a liability, and (iv) if the amount of outstanding indebtedness that is secured by the primary residence exceeds the amount outstanding 60 days prior to the execution of this Securities Purchase Agreement, other than as a result of the acquisition of the primary residence, the amount of such excess shall be included as a liability.</w:t>
      </w:r>
    </w:p>
    <w:p>
      <w:pPr>
        <w:spacing w:after="0" w:line="77" w:lineRule="exact"/>
        <w:rPr>
          <w:sz w:val="20"/>
          <w:szCs w:val="20"/>
          <w:color w:val="auto"/>
        </w:rPr>
      </w:pPr>
    </w:p>
    <w:p>
      <w:pPr>
        <w:ind w:left="1664" w:right="120" w:hanging="1664"/>
        <w:spacing w:after="0" w:line="258" w:lineRule="auto"/>
        <w:tabs>
          <w:tab w:leader="none" w:pos="355"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BThe Purchaser is an individual (not a partnership, corporation, etc.) who had an income in excess of $200,000 in each of the two most recent years, or joint income with his or her spouse or spousal equivalent (as defined in Rule 501(j) under the Securities Act) in excess of $300,000 in each of those years (in each case including foreign income, tax exempt income and full amount of capital gains and losses but excluding any income of other family members and any unrealized capital appreciation) and has a reasonable expectation of reaching the same income level in the current year.</w:t>
      </w:r>
    </w:p>
    <w:p>
      <w:pPr>
        <w:spacing w:after="0" w:line="75" w:lineRule="exact"/>
        <w:rPr>
          <w:rFonts w:ascii="MS PGothic" w:cs="MS PGothic" w:eastAsia="MS PGothic" w:hAnsi="MS PGothic"/>
          <w:sz w:val="18"/>
          <w:szCs w:val="18"/>
          <w:color w:val="auto"/>
        </w:rPr>
      </w:pPr>
    </w:p>
    <w:p>
      <w:pPr>
        <w:ind w:left="344" w:hanging="344"/>
        <w:spacing w:after="0"/>
        <w:tabs>
          <w:tab w:leader="none" w:pos="344"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C</w:t>
      </w:r>
      <w:r>
        <w:rPr>
          <w:rFonts w:ascii="Times New Roman" w:cs="Times New Roman" w:eastAsia="Times New Roman" w:hAnsi="Times New Roman"/>
          <w:sz w:val="17"/>
          <w:szCs w:val="17"/>
          <w:color w:val="auto"/>
        </w:rPr>
        <w:t>The Purchaser is a director or executive officer of Issuer.</w:t>
      </w:r>
    </w:p>
    <w:p>
      <w:pPr>
        <w:spacing w:after="0" w:line="117" w:lineRule="exact"/>
        <w:rPr>
          <w:rFonts w:ascii="MS PGothic" w:cs="MS PGothic" w:eastAsia="MS PGothic" w:hAnsi="MS PGothic"/>
          <w:sz w:val="18"/>
          <w:szCs w:val="18"/>
          <w:color w:val="auto"/>
        </w:rPr>
      </w:pPr>
    </w:p>
    <w:p>
      <w:pPr>
        <w:ind w:left="1664" w:hanging="1664"/>
        <w:spacing w:after="0" w:line="256" w:lineRule="auto"/>
        <w:tabs>
          <w:tab w:leader="none" w:pos="355" w:val="left"/>
        </w:tabs>
        <w:numPr>
          <w:ilvl w:val="0"/>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DThe Purchaser is a bank; savings and loan association; insurance company; registered investment company; registered business development company; licensed small business investment company; a Rural Business Investment Company (as defined in Section 384A of the Consolidated Farm and Rural Development Act); or employee benefit plan within the meaning of Title 1 of ERISA and (a) the investment decision is made by a plan fiduciary which is either a bank, savings and loan association, insurance company or registered investment advisor, or (b) the plan has total assets in excess of $5,000,000 or (c) is a self-directed plan with investment decisions made solely by persons that are accredited investors. (describe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130810</wp:posOffset>
            </wp:positionV>
            <wp:extent cx="59404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285115</wp:posOffset>
            </wp:positionV>
            <wp:extent cx="59404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439420</wp:posOffset>
            </wp:positionV>
            <wp:extent cx="59404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40425" cy="8890"/>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43" w:name="page44"/>
    <w:bookmarkEnd w:id="43"/>
    <w:p>
      <w:pPr>
        <w:ind w:left="1664" w:right="280" w:hanging="1664"/>
        <w:spacing w:after="0" w:line="282"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Category EThe Purchaser is a private business development company as defined in Section 202(a)(22) of the Investment Advisors Act of 1940. (describe entity)</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90" w:lineRule="exact"/>
        <w:rPr>
          <w:rFonts w:ascii="MS PGothic" w:cs="MS PGothic" w:eastAsia="MS PGothic" w:hAnsi="MS PGothic"/>
          <w:sz w:val="18"/>
          <w:szCs w:val="18"/>
          <w:color w:val="auto"/>
        </w:rPr>
      </w:pPr>
    </w:p>
    <w:p>
      <w:pPr>
        <w:ind w:left="1664" w:hanging="1664"/>
        <w:spacing w:after="0" w:line="266"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FThe Purchaser is either a corporation, partnership, Massachusetts business trust, or nonprofit organization within the meaning of Section 501(c)(3) of the Internal Revenue Code, in each case not formed for the specific purpose of acquiring the Shares and with total assets in excess of $5,000,000. (describe entity)</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04" w:lineRule="exact"/>
        <w:rPr>
          <w:rFonts w:ascii="MS PGothic" w:cs="MS PGothic" w:eastAsia="MS PGothic" w:hAnsi="MS PGothic"/>
          <w:sz w:val="18"/>
          <w:szCs w:val="18"/>
          <w:color w:val="auto"/>
        </w:rPr>
      </w:pPr>
    </w:p>
    <w:p>
      <w:pPr>
        <w:ind w:left="1664" w:right="340" w:hanging="1664"/>
        <w:spacing w:after="0" w:line="306"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G</w:t>
      </w:r>
      <w:r>
        <w:rPr>
          <w:rFonts w:ascii="Times New Roman" w:cs="Times New Roman" w:eastAsia="Times New Roman" w:hAnsi="Times New Roman"/>
          <w:sz w:val="17"/>
          <w:szCs w:val="17"/>
          <w:color w:val="auto"/>
        </w:rPr>
        <w:t>The Purchaser is a trust with total assets in excess of $5,000,000, not formed for the specific purpose of acquiring the Shares, where the purchase is directed by a “sophisticated investor” as defined in Regulation 506(b)(2)(ii) under the Securities Act.</w:t>
      </w:r>
    </w:p>
    <w:p>
      <w:pPr>
        <w:spacing w:after="0" w:line="41" w:lineRule="exact"/>
        <w:rPr>
          <w:rFonts w:ascii="MS PGothic" w:cs="MS PGothic" w:eastAsia="MS PGothic" w:hAnsi="MS PGothic"/>
          <w:sz w:val="18"/>
          <w:szCs w:val="18"/>
          <w:color w:val="auto"/>
        </w:rPr>
      </w:pPr>
    </w:p>
    <w:p>
      <w:pPr>
        <w:ind w:left="1664" w:right="360" w:hanging="1664"/>
        <w:spacing w:after="0" w:line="282"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HThe Purchaser is an individual (not a partnership, corporation, etc.) who holds in good standing one or more of the following certifications, designations and/or credentials:</w:t>
      </w:r>
    </w:p>
    <w:p>
      <w:pPr>
        <w:spacing w:after="0" w:line="67" w:lineRule="exact"/>
        <w:rPr>
          <w:rFonts w:ascii="MS PGothic" w:cs="MS PGothic" w:eastAsia="MS PGothic" w:hAnsi="MS PGothic"/>
          <w:sz w:val="18"/>
          <w:szCs w:val="18"/>
          <w:color w:val="auto"/>
        </w:rPr>
      </w:pPr>
    </w:p>
    <w:p>
      <w:pPr>
        <w:ind w:left="2384" w:hanging="274"/>
        <w:spacing w:after="0"/>
        <w:tabs>
          <w:tab w:leader="none" w:pos="238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General Securities Representative (Series 7);</w:t>
      </w:r>
    </w:p>
    <w:p>
      <w:pPr>
        <w:spacing w:after="0" w:line="130" w:lineRule="exact"/>
        <w:rPr>
          <w:rFonts w:ascii="Times New Roman" w:cs="Times New Roman" w:eastAsia="Times New Roman" w:hAnsi="Times New Roman"/>
          <w:sz w:val="18"/>
          <w:szCs w:val="18"/>
          <w:color w:val="auto"/>
        </w:rPr>
      </w:pPr>
    </w:p>
    <w:p>
      <w:pPr>
        <w:ind w:left="2384" w:hanging="274"/>
        <w:spacing w:after="0"/>
        <w:tabs>
          <w:tab w:leader="none" w:pos="238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Investment Adviser Representative (Series 65); and/or</w:t>
      </w:r>
    </w:p>
    <w:p>
      <w:pPr>
        <w:spacing w:after="0" w:line="130" w:lineRule="exact"/>
        <w:rPr>
          <w:rFonts w:ascii="Times New Roman" w:cs="Times New Roman" w:eastAsia="Times New Roman" w:hAnsi="Times New Roman"/>
          <w:sz w:val="18"/>
          <w:szCs w:val="18"/>
          <w:color w:val="auto"/>
        </w:rPr>
      </w:pPr>
    </w:p>
    <w:p>
      <w:pPr>
        <w:ind w:left="2384" w:hanging="274"/>
        <w:spacing w:after="0"/>
        <w:tabs>
          <w:tab w:leader="none" w:pos="238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Private Securities Offerings Representative (Series 82).</w:t>
      </w:r>
    </w:p>
    <w:p>
      <w:pPr>
        <w:spacing w:after="0" w:line="117" w:lineRule="exact"/>
        <w:rPr>
          <w:rFonts w:ascii="Times New Roman" w:cs="Times New Roman" w:eastAsia="Times New Roman" w:hAnsi="Times New Roman"/>
          <w:sz w:val="18"/>
          <w:szCs w:val="18"/>
          <w:color w:val="auto"/>
        </w:rPr>
      </w:pPr>
    </w:p>
    <w:p>
      <w:pPr>
        <w:ind w:left="1664" w:right="180" w:hanging="1664"/>
        <w:spacing w:after="0" w:line="266"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IThe Purchaser is an investment adviser registered pursuant to Section 203 of the Investment Advisers Act of 1940 or registered pursuant to the laws of a state, or an investment adviser relying on the exemption from registering with the Securities and Exchange Commission under Section 203(l) or (m) of the Investment Advisers Act of 1940.</w:t>
      </w:r>
    </w:p>
    <w:p>
      <w:pPr>
        <w:spacing w:after="0" w:line="67" w:lineRule="exact"/>
        <w:rPr>
          <w:rFonts w:ascii="MS PGothic" w:cs="MS PGothic" w:eastAsia="MS PGothic" w:hAnsi="MS PGothic"/>
          <w:sz w:val="18"/>
          <w:szCs w:val="18"/>
          <w:color w:val="auto"/>
        </w:rPr>
      </w:pPr>
    </w:p>
    <w:p>
      <w:pPr>
        <w:ind w:left="1664" w:right="420" w:hanging="1664"/>
        <w:spacing w:after="0" w:line="282"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JThe Purchaser is an entity, of a type not listed above, not formed for the specific purpose of acquiring the securities, owning “investments” (as defined in Rule 2a51-1(b) under the Investment Company Act of 1940) in excess of $5,000,000.</w:t>
      </w:r>
    </w:p>
    <w:p>
      <w:pPr>
        <w:spacing w:after="0" w:line="53" w:lineRule="exact"/>
        <w:rPr>
          <w:rFonts w:ascii="MS PGothic" w:cs="MS PGothic" w:eastAsia="MS PGothic" w:hAnsi="MS PGothic"/>
          <w:sz w:val="18"/>
          <w:szCs w:val="18"/>
          <w:color w:val="auto"/>
        </w:rPr>
      </w:pPr>
    </w:p>
    <w:p>
      <w:pPr>
        <w:ind w:left="1664" w:right="140" w:hanging="1664"/>
        <w:spacing w:after="0" w:line="276"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K</w:t>
      </w:r>
      <w:r>
        <w:rPr>
          <w:rFonts w:ascii="Times New Roman" w:cs="Times New Roman" w:eastAsia="Times New Roman" w:hAnsi="Times New Roman"/>
          <w:sz w:val="17"/>
          <w:szCs w:val="17"/>
          <w:color w:val="auto"/>
        </w:rPr>
        <w:t>The Purchaser is a “family office” (as defined in Rule 202(a)(11)(G)-1 under the Investment Advisers Act of 1940), (1) with assets under management in excess of $5,000,000, (2) that is not formed for the specific purpose of acquiring the securities, and</w:t>
      </w:r>
    </w:p>
    <w:p>
      <w:pPr>
        <w:ind w:left="1664" w:right="280" w:hanging="4"/>
        <w:spacing w:after="0" w:line="290" w:lineRule="auto"/>
        <w:tabs>
          <w:tab w:leader="none" w:pos="1919"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whose prospective investment is directed by a person who has such knowledge and experience in financial and business matters that such family office is capable of evaluating the merits and risks of the prospective investment (a “Family Office”).</w:t>
      </w:r>
    </w:p>
    <w:p>
      <w:pPr>
        <w:spacing w:after="0" w:line="49" w:lineRule="exact"/>
        <w:rPr>
          <w:rFonts w:ascii="Times New Roman" w:cs="Times New Roman" w:eastAsia="Times New Roman" w:hAnsi="Times New Roman"/>
          <w:sz w:val="17"/>
          <w:szCs w:val="17"/>
          <w:color w:val="auto"/>
        </w:rPr>
      </w:pPr>
    </w:p>
    <w:p>
      <w:pPr>
        <w:ind w:left="1664" w:right="40" w:hanging="1664"/>
        <w:spacing w:after="0" w:line="306"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L</w:t>
      </w:r>
      <w:r>
        <w:rPr>
          <w:rFonts w:ascii="Times New Roman" w:cs="Times New Roman" w:eastAsia="Times New Roman" w:hAnsi="Times New Roman"/>
          <w:sz w:val="17"/>
          <w:szCs w:val="17"/>
          <w:color w:val="auto"/>
        </w:rPr>
        <w:t>The Purchaser is a “family client” (as defined in Rule 202(a)(11)(G)-1 under the Investment Advisers Act of 1940) of a Family Office whose prospective investment in Issuer is directed by such Family Office pursuant to the clause (3) in the Category above.</w:t>
      </w:r>
    </w:p>
    <w:p>
      <w:pPr>
        <w:spacing w:after="0" w:line="41" w:lineRule="exact"/>
        <w:rPr>
          <w:rFonts w:ascii="MS PGothic" w:cs="MS PGothic" w:eastAsia="MS PGothic" w:hAnsi="MS PGothic"/>
          <w:sz w:val="18"/>
          <w:szCs w:val="18"/>
          <w:color w:val="auto"/>
        </w:rPr>
      </w:pPr>
    </w:p>
    <w:p>
      <w:pPr>
        <w:ind w:left="1664" w:right="160" w:hanging="1664"/>
        <w:spacing w:after="0" w:line="266" w:lineRule="auto"/>
        <w:tabs>
          <w:tab w:leader="none" w:pos="355"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MThe Purchaser is an entity (other than a trust) in which all of the equity owners are “accredited investors” within one or more of the above categories. If relying upon this Category alone, each equity owner must complete a separate copy of this Annex A. (describe entity)</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96" w:lineRule="exact"/>
        <w:rPr>
          <w:rFonts w:ascii="MS PGothic" w:cs="MS PGothic" w:eastAsia="MS PGothic" w:hAnsi="MS PGothic"/>
          <w:sz w:val="18"/>
          <w:szCs w:val="18"/>
          <w:color w:val="auto"/>
        </w:rPr>
      </w:pPr>
    </w:p>
    <w:p>
      <w:pPr>
        <w:ind w:left="344" w:hanging="344"/>
        <w:spacing w:after="0"/>
        <w:tabs>
          <w:tab w:leader="none" w:pos="344" w:val="left"/>
        </w:tabs>
        <w:numPr>
          <w:ilvl w:val="0"/>
          <w:numId w:val="4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Category N</w:t>
      </w:r>
      <w:r>
        <w:rPr>
          <w:rFonts w:ascii="Times New Roman" w:cs="Times New Roman" w:eastAsia="Times New Roman" w:hAnsi="Times New Roman"/>
          <w:sz w:val="17"/>
          <w:szCs w:val="17"/>
          <w:color w:val="auto"/>
        </w:rPr>
        <w:t>The Purchaser is not within any of the categories above and is therefore not an accredited investor or a non-U.S.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-5579745</wp:posOffset>
            </wp:positionV>
            <wp:extent cx="59404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-5425440</wp:posOffset>
            </wp:positionV>
            <wp:extent cx="59404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-5271135</wp:posOffset>
            </wp:positionV>
            <wp:extent cx="59404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-4568190</wp:posOffset>
            </wp:positionV>
            <wp:extent cx="59404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-4413885</wp:posOffset>
            </wp:positionV>
            <wp:extent cx="59404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-4259580</wp:posOffset>
            </wp:positionV>
            <wp:extent cx="59404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-513715</wp:posOffset>
            </wp:positionV>
            <wp:extent cx="59404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40425" cy="8890"/>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-359410</wp:posOffset>
            </wp:positionV>
            <wp:extent cx="59404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40425" cy="8255"/>
                    </a:xfrm>
                    <a:prstGeom prst="rect">
                      <a:avLst/>
                    </a:prstGeom>
                    <a:noFill/>
                  </pic:spPr>
                </pic:pic>
              </a:graphicData>
            </a:graphic>
          </wp:anchor>
        </w:drawing>
        <w:drawing>
          <wp:anchor simplePos="0" relativeHeight="251657728" behindDoc="1" locked="0" layoutInCell="0" allowOverlap="1">
            <wp:simplePos x="0" y="0"/>
            <wp:positionH relativeFrom="column">
              <wp:posOffset>1054100</wp:posOffset>
            </wp:positionH>
            <wp:positionV relativeFrom="paragraph">
              <wp:posOffset>-205105</wp:posOffset>
            </wp:positionV>
            <wp:extent cx="59404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1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4"/>
          </w:cols>
          <w:pgMar w:left="436" w:top="270" w:right="4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bookmarkStart w:id="45" w:name="page46"/>
    <w:bookmarkEnd w:id="4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REGISTRATION RIGHTS AGREEMENT</w:t>
      </w:r>
    </w:p>
    <w:p>
      <w:pPr>
        <w:spacing w:after="0" w:line="22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February [•], 2026 by and between Intuitive Machines,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investors identified on the signature page hereto (including its respective successors and assigns and any affiliate or permitted transferee who is a subsequent holder of Registrable Securities (as defined below),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WHEREAS, Company and Investor are parties to the Securities Purchase Agreement, dated as of February 25, 2026, between the Company and each of the Investors identified on the signature pages thereto (the “</w:t>
      </w:r>
      <w:r>
        <w:rPr>
          <w:rFonts w:ascii="Times New Roman" w:cs="Times New Roman" w:eastAsia="Times New Roman" w:hAnsi="Times New Roman"/>
          <w:sz w:val="18"/>
          <w:szCs w:val="18"/>
          <w:u w:val="single" w:color="auto"/>
          <w:color w:val="auto"/>
        </w:rPr>
        <w:t>Purchase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Capitalized terms used herein have the respective meanings ascribed thereto in the Purchase Agreement unless otherwise defined herein.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374"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 and the rules and regulations thereunder, or any similar successor statute.</w:t>
      </w:r>
    </w:p>
    <w:p>
      <w:pPr>
        <w:spacing w:after="0" w:line="225" w:lineRule="exact"/>
        <w:rPr>
          <w:rFonts w:ascii="Times New Roman" w:cs="Times New Roman" w:eastAsia="Times New Roman" w:hAnsi="Times New Roman"/>
          <w:sz w:val="18"/>
          <w:szCs w:val="18"/>
          <w:color w:val="auto"/>
        </w:rPr>
      </w:pPr>
    </w:p>
    <w:p>
      <w:pPr>
        <w:ind w:left="444" w:right="2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 or any similar successor statute.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accounting principles that are generally accepted in the United States of America, in effect from time to time.</w:t>
      </w:r>
    </w:p>
    <w:p>
      <w:pPr>
        <w:spacing w:after="0" w:line="2"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0"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made by preparing and filing a Registration Statement or similar document in compliance with the 1933 Act, and the declaration or ordering of effectiveness of such Registration Statement or document.</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(i) the Shares and (ii) any other shares of Common Stock issued as a dividend or other distribution with respect to, in exchange for or in replacement of the Shares, whether by merger, charter amendment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upon the first to occur of (A) a Registration Statement with respect to the sale of such Registrable Securities being declared effective by the SEC under the 1933 Act and such Registrable Securities having been disposed of by the holder thereof in accordance with such effective Registration Statement, (B) such Registrable Securities having been sold in accordance with Rule 144 (or another exemption from the registration requirements of the 1933 Act) and (C) such Registrable Securities becoming eligible for resale without volume or manner-of-sale restrictions and without current public information requirements pursuant to Rule 144.</w:t>
      </w:r>
    </w:p>
    <w:p>
      <w:pPr>
        <w:spacing w:after="0" w:line="192" w:lineRule="exact"/>
        <w:rPr>
          <w:sz w:val="20"/>
          <w:szCs w:val="20"/>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under the 1933 Act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ectPr>
          <w:pgSz w:w="11900" w:h="16838" w:orient="portrait"/>
          <w:cols w:equalWidth="0" w:num="1">
            <w:col w:w="11004"/>
          </w:cols>
          <w:pgMar w:left="436" w:top="266" w:right="459" w:bottom="1440" w:gutter="0" w:footer="0" w:header="0"/>
        </w:sectPr>
      </w:pPr>
    </w:p>
    <w:bookmarkStart w:id="46" w:name="page47"/>
    <w:bookmarkEnd w:id="4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Required Investors</w:t>
      </w:r>
      <w:r>
        <w:rPr>
          <w:rFonts w:ascii="Times New Roman" w:cs="Times New Roman" w:eastAsia="Times New Roman" w:hAnsi="Times New Roman"/>
          <w:sz w:val="18"/>
          <w:szCs w:val="18"/>
          <w:color w:val="auto"/>
        </w:rPr>
        <w:t>” means the Investors holding a majority of the Registrable Securities outstanding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 available written or oral guidance of the SEC staff, or any comments, requirements or requests of the SEC staff and (ii) the 1933 Act.</w:t>
      </w:r>
    </w:p>
    <w:p>
      <w:pPr>
        <w:spacing w:after="0" w:line="310"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t>(i)  No later than April 1, 2026 (the “</w:t>
      </w:r>
      <w:r>
        <w:rPr>
          <w:rFonts w:ascii="Times New Roman" w:cs="Times New Roman" w:eastAsia="Times New Roman" w:hAnsi="Times New Roman"/>
          <w:sz w:val="17"/>
          <w:szCs w:val="17"/>
          <w:u w:val="single" w:color="auto"/>
          <w:color w:val="auto"/>
        </w:rPr>
        <w:t>Filing Deadline</w:t>
      </w:r>
      <w:r>
        <w:rPr>
          <w:rFonts w:ascii="Times New Roman" w:cs="Times New Roman" w:eastAsia="Times New Roman" w:hAnsi="Times New Roman"/>
          <w:sz w:val="17"/>
          <w:szCs w:val="17"/>
          <w:color w:val="auto"/>
        </w:rPr>
        <w:t xml:space="preserve">”), the Company shall prepare and file with the SEC a Registration Statement covering the resale of all of the Registrable Securities. Subject to any SEC comments, such Registration Statement shall include the intended plan of distribution which shall include all manners of distribution as the holders of Registrable Securities may reasonably request and as permitted by law.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without the prior written consent of the Required Investors. Such Registration Statement (and each amendment or supplement thereto, and each request for acceleration of effectiveness thereof) shall be provided in accordance with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xml:space="preserve"> to the Investors prior to its filing or other submission.</w:t>
      </w:r>
    </w:p>
    <w:p>
      <w:pPr>
        <w:spacing w:after="0" w:line="172"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(ii)  The Company shall use commercially reasonable efforts to register the Registrable Securities on Form S-3 if such form is available for use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at such time the Registration Statement is on Form S-1, the Company shall maintain the effectiveness of the Registration Statement then in effect until such time as a Registration Statement on Form S-3 covering the Registrable Securities has been declared effective by the SEC.</w:t>
      </w:r>
    </w:p>
    <w:p>
      <w:pPr>
        <w:spacing w:after="0" w:line="180"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Company will pay all expenses associated with each Registration Statement, including filing and printing fees,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the Company shall not be responsible for legal fees incurred by holders of Registrable Securities in connection with the performance of its rights and obligations under the Transaction Documents.</w:t>
      </w:r>
    </w:p>
    <w:p>
      <w:pPr>
        <w:spacing w:after="0" w:line="29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991"/>
        <w:spacing w:after="0" w:line="254" w:lineRule="auto"/>
        <w:rPr>
          <w:sz w:val="20"/>
          <w:szCs w:val="20"/>
          <w:color w:val="auto"/>
        </w:rPr>
      </w:pPr>
      <w:r>
        <w:rPr>
          <w:rFonts w:ascii="Times New Roman" w:cs="Times New Roman" w:eastAsia="Times New Roman" w:hAnsi="Times New Roman"/>
          <w:sz w:val="18"/>
          <w:szCs w:val="18"/>
          <w:color w:val="auto"/>
        </w:rPr>
        <w:t>(i)  The Company shall use commercially reasonable efforts to have the Registration Statement declared effective as soon as reasonably practicable after the filing thereof and in any case not more than thirty (30) days following the filing thereof, unless the SEC reviews the Registration Statement, in which case not more than sixty (60) days following the filing thereof. Not later than 5:30 p.m. (Eastern time) on the second Business Day following the date on which the SEC determines not to review the Registration Statement or completes its review of the Registration Statement, the Company shall request that the SEC accelerate the effectiveness of the Registration Statement to two (2) Business Days thereafter. Not later than 5:30 p.m. (Eastern time) on the second Business Day following the date on which the Registration Statement is declared effective by the SEC, the Company shall file with the SEC, in accordance with Rule 424 under the 1933 Act, the final prospectus to be used in connection with sales pursuant to such Registration Statement. The Company shall notify the Investors as promptly as practicable, and in any event, within one (1) Business Day, after any Registration Statement is declared effective.</w:t>
      </w:r>
    </w:p>
    <w:p>
      <w:pPr>
        <w:spacing w:after="0" w:line="188"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(ii)  Notwithstanding anything to the contrary contained herein, (i) the Company shall not be required to file a Registration Statement (or any amendment thereto) or, if a Registration Statement has been filed but not declared effective by the SEC, request effectiveness of such Registration Statement, for a period of up to</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7" w:name="page48"/>
    <w:bookmarkEnd w:id="4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forty-five (45) days, if (A) the negotiation or consummation of a transaction by the Company is pending or an event has occurred, which negotiation, consummation or event the Board of Directors reasonably determines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Board of Directors, upon the advice of legal counsel, to cause the Registration Statement to fail to comply with applicable disclosure requirements or (B) the Company determines such registration would render the Company unable to comply with applicable securities laws; and (ii) the Company may, upon written notice to any holder of Registrable Securities included in a Registration Statement, suspend the use of any Registration Statement, including any Prospectus that forms a part of a Registration Statement, if (x) the negotiation or consummation of a transaction by the Company is pending or an event has occurred, which negotiation, consummation or event the Board of Directors reasonably determines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Board of Directors, upon the advice of legal counsel, to cause the Registration Statement to fail to comply with applicable disclosure requirements, or (y) the Company determines it must amend or supplement the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Notwithstanding the foregoing, in no event shall (a) holders of Registrable Securities be suspended from selling Registrable Securities pursuant to the Registration Statement for a period that exceeds forty-five (45) consecutive calendar days or sixty (60) total calendar days in any one-year period (any such suspension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2(c)(ii), an “</w:t>
      </w:r>
      <w:r>
        <w:rPr>
          <w:rFonts w:ascii="Times New Roman" w:cs="Times New Roman" w:eastAsia="Times New Roman" w:hAnsi="Times New Roman"/>
          <w:sz w:val="18"/>
          <w:szCs w:val="18"/>
          <w:u w:val="single" w:color="auto"/>
          <w:color w:val="auto"/>
        </w:rPr>
        <w:t>Allowed Dela</w:t>
      </w:r>
      <w:r>
        <w:rPr>
          <w:rFonts w:ascii="Times New Roman" w:cs="Times New Roman" w:eastAsia="Times New Roman" w:hAnsi="Times New Roman"/>
          <w:sz w:val="18"/>
          <w:szCs w:val="18"/>
          <w:color w:val="auto"/>
        </w:rPr>
        <w:t>y”) or (b) the Company be entitled to impose more than two (2) Allowed Delays in any one-year period. Upon disclosure of such information or the termination of the condition described above, the Company shall provide prompt notice to holders whose Registrable Securities are included in the Registration Statement, and shall promptly terminate any suspension of sales it has put into effect and shall take such other reasonable actions to permit registered sales of Registrable Securities as contemplated hereby.</w:t>
      </w:r>
    </w:p>
    <w:p>
      <w:pPr>
        <w:spacing w:after="0" w:line="188"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Cutback</w:t>
      </w:r>
      <w:r>
        <w:rPr>
          <w:rFonts w:ascii="Times New Roman" w:cs="Times New Roman" w:eastAsia="Times New Roman" w:hAnsi="Times New Roman"/>
          <w:sz w:val="18"/>
          <w:szCs w:val="18"/>
          <w:color w:val="auto"/>
        </w:rPr>
        <w:t>. If at any time the SEC takes the position that the offering of some or all of the Registrable Securities in a Registration Statement is not eligible to be made on a delayed or continuous basis under the provisions of Rule 415 under the 1933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shall be obligated to use commercially reasonable efforts to advocate with the SEC for the registration of all of the Registrable Securities in accordance with the SEC Guidance, including without limitation, Compliance and Disclosure Interpretation 612.09)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In the event that, despite the Company’s commercially reasonable efforts and compliance with the terms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(d),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name any Investor as an “underwriter” in such Registration Statement without the prior written consent of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be allocated among the Investors on a pro rata basis (based upon the relative number of Registrable Securities held by each Investor) and shall be applied first to any of the Registrable Securities of such Investor as such Investor shall designate, unless the SEC Restrictions otherwise require or provide or the Investors otherwise agree.</w:t>
      </w:r>
    </w:p>
    <w:p>
      <w:pPr>
        <w:spacing w:after="0" w:line="19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Other Limitations</w:t>
      </w:r>
      <w:r>
        <w:rPr>
          <w:rFonts w:ascii="Times New Roman" w:cs="Times New Roman" w:eastAsia="Times New Roman" w:hAnsi="Times New Roman"/>
          <w:sz w:val="18"/>
          <w:szCs w:val="18"/>
          <w:color w:val="auto"/>
        </w:rPr>
        <w:t>. Notwithstanding any other provision herein or in the Purchase Agreement, with respect to any Investor (as to such Investor only) the Filing Deadline for a Registration Statement shall be extended and any failure by the Company to maintain a Registration Statement shall be automatically waived by no action of the Investors, in each case, without default by or liquidated damages payable by the Company to such Investor hereunder in the event that the Company’s failure to make such filing or failure to maintain a Registration Statement results from the failure of such Investor to timely provide the Company with information requested by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8" w:name="page49"/>
    <w:bookmarkEnd w:id="48"/>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necessary to complete a Registration Statement in accordance with the requirements of the 1933 Act (in which case any such deadline would be extended, and a maintenance failure waived, with respect to all Registrable Securities until forty-five (45 days) after such time as the Investor provides such requested information), it being understood that the failure of such Investor to timely provide such information to the Company shall not affect the rights of other Investors herein.</w:t>
      </w:r>
    </w:p>
    <w:p>
      <w:pPr>
        <w:spacing w:after="0" w:line="180" w:lineRule="exact"/>
        <w:rPr>
          <w:sz w:val="20"/>
          <w:szCs w:val="20"/>
          <w:color w:val="auto"/>
        </w:rPr>
      </w:pPr>
    </w:p>
    <w:p>
      <w:pPr>
        <w:ind w:left="4" w:right="820"/>
        <w:spacing w:after="0" w:line="28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Company Obligations</w:t>
      </w:r>
      <w:r>
        <w:rPr>
          <w:rFonts w:ascii="Times New Roman" w:cs="Times New Roman" w:eastAsia="Times New Roman" w:hAnsi="Times New Roman"/>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162"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(a)  use commercially reasonable efforts to cause such Registration Statement to become effective and to remain continuously effective (and the prospectus contained therein available for use) pursuant to Rule 415 for resales by the Investors on a delayed or continuous basis at all times until</w:t>
      </w:r>
    </w:p>
    <w:p>
      <w:pPr>
        <w:ind w:left="4" w:right="1040" w:hanging="4"/>
        <w:spacing w:after="0" w:line="260" w:lineRule="auto"/>
        <w:tabs>
          <w:tab w:leader="none" w:pos="2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time as there are no longer Registrable Securities held by the Investors or (ii) the fifth anniversary following the Closing Date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and advise the Investors promptly in writing when the Effectiveness Period has expired;</w:t>
      </w:r>
    </w:p>
    <w:p>
      <w:pPr>
        <w:spacing w:after="0" w:line="18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(b)  prepare and file with the SEC such amendments and post-effective amendments to such Registration Statement and the related Prospectus as may be necessary to keep such Registration Statement effective for the Effectiveness Period and to comply with the provisions of the 1933 Act and the 1934 Act with respect to the distribution of all of the Registrable Securities covered thereby;</w:t>
      </w:r>
    </w:p>
    <w:p>
      <w:pPr>
        <w:spacing w:after="0" w:line="176"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(c)  provide via email to the Investors who have supplied the Company with email addresses each Registration Statement and all amendments and supplements thereto not less than two (2) Trading Days prior to their filing with the SEC and reflect in each such document when so filed with the SEC such comments regarding the Investors and the plan of distribution as the Investors may reasonably and promptly propose no later than one (1) Trading Day after the Investors have been so furnished with copies of such documents as aforesaid;</w:t>
      </w:r>
    </w:p>
    <w:p>
      <w:pPr>
        <w:spacing w:after="0" w:line="180"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(d)  furnish to each Investor whose Registrable Securities are included in any Registration Statement (i) promptly after the same is prepared and filed with the SEC, if requested by such Investor, one (1) copy of any Registration Statement and any amendment thereto, each preliminary prospectus and Prospectus and each amendment or supplement thereto, and (ii) if requested by such Investor, such number of copies of a Prospectus, including a preliminary prospectus, and all amendments and supplements thereto and such other documents as each Investor may reasonably request in order to facilitate the disposition of the Registrable Securities owned by such Investor (it being understood and agreed that such documents, or access thereto, may be provided electronically);</w:t>
      </w:r>
    </w:p>
    <w:p>
      <w:pPr>
        <w:spacing w:after="0" w:line="187"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(e)  use commercially reasonable efforts to (i) prevent the issuance of any stop order or other suspension of effectiveness or the suspension of the qualification, or the loss of an exemption from qualification, of any of the Registrable Securities for sale in any jurisdiction, and, (ii) if such order is issued, obtain the withdrawal of any such order at the earliest possible moment;</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(f)  prior to any public offering of Registrable Securities, use commercially reasonable efforts to assist or cooperate with the Investors and their counsel in connection with their registration or qualification of such Registrable Securities for the offer and sale under the securities or blue sky laws of such jurisdictions reasonably requested by the Investors and do any and all other commercially reasonable acts or things necessary or advisable to enable the public offering or distribution in such jurisdictions of the Registrable Securities covered by the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or (iii) file a general consent to service of process in any such jurisdiction;</w:t>
      </w:r>
    </w:p>
    <w:p>
      <w:pPr>
        <w:spacing w:after="0" w:line="189"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(g)  use commercially reasonable efforts to cause all Registrable Securities covered by a Registration Statement to be listed on Nasdaq (or the Trading Market on which the Common Stock is then listed);</w:t>
      </w:r>
    </w:p>
    <w:p>
      <w:pPr>
        <w:spacing w:after="0" w:line="162"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(h)  promptly notify the Investors, at any time prior to the end of the Effectiveness Period, (1) when a Registration Statement has become effective and when any post-effective amendments and supplements thereto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9" w:name="page50"/>
    <w:bookmarkEnd w:id="49"/>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become effective, (2) of any request by the Commission or any state securities authority for post-effective amendments and supplements to a Registration Statement and Prospectus or for additional information after the Registration Statement has become effective, (3) of the issuance by the Commission or any state securities authority of any stop order suspending the effectiveness of a Registration Statement or the initiation of any proceedings for that purpose and (4) upon discovery that, or upon the happening of any event as a result of which, the Prospectus contains an untrue statement of a material fact or omits to state any material fact required to be stated therein or necessary to make the statements therein not misleading in light of the circumstances then existing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shall not, without the prior written consent of an Investor, disclose any material non-public information regarding the Company), and as promptly as reasonably practicable,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 and</w:t>
      </w:r>
    </w:p>
    <w:p>
      <w:pPr>
        <w:spacing w:after="0" w:line="194"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  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w:t>
      </w:r>
    </w:p>
    <w:p>
      <w:pPr>
        <w:spacing w:after="0" w:line="336" w:lineRule="exact"/>
        <w:rPr>
          <w:sz w:val="20"/>
          <w:szCs w:val="20"/>
          <w:color w:val="auto"/>
        </w:rPr>
      </w:pPr>
    </w:p>
    <w:p>
      <w:pPr>
        <w:ind w:left="424" w:hanging="424"/>
        <w:spacing w:after="0"/>
        <w:tabs>
          <w:tab w:leader="none" w:pos="42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Investors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Each Investor shall deliver to the Company a selling stockholder questionnaire, in the form set forth on Annex A hereto, prior to the Closing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Each Investor shall additionally furnish in writing to the Company such other information regarding itself, the Registrable Securities held by it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intended method of disposition of the Registrable Securities held by it, as shall be reasonably required to effect the registration of such Registrable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shall execute such documents in connection with such registration as the Company may reasonably request. At least three (3) Business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Days prior to the first anticipated filing date of any Registration Statement, the Company shall notify each Investor of the additional information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requires from such Investor if such Investor elects to have any of the Registrable Securities included in such Registration Statement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Information Notice</w:t>
      </w:r>
      <w:r>
        <w:rPr>
          <w:rFonts w:ascii="Times New Roman" w:cs="Times New Roman" w:eastAsia="Times New Roman" w:hAnsi="Times New Roman"/>
          <w:sz w:val="17"/>
          <w:szCs w:val="17"/>
          <w:color w:val="auto"/>
        </w:rPr>
        <w:t>”). An Investor shall provide such information to the Company no later than two (2) Business Days following receipt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Registration Information Notice if such Investor elects to have any of the Registrable Securities included in such Registration Statement. It is agreed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understood that it shall be a condition precedent to the obligations of the Company to complete the registration pursuant to this Agreement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 to the Registrable Securities of a particular Investor that such Investor furnish to the Company such information regarding itself, the Registrable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held by it and the intended method of disposition of the Registrable Securities held by it as shall be reasonably required to effect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effectiveness of the registration of such Registrable Securities.</w:t>
      </w:r>
    </w:p>
    <w:p>
      <w:pPr>
        <w:spacing w:after="0" w:line="20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(b)  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7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(c)  Each Investor agrees that, upon receipt of any notice from the Company (which notice shall not include material non-public information) of either (i) the commencement of an Allowed Delay pursuant to </w:t>
      </w:r>
      <w:r>
        <w:rPr>
          <w:rFonts w:ascii="Times New Roman" w:cs="Times New Roman" w:eastAsia="Times New Roman" w:hAnsi="Times New Roman"/>
          <w:sz w:val="18"/>
          <w:szCs w:val="18"/>
          <w:u w:val="single" w:color="auto"/>
          <w:color w:val="auto"/>
        </w:rPr>
        <w:t>Section 2(c)(ii)</w:t>
      </w:r>
      <w:r>
        <w:rPr>
          <w:rFonts w:ascii="Times New Roman" w:cs="Times New Roman" w:eastAsia="Times New Roman" w:hAnsi="Times New Roman"/>
          <w:sz w:val="18"/>
          <w:szCs w:val="18"/>
          <w:color w:val="auto"/>
        </w:rPr>
        <w:t xml:space="preserve"> or (ii) the happening of an event pursuant to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hereof, such Investor will immediately discontinue disposition of Registrable Securities pursuant to any Registration Statement covering such Registrable Securities, until the Investor is advised by the Company that such dispositions may again be made.</w:t>
      </w:r>
    </w:p>
    <w:p>
      <w:pPr>
        <w:spacing w:after="0" w:line="180"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(d)  Each Investor covenants and agrees that it will comply with the prospectus delivery requirements of the 1933 Act as applicable to it or an exemption therefrom in connection with sales of Registrable Securities pursuant to any Registration Statement.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50" w:name="page51"/>
    <w:bookmarkEnd w:id="50"/>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will indemnify and hold harmless each Investor and its officers, directors, members, managers, partners and agents and successors and assigns, and each other Person, if any, who controls such Investor (within the meaning of Section 15 of the 1933 Act or Section 20 of the 1934 Act) and the officers, directors, partners, members and managers of each such controlling Person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losses, claims, damages, liabilities, costs (including, without limitation, reasonable external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insofar as such Losses arise out of or are based upon any untrue statement or alleged untrue statement or omission or alleged omission of any material fact contained in any Registration Statement, any preliminary Prospectus or final Prospectus, or any amendment or supplement thereof,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any violation of this Agreement (collectively, “</w:t>
      </w:r>
      <w:r>
        <w:rPr>
          <w:rFonts w:ascii="Times New Roman" w:cs="Times New Roman" w:eastAsia="Times New Roman" w:hAnsi="Times New Roman"/>
          <w:sz w:val="18"/>
          <w:szCs w:val="18"/>
          <w:u w:val="single" w:color="auto"/>
          <w:color w:val="auto"/>
        </w:rPr>
        <w:t>Violations</w:t>
      </w:r>
      <w:r>
        <w:rPr>
          <w:rFonts w:ascii="Times New Roman" w:cs="Times New Roman" w:eastAsia="Times New Roman" w:hAnsi="Times New Roman"/>
          <w:sz w:val="18"/>
          <w:szCs w:val="18"/>
          <w:color w:val="auto"/>
        </w:rPr>
        <w:t xml:space="preserve">” and shall reimburse each Indemnified Party upon demand for reasonable and documented fees and expenses of counsel and other expenses incurred by it in connection with investigating, preparing to defend or defending, or providing evidence in or preparing to serve or serving as a witness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if and to the extent that any such claim arises out of or is based upon (i) an untrue statement or alleged untrue statement or omission or alleged omission so made in conformity with information furnished by such Investor or any such controlling person in writing specifically for use in such Registration Statement or Prospectus and was reviewed and approved in writing by such Investor expressly for use in the Registration Statement, (ii) the use by an Investor of an outdated or defective Prospectus after the Company has notified such Investor in writing that such Prospectus is outdated or defective or (iii) an Investor’s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w:t>
      </w:r>
    </w:p>
    <w:p>
      <w:pPr>
        <w:spacing w:after="0" w:line="19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Indemnification by the Investors</w:t>
      </w:r>
      <w:r>
        <w:rPr>
          <w:rFonts w:ascii="Times New Roman" w:cs="Times New Roman" w:eastAsia="Times New Roman" w:hAnsi="Times New Roman"/>
          <w:sz w:val="18"/>
          <w:szCs w:val="18"/>
          <w:color w:val="auto"/>
        </w:rPr>
        <w:t xml:space="preserve">. Each Investor agrees, severally and not jointly, to indemnify and hold harmless, to the fullest extent permitted by law, the Company, its officers, directors, members, managers, partners and agents and successors and assigns and each Person who controls the Company (within the meaning of Section 15 of the 1933 Act or Section 20 of the 1934 Act), and the officers, directors, partners, members and managers of each such controlling Person, against any Losses resulting from any Violations, to the extent that such untrue statement or omission is contained in any information regarding such Investor and furnished in writing by such Investor to the Company specifically for inclusion in such Registration Statement or Prospectus or amendment or supplement thereto and was reviewed and approved in writing by such Investor expressly for use in such Registration Statement or Prospectus or amendment or supplement thereto. In no event shall the aggregate liability of an Investor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 greater than the dollar amount of the proceeds (net of all expenses paid by such Investor in connection with a claim relating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w:t>
      </w:r>
    </w:p>
    <w:p>
      <w:pPr>
        <w:spacing w:after="0" w:line="194"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(c)  </w:t>
      </w:r>
      <w:r>
        <w:rPr>
          <w:rFonts w:ascii="Times New Roman" w:cs="Times New Roman" w:eastAsia="Times New Roman" w:hAnsi="Times New Roman"/>
          <w:sz w:val="17"/>
          <w:szCs w:val="17"/>
          <w:u w:val="single" w:color="auto"/>
          <w:color w:val="auto"/>
        </w:rPr>
        <w:t>Conduct of Indemnification Proceedings</w:t>
      </w:r>
      <w:r>
        <w:rPr>
          <w:rFonts w:ascii="Times New Roman" w:cs="Times New Roman" w:eastAsia="Times New Roman" w:hAnsi="Times New Roman"/>
          <w:sz w:val="17"/>
          <w:szCs w:val="17"/>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person entitled to indemnification hereunder shall have the right to employ separate counsel and to participate in the defense of such claim, but the fees and expenses of such counsel shall be at the expense of such person unless</w:t>
      </w:r>
    </w:p>
    <w:p>
      <w:pPr>
        <w:spacing w:after="0" w:line="3" w:lineRule="exact"/>
        <w:rPr>
          <w:sz w:val="20"/>
          <w:szCs w:val="20"/>
          <w:color w:val="auto"/>
        </w:rPr>
      </w:pPr>
    </w:p>
    <w:p>
      <w:pPr>
        <w:ind w:left="4" w:right="20" w:hanging="4"/>
        <w:spacing w:after="0" w:line="251" w:lineRule="auto"/>
        <w:tabs>
          <w:tab w:leader="none" w:pos="2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material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51" w:name="page52"/>
    <w:bookmarkEnd w:id="51"/>
    <w:p>
      <w:pPr>
        <w:ind w:left="4"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malfeasance by or on behalf of, the Indemnified Party. No Indemnified Party will, except with the prior written consent of the indemnifying party, which consent shall not be unreasonably withheld, conditioned or delayed, consent to entry of any judgment or enter into any settlement and no indemnifying party shall be liable for any such settlement or consent to entry of judgment entered into by such Indemnified Party without its consent.</w:t>
      </w:r>
    </w:p>
    <w:p>
      <w:pPr>
        <w:spacing w:after="0" w:line="187"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claim in such proportion as is appropriate to reflect the relative fault of the Indemnified Party and the indemnifying party,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was available to such party in accordance with its terms.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under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together with all of its other obligations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 greater in amount than the dollar amount of the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343"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This Agreement may be amended only by a writing signed by the Company and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Agreement may not be amended with respect to any Investor without the written consent of such Investor. The Company may take any action herein prohibited, or omit to perform any act herein required to be performed by it, only if the Company shall have obtained the written consent to such amendment, action or omission to act, of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action or omission that complies with the foregoing, but that disproportionately and adversely affects the rights and obligations of any Investor relative to the comparable rights and obligations of the other Investors shall require the prior written consent of such adversely affected Investor or each Investor, as applicable.</w:t>
      </w:r>
    </w:p>
    <w:p>
      <w:pPr>
        <w:spacing w:after="0" w:line="187"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shall use its commercially reasonable efforts to (i) file with the SEC in a timely manner all reports and other documents required to be filed by it under the 1933 Act and the 1934 Act, (ii) make and keep adequate current public information available within the meaning of Rule 144 and (iii) take such further action as the Investors may reasonably request, all to the extent required to enable such Persons to sell securities pursuant to Rule 144 or any similar rule or regulation hereafter adopted by the SEC.</w:t>
      </w:r>
    </w:p>
    <w:p>
      <w:pPr>
        <w:spacing w:after="0" w:line="180"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provided for or permitted hereunder shall be made as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of the Purchase Agreement.</w:t>
      </w:r>
    </w:p>
    <w:p>
      <w:pPr>
        <w:spacing w:after="0" w:line="162"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Assignments and Transfers by Investors</w:t>
      </w:r>
      <w:r>
        <w:rPr>
          <w:rFonts w:ascii="Times New Roman" w:cs="Times New Roman" w:eastAsia="Times New Roman" w:hAnsi="Times New Roman"/>
          <w:sz w:val="18"/>
          <w:szCs w:val="18"/>
          <w:color w:val="auto"/>
        </w:rPr>
        <w:t>. The provisions of this Agreement shall be binding upon and inure to the benefit of the Investors and their respective successors and permitted assigns. An Investor may transfer or assign, in whole or from time to time in part, to one or more persons its rights or delegate its obligations hereunder in connection with the transfer of Registrable Securities by such Investor to such person, provided that</w:t>
      </w:r>
    </w:p>
    <w:p>
      <w:pPr>
        <w:spacing w:after="0" w:line="1" w:lineRule="exact"/>
        <w:rPr>
          <w:sz w:val="20"/>
          <w:szCs w:val="20"/>
          <w:color w:val="auto"/>
        </w:rPr>
      </w:pPr>
    </w:p>
    <w:p>
      <w:pPr>
        <w:ind w:left="4" w:right="100" w:hanging="4"/>
        <w:spacing w:after="0" w:line="260" w:lineRule="auto"/>
        <w:tabs>
          <w:tab w:leader="none" w:pos="2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such transfer or assignment the further disposition of such securities by the transferee or assignee is restricted under the 1933 Act or applicable state securities laws; (II) such transfer shall have been made in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52" w:name="page53"/>
    <w:bookmarkEnd w:id="5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the applicable requirements of the Purchase Agreement; and (III) prior to such assignment (i) the Investor agrees in writing with the transferee or assignee to assign such rights and delegate such obligations and a copy of such agreement is furnished to the Company; (ii) the Company is furnished with written notice of (A) the name and address of such transferee or assignee and (B) the securities with respect to which such registration rights are being transferred or assigned; (iii) at or before the time the Company receives the written notice contemplated by clause (ii) of this sentence the transferee or assignee agrees in writing with the Company to be bound by all of the provisions contained herein.</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Assignments and Transfers by the Company</w:t>
      </w:r>
      <w:r>
        <w:rPr>
          <w:rFonts w:ascii="Times New Roman" w:cs="Times New Roman" w:eastAsia="Times New Roman" w:hAnsi="Times New Roman"/>
          <w:sz w:val="18"/>
          <w:szCs w:val="18"/>
          <w:color w:val="auto"/>
        </w:rPr>
        <w:t xml:space="preserve">. This Agreement may not be assigned by the Company (whether by operation of law or otherwise) without the prior written consent of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amended with respect to any Investor in a materially adverse and non pro rata manner without the written consent of such Investor.</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Benefits of the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or more counterparts, each of which shall be deemed an original, but all of which together shall constitute one and the same instrument. Counterparts may be delivered via electronic mail (including pdf or any electronic signature complying with the U.S. ESIGN Act of 2000,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www.docusign.com) or other transmission method and any counterpart so delivered shall be deemed to have been duly and validly delivered and be valid and effective for all purposes.</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Severabilit</w:t>
      </w:r>
      <w:r>
        <w:rPr>
          <w:rFonts w:ascii="Times New Roman" w:cs="Times New Roman" w:eastAsia="Times New Roman" w:hAnsi="Times New Roman"/>
          <w:sz w:val="18"/>
          <w:szCs w:val="18"/>
          <w:color w:val="auto"/>
        </w:rPr>
        <w:t>y.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62"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Entire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reement</w:t>
      </w:r>
      <w:r>
        <w:rPr>
          <w:rFonts w:ascii="Times New Roman" w:cs="Times New Roman" w:eastAsia="Times New Roman" w:hAnsi="Times New Roman"/>
          <w:sz w:val="18"/>
          <w:szCs w:val="18"/>
          <w:color w:val="auto"/>
        </w:rPr>
        <w:t>. The Transaction Documents, together with the exhibits and schedules thereto, are intended by the parties as a final expression of their agreement and intended to be a complete and exclusive statement of the agreement and understanding of the parties hereto and thereto in respect of the subject matter contained herein and therein. The Transaction Documents supersede all prior agreements and understandings between the parties with respect to the subject matter hereof and thereof.</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Use of Single Agreement</w:t>
      </w:r>
      <w:r>
        <w:rPr>
          <w:rFonts w:ascii="Times New Roman" w:cs="Times New Roman" w:eastAsia="Times New Roman" w:hAnsi="Times New Roman"/>
          <w:sz w:val="18"/>
          <w:szCs w:val="18"/>
          <w:color w:val="auto"/>
        </w:rPr>
        <w:t>. For ease of administration, this single Agreement is being executed so as to enable each Investor identified on the signature page of the Purchase Agreement to enter into an Agreement, severally, but not jointly. The parties agree that (i) this Agreement shall be treated as if it were a separate agreement with respect to each Investor listed on the signature page of the Purchase Agreement, as if each Investor entity had executed a separate Agreement naming only itself as Investor, and (ii) no Investor listed on the signature page of the Purchase Agreement shall have any liability under this Agreement for obligations of any other Investor so listed.</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Governing Law; Consent to Jurisdiction; Waiver of Jury Trial</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Each party agrees that it shall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53" w:name="page54"/>
    <w:bookmarkEnd w:id="5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commence any Actions or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exclusively in the state and federal courts sitting in the State of New York. Each party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spacing w:after="0" w:line="19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Investors and the Company will be entitled to specific performance under the Transaction Documents.</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Wherever required by the context of this Agreement, the singular shall include the plural and vice versa, and the masculine gender shall include the feminine and neuter genders and vice versa, and references to any agreement, document or instrument shall be deemed to refer to such agreement, document or instrument as amended, supplemented or modified from time to time. All article, section, paragraph or clause references not attributed to a particular document shall be references to such parts of this Agreement, and all exhibit, annex, letter and schedule references not attributed to a particular document shall be references to such exhibits, annexes, letters and schedules to this Agreement. In addition, the word “or” is not exclusive; the words “including,” “includes,” “included” and “include” are deemed to be followed by the words “without limitation”; and the terms “herein,” “hereof” and “hereunder” and other words of similar import refer to this Agreement as a whole and not to any particular section, paragraph or subdivision.</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Independent Nature of Investors’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 and Rights</w:t>
      </w:r>
      <w:r>
        <w:rPr>
          <w:rFonts w:ascii="Times New Roman" w:cs="Times New Roman" w:eastAsia="Times New Roman" w:hAnsi="Times New Roman"/>
          <w:sz w:val="18"/>
          <w:szCs w:val="18"/>
          <w:color w:val="auto"/>
        </w:rPr>
        <w:t xml:space="preserve">. The obligations of each Investor hereunder are several and not joint with the obligations of any other Investor hereunder, and no Investor shall be responsible </w:t>
      </w:r>
      <w:r>
        <w:rPr>
          <w:rFonts w:ascii="Times New Roman" w:cs="Times New Roman" w:eastAsia="Times New Roman" w:hAnsi="Times New Roman"/>
          <w:sz w:val="18"/>
          <w:szCs w:val="18"/>
          <w:u w:val="single" w:color="auto"/>
          <w:color w:val="auto"/>
        </w:rPr>
        <w:t>or disadvantaged</w:t>
      </w:r>
      <w:r>
        <w:rPr>
          <w:rFonts w:ascii="Times New Roman" w:cs="Times New Roman" w:eastAsia="Times New Roman" w:hAnsi="Times New Roman"/>
          <w:sz w:val="18"/>
          <w:szCs w:val="18"/>
          <w:color w:val="auto"/>
        </w:rPr>
        <w:t xml:space="preserve"> in any way for the performance</w:t>
      </w:r>
      <w:r>
        <w:rPr>
          <w:rFonts w:ascii="Times New Roman" w:cs="Times New Roman" w:eastAsia="Times New Roman" w:hAnsi="Times New Roman"/>
          <w:sz w:val="18"/>
          <w:szCs w:val="18"/>
          <w:u w:val="single" w:color="auto"/>
          <w:color w:val="auto"/>
        </w:rPr>
        <w:t>, or failure thereof,</w:t>
      </w:r>
      <w:r>
        <w:rPr>
          <w:rFonts w:ascii="Times New Roman" w:cs="Times New Roman" w:eastAsia="Times New Roman" w:hAnsi="Times New Roman"/>
          <w:sz w:val="18"/>
          <w:szCs w:val="18"/>
          <w:color w:val="auto"/>
        </w:rPr>
        <w:t xml:space="preserve"> of the obligations of any other Investor hereunder. Nothing contained herein or in any other agreement or document delivered at any closing, and no action taken by any Investor pursuant hereto or thereto, shall be deemed to constitute the Investors as a partnership, an association, a joint venture or any other kind of group or entity, or create a presumption that the Investors are in any way acting in concert or as a group or entity with respect to such obligations or the transactions contemplated by this Agreement or any other matters, and the Company acknowledges that the Investors are not acting in concert or as a group, and the Company shall not assert any such claim, with respect to such obligations or transactions. Each Investor shall be entitled to protect and enforce its rights, including without limitation the rights arising out of this Agreement, and it shall not be necessary for any other Investor to be joined as an additional party in any proceeding for such purpose. The use of a single agreement with respect to the obligations of the Company contained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is between the Company and an Investor, solely, and not between the Company and the Investors collectively and not between and among Investors.</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760"/>
          </w:cols>
          <w:pgMar w:left="440" w:top="270" w:right="699" w:bottom="1440" w:gutter="0" w:footer="0" w:header="0"/>
        </w:sectPr>
      </w:pPr>
    </w:p>
    <w:bookmarkStart w:id="55" w:name="page56"/>
    <w:bookmarkEnd w:id="55"/>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or caused their duly authorized officers to execute this Agreement as of the date first above written.</w:t>
      </w:r>
    </w:p>
    <w:p>
      <w:pPr>
        <w:spacing w:after="0" w:line="30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Intuitive Machines,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860"/>
          </w:cols>
          <w:pgMar w:left="440" w:top="270" w:right="599" w:bottom="1440" w:gutter="0" w:footer="0" w:header="0"/>
        </w:sectPr>
      </w:pPr>
    </w:p>
    <w:bookmarkStart w:id="56" w:name="page57"/>
    <w:bookmarkEnd w:id="5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or caused their duly authorized officers to execute this Agreement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0860"/>
          </w:cols>
          <w:pgMar w:left="440" w:top="270" w:right="599" w:bottom="1440" w:gutter="0" w:footer="0" w:header="0"/>
        </w:sectPr>
      </w:pPr>
    </w:p>
    <w:bookmarkStart w:id="57" w:name="page58"/>
    <w:bookmarkEnd w:id="57"/>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Intuitive Machines Advancing Satellite Communications and In-Space Data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Processing Capabilities with $175 Million Strategic Investment</w:t>
      </w:r>
    </w:p>
    <w:p>
      <w:pPr>
        <w:spacing w:after="0" w:line="20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HOUSTON, February 25, 2026 — </w:t>
      </w:r>
      <w:r>
        <w:rPr>
          <w:rFonts w:ascii="Times New Roman" w:cs="Times New Roman" w:eastAsia="Times New Roman" w:hAnsi="Times New Roman"/>
          <w:sz w:val="18"/>
          <w:szCs w:val="18"/>
          <w:color w:val="auto"/>
        </w:rPr>
        <w:t>Intuitive Machines, Inc. (Nasdaq: LUNR) (“Intuitive Machines” or the “Company”), a leading space infrastructure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services company, today announced a $175 million strategic equity investment led by global institutional investors.</w:t>
      </w:r>
    </w:p>
    <w:p>
      <w:pPr>
        <w:spacing w:after="0" w:line="15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Following its acquisition of Lanteris Space Systems (“Lanteris”) in January, the Company intends to use this capital to support revenue expansion and investment in technologies to advance communications and data processing networks, including extending flight-proven satellite platforms into those growth markets.</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Intuitive Machines intends to invest in expanding its Near Space Network Services (“NSNS”) and establish a solar system internet independent of Earth. Through investments in the Lanteris platforms, specifically the 1300 series, the Company believes it can grow market share in Geostationary Orbit (“GEO”), expand capability around the Moon, extend capability to Mars, and support emerging high-power on-orbit data processing and edge computing.</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believes this investment will enhance its ability to win and execute higher margin, recurring revenue programs such as the Golden Dome initiatives, Tracking and Data Relay Satellite System (“TDRSS”), the Mars Telecommunications Orbiter, as well as the evolving space-based orbital data center market.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parallel, the Company is actively engaging strategic partners across the terrestrial technology sector to align space-based data centers with emerging enterprise demand.</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building a scalable infrastructure platform from low-Earth orbit to the Moon and into deep space,” said Intuitive Machines CEO, Steve Altemus. “With this investment, we can accelerate the integration of the combined company’s collective capabilities to deliver next-generation data, communications, and space-based infrastructure services.”</w:t>
      </w:r>
    </w:p>
    <w:p>
      <w:pPr>
        <w:spacing w:after="0" w:line="176"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The Company continues to look forward to hearing in the near-term regarding upcoming awards, including NASA’s Lunar Terrain Vehicle Services (“LTVS”), the next Commercial Lunar Payload Services award, and follow-on Proliferated Warfighter Space Architecture satellite contracts.</w:t>
      </w:r>
    </w:p>
    <w:p>
      <w:pPr>
        <w:spacing w:after="0" w:line="140" w:lineRule="exact"/>
        <w:rPr>
          <w:sz w:val="20"/>
          <w:szCs w:val="20"/>
          <w:color w:val="auto"/>
        </w:rPr>
      </w:pPr>
    </w:p>
    <w:p>
      <w:pPr>
        <w:jc w:val="both"/>
        <w:ind w:right="400"/>
        <w:spacing w:after="0" w:line="312" w:lineRule="auto"/>
        <w:rPr>
          <w:sz w:val="20"/>
          <w:szCs w:val="20"/>
          <w:color w:val="auto"/>
        </w:rPr>
      </w:pPr>
      <w:r>
        <w:rPr>
          <w:rFonts w:ascii="Times New Roman" w:cs="Times New Roman" w:eastAsia="Times New Roman" w:hAnsi="Times New Roman"/>
          <w:sz w:val="17"/>
          <w:szCs w:val="17"/>
          <w:color w:val="auto"/>
        </w:rPr>
        <w:t>The definitive securities purchase agreement with the institutional investors is for the issuance and sale of the Company’s Class A common stock in exchange for a $175 million equity investment. The transaction is expected to close on February 27, 2026, subject to customary closing conditions.</w:t>
      </w:r>
    </w:p>
    <w:p>
      <w:pPr>
        <w:sectPr>
          <w:pgSz w:w="11900" w:h="16838" w:orient="portrait"/>
          <w:cols w:equalWidth="0" w:num="1">
            <w:col w:w="11020"/>
          </w:cols>
          <w:pgMar w:left="440" w:top="117" w:right="439" w:bottom="1440" w:gutter="0" w:footer="0" w:header="0"/>
        </w:sectPr>
      </w:pPr>
    </w:p>
    <w:bookmarkStart w:id="58" w:name="page59"/>
    <w:bookmarkEnd w:id="58"/>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Intuitive Machines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Intuitive Machines is a leading space infrastructure company that builds spacecraft, connects networks, and operates infrastructure-as-a-service serving commercial, civil and national security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proven track record across the space domain, the Company, through organic growth and portfolio expansion, has built over 300</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spacecraft, delivered over 260 kilograms of payload to the lunar surface and provided precision navigation expertise that has guided spacecraft across our solar system.</w:t>
      </w:r>
    </w:p>
    <w:p>
      <w:pPr>
        <w:spacing w:after="0" w:line="1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capabilities form an integrated Built-Connect-Operate infrastructure service company, enabling customers to achieve mission and campaign outcomes through a single prime solution. Intuitive Machines’ technology has been demonstrated across the space domain and is engineered to support the next century of opportunity in space.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Advisors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Cantor is serving as exclusive placement agent. DLA Piper LLP (US) is serving as legal advisor to Cantor. Simpson Thacher &amp; Bartlett LLP is serving as legal advisor to Intuitive Machines.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as amended. These statements that do not relate to matters of historical fact should be considered forward looking. These forward-looking statements generally are identified by the words such as “anticipate,” “believe,” “continue,” “could,” “estimate,” “expect,” “intend,” “may,” “might,” “plan,” “possible,” “potential,” “predict,” “project,” “should,” “strive,” “would,” “strategy,” “outlook,” the</w:t>
      </w:r>
    </w:p>
    <w:p>
      <w:pPr>
        <w:sectPr>
          <w:pgSz w:w="11900" w:h="16838" w:orient="portrait"/>
          <w:cols w:equalWidth="0" w:num="1">
            <w:col w:w="10880"/>
          </w:cols>
          <w:pgMar w:left="440" w:top="270" w:right="579" w:bottom="1440" w:gutter="0" w:footer="0" w:header="0"/>
        </w:sectPr>
      </w:pPr>
    </w:p>
    <w:bookmarkStart w:id="59" w:name="page60"/>
    <w:bookmarkEnd w:id="5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negative of these words or other similar expressions, but the absence of these words does not mean that a statement is not forward-looking. These forward-looking statements include but are not limited to statements regarding: the expected timing for the closing of the strategic equity investment; the anticipated use of proceeds from the strategic equity investment; and expectations regarding the benefits from the investments we intend to make from the proceeds of the strategic equity investment.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presentation: various risks and uncertainties related to, among other things, uncertainties related to the completion of the strategic equity investment, the benefits and costs associated with the transaction with Lanteris; our reliance upon the efforts of our Board and key personnel to be successful; our limited operating history; our failure to manage our growth effectively and to win new contracts; our customer concentration; competition from existing or new companies; unsatisfactory safety performance of our spaceflight systems or security incidents at our facilities; cyber incidents; failure of the market for commercial spaceflight to achieve the growth potential we expect; any delayed launches, launch failures, failure of landers to conduct all mission milestone, failure of our satellites or lunar landers to reach their planned orbital locations, significant increases in the costs related to launches of satellites and lunar landers, and insufficient capacity available from satellite and lunar lander launch providers; our reliance on a single launch service provider; risks associated with commercial spaceflight, including any accident on launch or during the journey into space; risks associated with the handling, production and disposition of potentially explosive and ignitable energetic materials and other dangerous chemicals in our operations; our reliance on a limited number of suppliers for certain materials and supplied components; failure of our products to operate in the expected manner or defects in our products; counterparty risks on contracts entered into with our customers and failure of our prime contractors to maintain their relationships with their counterparties and fulfill their contractual obligations; failure to successfully defend protest from other bidders for government contracts; failure to comply with various laws and regulations relating to various aspects of our business, uncertainty in the regulatory</w:t>
      </w:r>
    </w:p>
    <w:p>
      <w:pPr>
        <w:sectPr>
          <w:pgSz w:w="11900" w:h="16838" w:orient="portrait"/>
          <w:cols w:equalWidth="0" w:num="1">
            <w:col w:w="11020"/>
          </w:cols>
          <w:pgMar w:left="440" w:top="270" w:right="439" w:bottom="1440" w:gutter="0" w:footer="0" w:header="0"/>
        </w:sectPr>
      </w:pPr>
    </w:p>
    <w:bookmarkStart w:id="60" w:name="page61"/>
    <w:bookmarkEnd w:id="6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environment and any changes in the funding levels of various governmental entities with which we do business; our failure to protect the confidentiality of our trade secrets and unpatented know how; our failure to comply with the terms of third-party open source software our systems utilize; our ability to maintain an effective system of internal control over financial reporting, and to address and remediate material weaknesses in our internal control over financial reporting; the U.S. government’s budget deficit and the national debt, as well as any inability of the U.S. government to complete its budget process for any government fiscal year, and our dependence on U.S. government contracts and the available funding by the U.S. government; our failure to comply with U.S. export and import control laws and regulations and U.S. economic sanctions and trade control laws and regulations; uncertain global macro-economic and political conditions and elevated inflation and interest rates; our history of losses and failure to achieve profitability in the future or failure to generate sufficient funds to continue operations; the cost and potential outcomes of pending and any future litigation; our public securities’ potential liquidity and trading; the sufficiency and anticipated use of our existing capital resources to fund our future operating expenses and capital expenditure requirements and needs for additional financing; our ability to successfully identify, complete, integrate, and obtain benefits from any acquisitions, joint ventures and other investments; and other public filings and press releases other factors detailed under the section titled Part I, Item 1A. Risk Factors of our Annual Report on Form 10-K for the fiscal year ended December 31, 2024 filed with the Securities and Exchange Commission (the “SEC”), the section titled Part I, Item 2, Management’s Discussion and Analysis of Financial Condition and Results of Operations and the section titled Part II. Item 1A. “Risk Factors” in our most recently filed Quarterly Report on Form 10-Q, and in our subsequent filings with the SEC, which are accessible on the SEC’s website at www.sec.gov.</w:t>
      </w:r>
    </w:p>
    <w:p>
      <w:pPr>
        <w:spacing w:after="0" w:line="19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presentation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sectPr>
          <w:pgSz w:w="11900" w:h="16838" w:orient="portrait"/>
          <w:cols w:equalWidth="0" w:num="1">
            <w:col w:w="11000"/>
          </w:cols>
          <w:pgMar w:left="440" w:top="270"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inquiries: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investors@intuitivemachines.com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media inquiries: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press@intuitivemachines.com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lowerLetter"/>
      <w:start w:val="8"/>
    </w:lvl>
  </w:abstractNum>
  <w:abstractNum w:abstractNumId="2">
    <w:nsid w:val="836C40E"/>
    <w:multiLevelType w:val="hybridMultilevel"/>
    <w:lvl w:ilvl="0">
      <w:lvlJc w:val="left"/>
      <w:lvlText w:val="(%1)"/>
      <w:numFmt w:val="lowerRoman"/>
      <w:start w:val="2"/>
    </w:lvl>
  </w:abstractNum>
  <w:abstractNum w:abstractNumId="3">
    <w:nsid w:val="2901D82"/>
    <w:multiLevelType w:val="hybridMultilevel"/>
    <w:lvl w:ilvl="0">
      <w:lvlJc w:val="left"/>
      <w:lvlText w:val="(%1)"/>
      <w:numFmt w:val="lowerLetter"/>
      <w:start w:val="1"/>
    </w:lvl>
  </w:abstractNum>
  <w:abstractNum w:abstractNumId="4">
    <w:nsid w:val="3A95F874"/>
    <w:multiLevelType w:val="hybridMultilevel"/>
    <w:lvl w:ilvl="0">
      <w:lvlJc w:val="left"/>
      <w:lvlText w:val="(%1)"/>
      <w:numFmt w:val="lowerLetter"/>
      <w:start w:val="1"/>
    </w:lvl>
    <w:lvl w:ilvl="1">
      <w:lvlJc w:val="left"/>
      <w:lvlText w:val="(%2)"/>
      <w:numFmt w:val="lowerRoman"/>
      <w:start w:val="1"/>
    </w:lvl>
  </w:abstractNum>
  <w:abstractNum w:abstractNumId="5">
    <w:nsid w:val="8138641"/>
    <w:multiLevelType w:val="hybridMultilevel"/>
    <w:lvl w:ilvl="0">
      <w:lvlJc w:val="left"/>
      <w:lvlText w:val="%1"/>
      <w:numFmt w:val="lowerLetter"/>
      <w:start w:val="1"/>
    </w:lvl>
    <w:lvl w:ilvl="1">
      <w:lvlJc w:val="left"/>
      <w:lvlText w:val="(%2)"/>
      <w:numFmt w:val="lowerRoman"/>
      <w:start w:val="6"/>
    </w:lvl>
  </w:abstractNum>
  <w:abstractNum w:abstractNumId="6">
    <w:nsid w:val="1E7FF521"/>
    <w:multiLevelType w:val="hybridMultilevel"/>
    <w:lvl w:ilvl="0">
      <w:lvlJc w:val="left"/>
      <w:lvlText w:val="(%1)"/>
      <w:numFmt w:val="lowerLetter"/>
      <w:start w:val="2"/>
    </w:lvl>
    <w:lvl w:ilvl="1">
      <w:lvlJc w:val="left"/>
      <w:lvlText w:val="(%2)"/>
      <w:numFmt w:val="lowerRoman"/>
      <w:start w:val="1"/>
    </w:lvl>
  </w:abstractNum>
  <w:abstractNum w:abstractNumId="7">
    <w:nsid w:val="7C3DBD3D"/>
    <w:multiLevelType w:val="hybridMultilevel"/>
    <w:lvl w:ilvl="0">
      <w:lvlJc w:val="left"/>
      <w:lvlText w:val="(%1)"/>
      <w:numFmt w:val="lowerLetter"/>
      <w:start w:val="1"/>
    </w:lvl>
    <w:lvl w:ilvl="1">
      <w:lvlJc w:val="left"/>
      <w:lvlText w:val="(%2)"/>
      <w:numFmt w:val="lowerRoman"/>
      <w:start w:val="1"/>
    </w:lvl>
  </w:abstractNum>
  <w:abstractNum w:abstractNumId="8">
    <w:nsid w:val="737B8DDC"/>
    <w:multiLevelType w:val="hybridMultilevel"/>
    <w:lvl w:ilvl="0">
      <w:lvlJc w:val="left"/>
      <w:lvlText w:val="%1"/>
      <w:numFmt w:val="lowerLetter"/>
      <w:start w:val="1"/>
    </w:lvl>
    <w:lvl w:ilvl="1">
      <w:lvlJc w:val="left"/>
      <w:lvlText w:val="(%2)"/>
      <w:numFmt w:val="lowerLetter"/>
      <w:start w:val="61"/>
    </w:lvl>
  </w:abstractNum>
  <w:abstractNum w:abstractNumId="9">
    <w:nsid w:val="6CEAF087"/>
    <w:multiLevelType w:val="hybridMultilevel"/>
    <w:lvl w:ilvl="0">
      <w:lvlJc w:val="left"/>
      <w:lvlText w:val="(%1)"/>
      <w:numFmt w:val="lowerLetter"/>
      <w:start w:val="2"/>
    </w:lvl>
    <w:lvl w:ilvl="1">
      <w:lvlJc w:val="left"/>
      <w:lvlText w:val="(%2)"/>
      <w:numFmt w:val="lowerLetter"/>
      <w:start w:val="9"/>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1)"/>
      <w:numFmt w:val="lowerRoman"/>
      <w:start w:val="9"/>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1"/>
      <w:numFmt w:val="lowerLetter"/>
      <w:start w:val="1"/>
    </w:lvl>
    <w:lvl w:ilvl="1">
      <w:lvlJc w:val="left"/>
      <w:lvlText w:val="(%2)"/>
      <w:numFmt w:val="lowerLetter"/>
      <w:start w:val="3"/>
    </w:lvl>
  </w:abstractNum>
  <w:abstractNum w:abstractNumId="14">
    <w:nsid w:val="419AC241"/>
    <w:multiLevelType w:val="hybridMultilevel"/>
    <w:lvl w:ilvl="0">
      <w:lvlJc w:val="left"/>
      <w:lvlText w:val="(%1)"/>
      <w:numFmt w:val="lowerLetter"/>
      <w:start w:val="9"/>
    </w:lvl>
    <w:lvl w:ilvl="1">
      <w:lvlJc w:val="left"/>
      <w:lvlText w:val="(%2)"/>
      <w:numFmt w:val="lowerLetter"/>
      <w:start w:val="4"/>
    </w:lvl>
  </w:abstractNum>
  <w:abstractNum w:abstractNumId="15">
    <w:nsid w:val="5577F8E1"/>
    <w:multiLevelType w:val="hybridMultilevel"/>
    <w:lvl w:ilvl="0">
      <w:lvlJc w:val="left"/>
      <w:lvlText w:val="%1"/>
      <w:numFmt w:val="lowerLetter"/>
      <w:start w:val="1"/>
    </w:lvl>
    <w:lvl w:ilvl="1">
      <w:lvlJc w:val="left"/>
      <w:lvlText w:val="(%2)"/>
      <w:numFmt w:val="lowerLetter"/>
      <w:start w:val="7"/>
    </w:lvl>
  </w:abstractNum>
  <w:abstractNum w:abstractNumId="16">
    <w:nsid w:val="440BADFC"/>
    <w:multiLevelType w:val="hybridMultilevel"/>
    <w:lvl w:ilvl="0">
      <w:lvlJc w:val="left"/>
      <w:lvlText w:val="(%1)"/>
      <w:numFmt w:val="lowerLetter"/>
      <w:start w:val="35"/>
    </w:lvl>
    <w:lvl w:ilvl="1">
      <w:lvlJc w:val="left"/>
      <w:lvlText w:val="(%2)"/>
      <w:numFmt w:val="lowerLetter"/>
      <w:start w:val="9"/>
    </w:lvl>
  </w:abstractNum>
  <w:abstractNum w:abstractNumId="17">
    <w:nsid w:val="5072367"/>
    <w:multiLevelType w:val="hybridMultilevel"/>
    <w:lvl w:ilvl="0">
      <w:lvlJc w:val="left"/>
      <w:lvlText w:val="(%1)"/>
      <w:numFmt w:val="lowerLetter"/>
      <w:start w:val="10"/>
    </w:lvl>
  </w:abstractNum>
  <w:abstractNum w:abstractNumId="18">
    <w:nsid w:val="3804823E"/>
    <w:multiLevelType w:val="hybridMultilevel"/>
    <w:lvl w:ilvl="0">
      <w:lvlJc w:val="left"/>
      <w:lvlText w:val="%1"/>
      <w:numFmt w:val="lowerLetter"/>
      <w:start w:val="1"/>
    </w:lvl>
    <w:lvl w:ilvl="1">
      <w:lvlJc w:val="left"/>
      <w:lvlText w:val="(%2)"/>
      <w:numFmt w:val="lowerLetter"/>
      <w:start w:val="16"/>
    </w:lvl>
  </w:abstractNum>
  <w:abstractNum w:abstractNumId="19">
    <w:nsid w:val="77465F01"/>
    <w:multiLevelType w:val="hybridMultilevel"/>
    <w:lvl w:ilvl="0">
      <w:lvlJc w:val="left"/>
      <w:lvlText w:val="(%1)"/>
      <w:numFmt w:val="lowerLetter"/>
      <w:start w:val="2"/>
    </w:lvl>
    <w:lvl w:ilvl="1">
      <w:lvlJc w:val="left"/>
      <w:lvlText w:val="%2"/>
      <w:numFmt w:val="lowerLetter"/>
      <w:start w:val="1"/>
    </w:lvl>
  </w:abstractNum>
  <w:abstractNum w:abstractNumId="20">
    <w:nsid w:val="7724C67E"/>
    <w:multiLevelType w:val="hybridMultilevel"/>
    <w:lvl w:ilvl="0">
      <w:lvlJc w:val="left"/>
      <w:lvlText w:val="(%1)"/>
      <w:numFmt w:val="lowerLetter"/>
      <w:start w:val="18"/>
    </w:lvl>
    <w:lvl w:ilvl="1">
      <w:lvlJc w:val="left"/>
      <w:lvlText w:val="(%2)"/>
      <w:numFmt w:val="lowerLetter"/>
      <w:start w:val="9"/>
    </w:lvl>
  </w:abstractNum>
  <w:abstractNum w:abstractNumId="21">
    <w:nsid w:val="5C482A97"/>
    <w:multiLevelType w:val="hybridMultilevel"/>
    <w:lvl w:ilvl="0">
      <w:lvlJc w:val="left"/>
      <w:lvlText w:val="(%1)"/>
      <w:numFmt w:val="lowerRoman"/>
      <w:start w:val="2"/>
    </w:lvl>
  </w:abstractNum>
  <w:abstractNum w:abstractNumId="22">
    <w:nsid w:val="2463B9EA"/>
    <w:multiLevelType w:val="hybridMultilevel"/>
    <w:lvl w:ilvl="0">
      <w:lvlJc w:val="left"/>
      <w:lvlText w:val="(%1)"/>
      <w:numFmt w:val="lowerLetter"/>
      <w:start w:val="23"/>
    </w:lvl>
  </w:abstractNum>
  <w:abstractNum w:abstractNumId="23">
    <w:nsid w:val="5E884ADC"/>
    <w:multiLevelType w:val="hybridMultilevel"/>
    <w:lvl w:ilvl="0">
      <w:lvlJc w:val="left"/>
      <w:lvlText w:val="(%1)"/>
      <w:numFmt w:val="lowerLetter"/>
      <w:start w:val="26"/>
    </w:lvl>
  </w:abstractNum>
  <w:abstractNum w:abstractNumId="24">
    <w:nsid w:val="51EAD36B"/>
    <w:multiLevelType w:val="hybridMultilevel"/>
    <w:lvl w:ilvl="0">
      <w:lvlJc w:val="left"/>
      <w:lvlText w:val="%1"/>
      <w:numFmt w:val="lowerLetter"/>
      <w:start w:val="1"/>
    </w:lvl>
    <w:lvl w:ilvl="1">
      <w:lvlJc w:val="left"/>
      <w:lvlText w:val="(%2)"/>
      <w:numFmt w:val="lowerLetter"/>
      <w:start w:val="27"/>
    </w:lvl>
  </w:abstractNum>
  <w:abstractNum w:abstractNumId="25">
    <w:nsid w:val="2D517796"/>
    <w:multiLevelType w:val="hybridMultilevel"/>
    <w:lvl w:ilvl="0">
      <w:lvlJc w:val="left"/>
      <w:lvlText w:val="(%1)"/>
      <w:numFmt w:val="lowerLetter"/>
      <w:start w:val="35"/>
    </w:lvl>
    <w:lvl w:ilvl="1">
      <w:lvlJc w:val="left"/>
      <w:lvlText w:val="(%2)"/>
      <w:numFmt w:val="lowerLetter"/>
      <w:start w:val="30"/>
    </w:lvl>
  </w:abstractNum>
  <w:abstractNum w:abstractNumId="26">
    <w:nsid w:val="580BD78F"/>
    <w:multiLevelType w:val="hybridMultilevel"/>
    <w:lvl w:ilvl="0">
      <w:lvlJc w:val="left"/>
      <w:lvlText w:val="%1"/>
      <w:numFmt w:val="lowerLetter"/>
      <w:start w:val="1"/>
    </w:lvl>
    <w:lvl w:ilvl="1">
      <w:lvlJc w:val="left"/>
      <w:lvlText w:val="(%2)"/>
      <w:numFmt w:val="lowerLetter"/>
      <w:start w:val="32"/>
    </w:lvl>
  </w:abstractNum>
  <w:abstractNum w:abstractNumId="27">
    <w:nsid w:val="153EA438"/>
    <w:multiLevelType w:val="hybridMultilevel"/>
    <w:lvl w:ilvl="0">
      <w:lvlJc w:val="left"/>
      <w:lvlText w:val="(%1)"/>
      <w:numFmt w:val="lowerLetter"/>
      <w:start w:val="35"/>
    </w:lvl>
    <w:lvl w:ilvl="1">
      <w:lvlJc w:val="left"/>
      <w:lvlText w:val="(%2)"/>
      <w:numFmt w:val="lowerLetter"/>
      <w:start w:val="35"/>
    </w:lvl>
  </w:abstractNum>
  <w:abstractNum w:abstractNumId="28">
    <w:nsid w:val="3855585C"/>
    <w:multiLevelType w:val="hybridMultilevel"/>
    <w:lvl w:ilvl="0">
      <w:lvlJc w:val="left"/>
      <w:lvlText w:val="(%1)"/>
      <w:numFmt w:val="lowerLetter"/>
      <w:start w:val="35"/>
    </w:lvl>
    <w:lvl w:ilvl="1">
      <w:lvlJc w:val="left"/>
      <w:lvlText w:val="%2"/>
      <w:numFmt w:val="lowerLetter"/>
      <w:start w:val="1"/>
    </w:lvl>
  </w:abstractNum>
  <w:abstractNum w:abstractNumId="29">
    <w:nsid w:val="70A64E2A"/>
    <w:multiLevelType w:val="hybridMultilevel"/>
    <w:lvl w:ilvl="0">
      <w:lvlJc w:val="left"/>
      <w:lvlText w:val="(%1)"/>
      <w:numFmt w:val="lowerLetter"/>
      <w:start w:val="36"/>
    </w:lvl>
  </w:abstractNum>
  <w:abstractNum w:abstractNumId="30">
    <w:nsid w:val="6A2342EC"/>
    <w:multiLevelType w:val="hybridMultilevel"/>
    <w:lvl w:ilvl="0">
      <w:lvlJc w:val="left"/>
      <w:lvlText w:val="(%1)"/>
      <w:numFmt w:val="lowerLetter"/>
      <w:start w:val="39"/>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4"/>
    </w:lvl>
  </w:abstractNum>
  <w:abstractNum w:abstractNumId="33">
    <w:nsid w:val="725A06FB"/>
    <w:multiLevelType w:val="hybridMultilevel"/>
    <w:lvl w:ilvl="0">
      <w:lvlJc w:val="left"/>
      <w:lvlText w:val="(%1)"/>
      <w:numFmt w:val="lowerLetter"/>
      <w:start w:val="7"/>
    </w:lvl>
  </w:abstractNum>
  <w:abstractNum w:abstractNumId="34">
    <w:nsid w:val="2CD89A32"/>
    <w:multiLevelType w:val="hybridMultilevel"/>
    <w:lvl w:ilvl="0">
      <w:lvlJc w:val="left"/>
      <w:lvlText w:val="(%1)"/>
      <w:numFmt w:val="lowerLetter"/>
      <w:start w:val="10"/>
    </w:lvl>
  </w:abstractNum>
  <w:abstractNum w:abstractNumId="35">
    <w:nsid w:val="57E4CCAF"/>
    <w:multiLevelType w:val="hybridMultilevel"/>
    <w:lvl w:ilvl="0">
      <w:lvlJc w:val="left"/>
      <w:lvlText w:val="%1"/>
      <w:numFmt w:val="lowerLetter"/>
      <w:start w:val="1"/>
    </w:lvl>
    <w:lvl w:ilvl="1">
      <w:lvlJc w:val="left"/>
      <w:lvlText w:val="(%2)"/>
      <w:numFmt w:val="lowerLetter"/>
      <w:start w:val="15"/>
    </w:lvl>
  </w:abstractNum>
  <w:abstractNum w:abstractNumId="36">
    <w:nsid w:val="7A6D8D3C"/>
    <w:multiLevelType w:val="hybridMultilevel"/>
    <w:lvl w:ilvl="0">
      <w:lvlJc w:val="left"/>
      <w:lvlText w:val="(%1)"/>
      <w:numFmt w:val="lowerLetter"/>
      <w:start w:val="9"/>
    </w:lvl>
    <w:lvl w:ilvl="1">
      <w:lvlJc w:val="left"/>
      <w:lvlText w:val="(%2)"/>
      <w:numFmt w:val="lowerLetter"/>
      <w:start w:val="16"/>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2"/>
    </w:lvl>
  </w:abstractNum>
  <w:abstractNum w:abstractNumId="39">
    <w:nsid w:val="6DE91B18"/>
    <w:multiLevelType w:val="hybridMultilevel"/>
    <w:lvl w:ilvl="0">
      <w:lvlJc w:val="left"/>
      <w:lvlText w:val="(%1)"/>
      <w:numFmt w:val="lowerLetter"/>
      <w:start w:val="3"/>
    </w:lvl>
  </w:abstractNum>
  <w:abstractNum w:abstractNumId="40">
    <w:nsid w:val="38437FDB"/>
    <w:multiLevelType w:val="hybridMultilevel"/>
    <w:lvl w:ilvl="0">
      <w:lvlJc w:val="left"/>
      <w:lvlText w:val="(%1)"/>
      <w:numFmt w:val="lowerLetter"/>
      <w:start w:val="4"/>
    </w:lvl>
  </w:abstractNum>
  <w:abstractNum w:abstractNumId="41">
    <w:nsid w:val="7644A45C"/>
    <w:multiLevelType w:val="hybridMultilevel"/>
    <w:lvl w:ilvl="0">
      <w:lvlJc w:val="left"/>
      <w:lvlText w:val="%1"/>
      <w:numFmt w:val="lowerLetter"/>
      <w:start w:val="1"/>
    </w:lvl>
    <w:lvl w:ilvl="1">
      <w:lvlJc w:val="left"/>
      <w:lvlText w:val="(%2)"/>
      <w:numFmt w:val="lowerLetter"/>
      <w:start w:val="1"/>
    </w:lvl>
  </w:abstractNum>
  <w:abstractNum w:abstractNumId="42">
    <w:nsid w:val="32FFF902"/>
    <w:multiLevelType w:val="hybridMultilevel"/>
    <w:lvl w:ilvl="0">
      <w:lvlJc w:val="left"/>
      <w:lvlText w:val="(%1)"/>
      <w:numFmt w:val="lowerLetter"/>
      <w:start w:val="61"/>
    </w:lvl>
    <w:lvl w:ilvl="1">
      <w:lvlJc w:val="left"/>
      <w:lvlText w:val="(%2)"/>
      <w:numFmt w:val="lowerLetter"/>
      <w:start w:val="2"/>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lvl w:ilvl="1">
      <w:lvlJc w:val="left"/>
      <w:lvlText w:val="(%2)"/>
      <w:numFmt w:val="decimal"/>
      <w:start w:val="3"/>
    </w:lvl>
    <w:lvl w:ilvl="2">
      <w:lvlJc w:val="left"/>
      <w:lvlText w:val="•"/>
      <w:numFmt w:val="bullet"/>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2"/>
    </w:lvl>
  </w:abstractNum>
  <w:abstractNum w:abstractNumId="48">
    <w:nsid w:val="79A1DEAA"/>
    <w:multiLevelType w:val="hybridMultilevel"/>
    <w:lvl w:ilvl="0">
      <w:lvlJc w:val="left"/>
      <w:lvlText w:val="(%1)"/>
      <w:numFmt w:val="lowerRoman"/>
      <w:start w:val="1"/>
    </w:lvl>
  </w:abstractNum>
  <w:abstractNum w:abstractNumId="49">
    <w:nsid w:val="75C6C33A"/>
    <w:multiLevelType w:val="hybridMultilevel"/>
    <w:lvl w:ilvl="0">
      <w:lvlJc w:val="left"/>
      <w:lvlText w:val="%1."/>
      <w:numFmt w:val="decimal"/>
      <w:start w:val="4"/>
    </w:lvl>
  </w:abstractNum>
  <w:abstractNum w:abstractNumId="50">
    <w:nsid w:val="12E685FB"/>
    <w:multiLevelType w:val="hybridMultilevel"/>
    <w:lvl w:ilvl="0">
      <w:lvlJc w:val="left"/>
      <w:lvlText w:val="%1."/>
      <w:numFmt w:val="decimal"/>
      <w:start w:val="5"/>
    </w:lvl>
  </w:abstractNum>
  <w:abstractNum w:abstractNumId="51">
    <w:nsid w:val="70C6A529"/>
    <w:multiLevelType w:val="hybridMultilevel"/>
    <w:lvl w:ilvl="0">
      <w:lvlJc w:val="left"/>
      <w:lvlText w:val="(%1)"/>
      <w:numFmt w:val="upperLetter"/>
      <w:start w:val="1"/>
    </w:lvl>
  </w:abstractNum>
  <w:abstractNum w:abstractNumId="52">
    <w:nsid w:val="520EEDD1"/>
    <w:multiLevelType w:val="hybridMultilevel"/>
    <w:lvl w:ilvl="0">
      <w:lvlJc w:val="left"/>
      <w:lvlText w:val="%1."/>
      <w:numFmt w:val="decimal"/>
      <w:start w:val="6"/>
    </w:lvl>
  </w:abstractNum>
  <w:abstractNum w:abstractNumId="53">
    <w:nsid w:val="374A3FE6"/>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2026-02-25T07:51:38Z</dcterms:created>
  <dcterms:modified xsi:type="dcterms:W3CDTF">2026-02-25T07:51:38Z</dcterms:modified>
</cp:coreProperties>
</file>