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54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Date of Report (Date of earliest event reported): May 14, 2026</w:t>
            </w:r>
          </w:p>
        </w:tc>
        <w:tc>
          <w:tcPr>
            <w:tcW w:w="2840" w:type="dxa"/>
            <w:vAlign w:val="bottom"/>
          </w:tcPr>
          <w:p>
            <w:pPr>
              <w:spacing w:after="0"/>
              <w:rPr>
                <w:sz w:val="20"/>
                <w:szCs w:val="20"/>
                <w:color w:val="auto"/>
              </w:rPr>
            </w:pPr>
          </w:p>
        </w:tc>
      </w:tr>
      <w:tr>
        <w:trPr>
          <w:trHeight w:val="373"/>
        </w:trPr>
        <w:tc>
          <w:tcPr>
            <w:tcW w:w="2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INTUITIVE MACHINES, INC.</w:t>
            </w:r>
          </w:p>
        </w:tc>
        <w:tc>
          <w:tcPr>
            <w:tcW w:w="2840" w:type="dxa"/>
            <w:vAlign w:val="bottom"/>
          </w:tcPr>
          <w:p>
            <w:pPr>
              <w:spacing w:after="0"/>
              <w:rPr>
                <w:sz w:val="24"/>
                <w:szCs w:val="24"/>
                <w:color w:val="auto"/>
              </w:rPr>
            </w:pPr>
          </w:p>
        </w:tc>
      </w:tr>
      <w:tr>
        <w:trPr>
          <w:trHeight w:val="234"/>
        </w:trPr>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40" w:type="dxa"/>
            <w:vAlign w:val="bottom"/>
          </w:tcPr>
          <w:p>
            <w:pPr>
              <w:spacing w:after="0"/>
              <w:rPr>
                <w:sz w:val="20"/>
                <w:szCs w:val="20"/>
                <w:color w:val="auto"/>
              </w:rPr>
            </w:pPr>
          </w:p>
        </w:tc>
      </w:tr>
      <w:tr>
        <w:trPr>
          <w:trHeight w:val="446"/>
        </w:trPr>
        <w:tc>
          <w:tcPr>
            <w:tcW w:w="298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6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001-40823</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36-5056189</w:t>
            </w:r>
          </w:p>
        </w:tc>
      </w:tr>
      <w:tr>
        <w:trPr>
          <w:trHeight w:val="169"/>
        </w:trPr>
        <w:tc>
          <w:tcPr>
            <w:tcW w:w="2980" w:type="dxa"/>
            <w:vAlign w:val="bottom"/>
            <w:tcBorders>
              <w:top w:val="single" w:sz="8" w:color="auto"/>
            </w:tcBorders>
          </w:tcPr>
          <w:p>
            <w:pPr>
              <w:jc w:val="center"/>
              <w:ind w:left="610"/>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840" w:type="dxa"/>
            <w:vAlign w:val="bottom"/>
            <w:tcBorders>
              <w:top w:val="single" w:sz="8" w:color="auto"/>
            </w:tcBorders>
          </w:tcPr>
          <w:p>
            <w:pPr>
              <w:jc w:val="center"/>
              <w:ind w:right="770"/>
              <w:spacing w:after="0" w:line="16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72"/>
        </w:trPr>
        <w:tc>
          <w:tcPr>
            <w:tcW w:w="2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13467 Columbia Shuttle Street</w:t>
            </w:r>
          </w:p>
        </w:tc>
        <w:tc>
          <w:tcPr>
            <w:tcW w:w="2840" w:type="dxa"/>
            <w:vAlign w:val="bottom"/>
          </w:tcPr>
          <w:p>
            <w:pPr>
              <w:spacing w:after="0"/>
              <w:rPr>
                <w:sz w:val="24"/>
                <w:szCs w:val="24"/>
                <w:color w:val="auto"/>
              </w:rPr>
            </w:pPr>
          </w:p>
        </w:tc>
      </w:tr>
      <w:tr>
        <w:trPr>
          <w:trHeight w:val="220"/>
        </w:trPr>
        <w:tc>
          <w:tcPr>
            <w:tcW w:w="2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Houston, TX 77059</w:t>
            </w:r>
          </w:p>
        </w:tc>
        <w:tc>
          <w:tcPr>
            <w:tcW w:w="2840" w:type="dxa"/>
            <w:vAlign w:val="bottom"/>
          </w:tcPr>
          <w:p>
            <w:pPr>
              <w:spacing w:after="0"/>
              <w:rPr>
                <w:sz w:val="19"/>
                <w:szCs w:val="19"/>
                <w:color w:val="auto"/>
              </w:rPr>
            </w:pPr>
          </w:p>
        </w:tc>
      </w:tr>
      <w:tr>
        <w:trPr>
          <w:trHeight w:val="234"/>
        </w:trPr>
        <w:tc>
          <w:tcPr>
            <w:tcW w:w="2980" w:type="dxa"/>
            <w:vAlign w:val="bottom"/>
          </w:tcPr>
          <w:p>
            <w:pPr>
              <w:spacing w:after="0"/>
              <w:rPr>
                <w:sz w:val="20"/>
                <w:szCs w:val="20"/>
                <w:color w:val="auto"/>
              </w:rPr>
            </w:pPr>
          </w:p>
        </w:tc>
        <w:tc>
          <w:tcPr>
            <w:tcW w:w="54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40" w:type="dxa"/>
            <w:vAlign w:val="bottom"/>
          </w:tcPr>
          <w:p>
            <w:pPr>
              <w:spacing w:after="0"/>
              <w:rPr>
                <w:sz w:val="20"/>
                <w:szCs w:val="20"/>
                <w:color w:val="auto"/>
              </w:rPr>
            </w:pPr>
          </w:p>
        </w:tc>
      </w:tr>
      <w:tr>
        <w:trPr>
          <w:trHeight w:val="392"/>
        </w:trPr>
        <w:tc>
          <w:tcPr>
            <w:tcW w:w="2980" w:type="dxa"/>
            <w:vAlign w:val="bottom"/>
          </w:tcPr>
          <w:p>
            <w:pPr>
              <w:spacing w:after="0"/>
              <w:rPr>
                <w:sz w:val="24"/>
                <w:szCs w:val="24"/>
                <w:color w:val="auto"/>
              </w:rPr>
            </w:pPr>
          </w:p>
        </w:tc>
        <w:tc>
          <w:tcPr>
            <w:tcW w:w="54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(281) 520-3703</w:t>
            </w:r>
          </w:p>
        </w:tc>
        <w:tc>
          <w:tcPr>
            <w:tcW w:w="2840" w:type="dxa"/>
            <w:vAlign w:val="bottom"/>
          </w:tcPr>
          <w:p>
            <w:pPr>
              <w:spacing w:after="0"/>
              <w:rPr>
                <w:sz w:val="24"/>
                <w:szCs w:val="24"/>
                <w:color w:val="auto"/>
              </w:rPr>
            </w:pPr>
          </w:p>
        </w:tc>
      </w:tr>
    </w:tbl>
    <w:p>
      <w:pPr>
        <w:spacing w:after="0" w:line="200" w:lineRule="exact"/>
        <w:rPr>
          <w:sz w:val="24"/>
          <w:szCs w:val="24"/>
          <w:color w:val="auto"/>
        </w:rPr>
      </w:pPr>
    </w:p>
    <w:p>
      <w:pPr>
        <w:spacing w:after="0" w:line="3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32"/>
        </w:trPr>
        <w:tc>
          <w:tcPr>
            <w:tcW w:w="5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5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LUNR</w:t>
            </w:r>
          </w:p>
        </w:tc>
        <w:tc>
          <w:tcPr>
            <w:tcW w:w="100" w:type="dxa"/>
            <w:vAlign w:val="bottom"/>
            <w:tcBorders>
              <w:top w:val="single" w:sz="8" w:color="CCEEFF"/>
            </w:tcBorders>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5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19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1.01 </w:t>
      </w:r>
      <w:r>
        <w:rPr>
          <w:rFonts w:ascii="Times New Roman" w:cs="Times New Roman" w:eastAsia="Times New Roman" w:hAnsi="Times New Roman"/>
          <w:sz w:val="18"/>
          <w:szCs w:val="18"/>
          <w:b w:val="1"/>
          <w:bCs w:val="1"/>
          <w:color w:val="111111"/>
        </w:rPr>
        <w:t>Entry into a Material Definitive Agreement.</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111111"/>
        </w:rPr>
        <w:t>On May 14, 2026, Intuitive Machines, LLC (“Buyer”), a wholly owned subsidiary of Intuitive Machines, Inc. (the “Company”), entered into a Share Purchase Agreement (the “SPA”) with Goonhilly Holdings Limited (“Seller”), pursuant to which Buyer agreed to acquire all of the issued and outstanding shares of Goonhilly Earth Station Limited (“Goonhilly Earth Station”), a ground station and satellite communications company incorporated in England and Wales (the “UK Acquisition”). The Company is a party to the SPA solely with respect to certain obligations relating to the issuance, transfer, lock-up and registration of shares of its Class A common stock, par value $0.0001 per share (“Class A Common Stock”), and related securities-law matters.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111111"/>
        </w:rPr>
        <w:t>The SPA is part of the contemplated acquisition of the Goonhilly group’s UK and U.S. operations. The SPA governs the UK Acquisition and also requires Seller to procure Goonhilly Holdings USA Inc. (“GHUI”) to enter into a separate Membership Interest Purchase Agreement (the “MIPA” or “U.S. Agreement”) with Buyer for the acquisition of Goonhilly Inc. (the “U.S. Target”), which is to be converted into a Delaware limited liability company (“Goonhilly LLC”). The U.S. Agreement is a Transaction Document under the SPA, and certain SPA conditions relate to the U.S. operations, including FCC approval, completion of the U.S. reorganization and specified U.S. property, tax, employee-benefit and environmental matters. The MIPA has not been executed as of the date of this Current Report on Form 8-K (this “Current Report”).</w:t>
      </w:r>
    </w:p>
    <w:p>
      <w:pPr>
        <w:spacing w:after="0" w:line="21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111111"/>
        </w:rPr>
        <w:t>The aggregate consideration for the UK Acquisition (the “UK Consideration”)is £37,000,000, split equally between stock and cash. The stock portion consists of: 960,649 shares of Class A Common Stock (the “Consideration Shares”) using the volume weighted average price of the Common Stock for the twenty consecutive trading day period ending May 8, 2026, to be issued by the Company to Buyer in exchange for units of Buyer and immediately transferred by Buyer to Seller at Completion in an offshore transaction to a non-U.S. person pursuant to Regulation S under the Securities Act of 1933, as amended; In addition, the cash consideration includes a cash escrow deposit of £</w:t>
      </w:r>
      <w:r>
        <w:rPr>
          <w:rFonts w:ascii="Times New Roman" w:cs="Times New Roman" w:eastAsia="Times New Roman" w:hAnsi="Times New Roman"/>
          <w:sz w:val="18"/>
          <w:szCs w:val="18"/>
          <w:color w:val="000000"/>
        </w:rPr>
        <w:t>592,621.50</w:t>
      </w:r>
      <w:r>
        <w:rPr>
          <w:rFonts w:ascii="Times New Roman" w:cs="Times New Roman" w:eastAsia="Times New Roman" w:hAnsi="Times New Roman"/>
          <w:sz w:val="18"/>
          <w:szCs w:val="18"/>
          <w:color w:val="111111"/>
        </w:rPr>
        <w:t xml:space="preserve"> (the “Escrow Amount”). The UK Consideration is subject to post-closing adjustment for working capital, cash, debt, intracompany debt and, to the extent applicable, business-interruption insurance proceeds.</w:t>
      </w:r>
    </w:p>
    <w:p>
      <w:pPr>
        <w:spacing w:after="0" w:line="21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111111"/>
        </w:rPr>
        <w:t>Completion of the UK Acquisition (“Completion”) is subject to satisfaction or waiver of conditions including: (i) clearance under the UK National Security and Investment Act 2021; (ii) FCC approval of Buyer’s acquisition of the U.S. Target; (iii) completion of the U.S. reorganization, including transfer of the U.S. properties to Goonhilly LLC, conversion of Goonhilly Inc. into Goonhilly LLC and filing by Goonhilly Earth Station of an IRS Form 8832 electing disregarded-entity treatment for U.S. federal income tax purposes; (iv) receipt of satisfactory title, survey and zoning reports for the U.S. properties; (v) termination of the U.S. Target’s participation in its professional employer organization’s 401(k) plan; and (vi) completion of specified environmental, health and safety corrective actions at the U.S. properties. The conditions must be satisfied or waived by the date falling six months after the date of the SPA, unless extended by written agreement. Completion will occur on the first applicable quarter date or month-end date following satisfaction or waiver of all conditions, as specified in the SPA. The SPA contains customary Seller representations and warranties regarding the target companies, including organization, capitalization, financial statements, material contracts, intellectual property, real property, tax, environmental, employee-benefit and compliance matters. Buyer gives limited warranties regarding its authority, due authorization, no conflict, solvency and funding, and the authorization and valid issuance of the Consideration Shares. Buyer has obtained a warranty and indemnity insurance policy. Subject to the SPA, Seller’s liability for non-excluded warranty claims and tax claims is capped at £1.00, with Buyer’s sole recourse above that amount being under the warranty and indemnity insurance policy. Seller’s aggregate liability for excluded claims, indemnity claims and other claims is capped at the aggregate of the UK Consideration and the consideration payable under the U.S. Agreement, except that the SPA provides that the Schedule 6 limitations do not apply to Carved-Out Securities Matters. Seller has agreed to specific indemnities for losses arising out of: (i) defects in implementation of the U.S. reorganization, other than the LLC conversion itself; (ii) the employment claim brought by Ian Martin Jones against Goonhilly Earth Station and related claims arising from the same circumstances (the “CEO Claim”); (iii) specified UK holiday-pay claims made or threatened within six months after Completion in respect of pre-Completion entitlements; and (iv) environmental claims relating to pre-Completion remediation activities at the UK property. The SPA includes customary pre-completion operating covenants restricting the target companies from acting outside the ordinary course or taking specified actions without Buyer consent. Seller is required to use reasonable endeavors to seek change-of-control consents from specified governmental and commercial counterparties. Receipt of those consents is not a separate closing condition, but a written indication by a specified counterparty of non-consent, or an intention to terminate or materially vary contractual arrangements with a target company, gives Buyer a termination right. Buyer may terminate the SPA before Completion upon specified events, including a breach of any Fundamental Warranty, a Material Adverse Change, Seller’s material breach of its pre-completion operating covenants, materially adverse information in the U.S. property reports or a specified counterparty’s written non-consent or intent to terminate or materially vary contractual arrangements. For this purpose, a Material Adverse Change generally requires an adverse impact exceeding £5.0 million, subject to specified carve-outs, and materiality for Seller’s covenant breach and the U.S. property-report termination right is generally measured by a £2.5 million threshold. Either Buyer or Seller may also terminate following a failure by the other party to complete after Completion has been deferred at least once in accordance with the SPA. At Completion, the Escrow Amount will be deposited into an interest-bearing escrow account at PNC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577215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both"/>
        <w:spacing w:after="0" w:line="236" w:lineRule="auto"/>
        <w:rPr>
          <w:sz w:val="20"/>
          <w:szCs w:val="20"/>
          <w:color w:val="auto"/>
        </w:rPr>
      </w:pPr>
      <w:r>
        <w:rPr>
          <w:rFonts w:ascii="Times New Roman" w:cs="Times New Roman" w:eastAsia="Times New Roman" w:hAnsi="Times New Roman"/>
          <w:sz w:val="18"/>
          <w:szCs w:val="18"/>
          <w:color w:val="111111"/>
        </w:rPr>
        <w:t>Bank, National Association. The Escrow Amount may be applied to satisfy excluded claims, indemnity claims and certain unpaid post-closing adjustment obligations of Seller, and amounts may be retained for unresolved claims. Subject to those claims and obligations, the remaining Escrow Amount will be released to Seller on the later of nine months after Completion and final resolution of the CEO Claim. The Consideration Shares are subject to a six-month lock-up beginning on the Completion Date, during which Seller may not transfer, pledge, hedge or otherwise dispose of the Consideration Shares without the Company’s prior written consent. The SPA requires the Company to file, or amend an existing shelf registration statement to cover, the resale of registrable Consideration Shares as soon as practicable after the date of the SPA and to use commercially reasonable efforts to cause the registration statement to become effective no later than six months after Completion. The Company’s registration obligations are limited to a resale shelf and do not include any underwritten offering, bought deal, block trade, roadshow, comfort letter or similar sale-facilitation support. Any distribution of Consideration Shares by Seller to its stockholders is subject to specified documentation, securities-law and tax conditions. The SPA is governed by the laws of England and Wales. The foregoing description does not purport to be complete and is qualified in its entirety by the full text of the SPA, which will be filed as an exhibit to a subsequent filing, which may include a periodic report or amendment to this Current Report.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14, 2026, the Company issued a press release announcing its financial results for the fiscal quarter ended March 31, 2026. The full text of the Company's press release is furnished herewith as Exhibit 99.1 to this Current Report and is incorporated herein by reference.</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furnished in this Current Report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14, 2026, the Company issued a press release announcing the entry into the SPA and the contemplated Goonhilly acquisition. A copy of the press release is attached hereto as Exhibit 99.2 to this Current Report and is incorporated herein by reference.</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furnished in this Current Report pursuant to this Item 7.01 (including Exhibit 99.2) shall not be deemed “filed” for purposes of Section 18 of the Exchange Act, or otherwise subject to the liabilities of that Section, nor shall it be deemed to be incorporated by reference into any filing of the Company under the Securities Act or the Exchange Act, except as expressly set forth by specific reference in such filing.</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45"/>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58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540" w:type="dxa"/>
            <w:vAlign w:val="bottom"/>
            <w:tcBorders>
              <w:top w:val="single" w:sz="8" w:color="auto"/>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Intuitive Machines Reports First Quarter 2026 Financial Results; Posts Record Quarterly Revenue, Gross Margin, and Positive</w:t>
            </w:r>
          </w:p>
        </w:tc>
      </w:tr>
      <w:tr>
        <w:trPr>
          <w:trHeight w:val="155"/>
        </w:trPr>
        <w:tc>
          <w:tcPr>
            <w:tcW w:w="15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120" w:type="dxa"/>
            <w:vAlign w:val="bottom"/>
            <w:tcBorders>
              <w:top w:val="single" w:sz="8" w:color="0000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Adjusted EBITDA along with Record Quarter-end Backlog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1.1 Billion</w:t>
            </w:r>
          </w:p>
        </w:tc>
        <w:tc>
          <w:tcPr>
            <w:tcW w:w="420" w:type="dxa"/>
            <w:vAlign w:val="bottom"/>
            <w:tcBorders>
              <w:top w:val="single" w:sz="8" w:color="CCEEFF"/>
            </w:tcBorders>
            <w:shd w:val="clear" w:color="auto" w:fill="CCEEFF"/>
          </w:tcPr>
          <w:p>
            <w:pPr>
              <w:spacing w:after="0"/>
              <w:rPr>
                <w:sz w:val="13"/>
                <w:szCs w:val="13"/>
                <w:color w:val="auto"/>
              </w:rPr>
            </w:pPr>
          </w:p>
        </w:tc>
      </w:tr>
      <w:tr>
        <w:trPr>
          <w:trHeight w:val="34"/>
        </w:trPr>
        <w:tc>
          <w:tcPr>
            <w:tcW w:w="1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3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15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Intuitive Machines to Acquire Earth Station and COMSAT, dated May 14, 2026</w:t>
            </w:r>
          </w:p>
        </w:tc>
      </w:tr>
      <w:tr>
        <w:trPr>
          <w:trHeight w:val="20"/>
        </w:trPr>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06"/>
        </w:trPr>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20"/>
        <w:spacing w:after="0"/>
        <w:tabs>
          <w:tab w:leader="none" w:pos="644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7"/>
          <w:szCs w:val="17"/>
          <w:b w:val="1"/>
          <w:bCs w:val="1"/>
          <w:color w:val="auto"/>
        </w:rPr>
        <w:t>INTUITIVE MACHINES, INC.</w:t>
      </w:r>
    </w:p>
    <w:p>
      <w:pPr>
        <w:spacing w:after="0" w:line="189" w:lineRule="exact"/>
        <w:rPr>
          <w:sz w:val="20"/>
          <w:szCs w:val="20"/>
          <w:color w:val="auto"/>
        </w:rPr>
      </w:pPr>
    </w:p>
    <w:p>
      <w:pPr>
        <w:ind w:left="6460"/>
        <w:spacing w:after="0"/>
        <w:tabs>
          <w:tab w:leader="none" w:pos="7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17145</wp:posOffset>
            </wp:positionV>
            <wp:extent cx="2682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Name: Peter McGrath</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Title: Chief Financial Officer and Senior Vice President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03"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50"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Intuitive Machines Reports First Quarter 2026 Financial Results; Posts Record Quarterly Revenue, Gross Margin, and Positive Adjusted EBITDA along with Record Quarter-end Backlog of $1.1 Billion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Houston, TX, May 14, 2026 </w:t>
      </w:r>
      <w:r>
        <w:rPr>
          <w:rFonts w:ascii="Times New Roman" w:cs="Times New Roman" w:eastAsia="Times New Roman" w:hAnsi="Times New Roman"/>
          <w:sz w:val="18"/>
          <w:szCs w:val="18"/>
          <w:color w:val="auto"/>
        </w:rPr>
        <w:t>-- Intuitive Machines, Inc. (Nasdaq: LUNR, “Intuitive Machines,” or the “Company”), 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leading space technology and infrastructure services company, today announced its financial results for the first quarter ended March 31, 2026.</w:t>
      </w:r>
    </w:p>
    <w:p>
      <w:pPr>
        <w:spacing w:after="0" w:line="21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Intuitive Machines CEO Steve Altemus said, “Intuitive Machines continues to execute, grow, and win new business at record pace. Our acquisition of Lanteris has been immediately accretive with the combined entity already creating value.”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7" w:lineRule="exact"/>
        <w:rPr>
          <w:sz w:val="20"/>
          <w:szCs w:val="20"/>
          <w:color w:val="auto"/>
        </w:rPr>
      </w:pPr>
    </w:p>
    <w:p>
      <w:pPr>
        <w:ind w:left="660" w:right="780" w:hanging="328"/>
        <w:spacing w:after="0" w:line="253"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Closed $800 million acquisition of Lanteris Space Systems to become a vertically integrated next-generation space prime contractor for commercial, civil and national security space initiatives</w:t>
      </w:r>
    </w:p>
    <w:p>
      <w:pPr>
        <w:spacing w:after="0" w:line="145" w:lineRule="exact"/>
        <w:rPr>
          <w:rFonts w:ascii="Times New Roman" w:cs="Times New Roman" w:eastAsia="Times New Roman" w:hAnsi="Times New Roman"/>
          <w:sz w:val="18"/>
          <w:szCs w:val="18"/>
          <w:i w:val="1"/>
          <w:iCs w:val="1"/>
          <w:color w:val="auto"/>
        </w:rPr>
      </w:pPr>
    </w:p>
    <w:p>
      <w:pPr>
        <w:jc w:val="both"/>
        <w:ind w:left="660" w:right="340" w:hanging="328"/>
        <w:spacing w:after="0" w:line="222" w:lineRule="exact"/>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Signed definitive agreement in Q2 to acquire Goonhilly Earth Station and its COMSAT subsidiary to a create a space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to</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ground data services network configured to support missions across LEO, MEO, GEO, cislunar, and deep space environments for communications, navigation, and data processing</w:t>
      </w:r>
    </w:p>
    <w:p>
      <w:pPr>
        <w:spacing w:after="0" w:line="197" w:lineRule="exact"/>
        <w:rPr>
          <w:rFonts w:ascii="Times New Roman" w:cs="Times New Roman" w:eastAsia="Times New Roman" w:hAnsi="Times New Roman"/>
          <w:sz w:val="18"/>
          <w:szCs w:val="18"/>
          <w:i w:val="1"/>
          <w:iCs w:val="1"/>
          <w:color w:val="auto"/>
        </w:rPr>
      </w:pPr>
    </w:p>
    <w:p>
      <w:pPr>
        <w:ind w:left="660" w:right="260" w:hanging="328"/>
        <w:spacing w:after="0" w:line="243"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Awarded $428.9 million in new contracts driven primarily by Space Development Agency Proliferated Warfighter Space Architecture tranche 3 tracking layer and $180.4 million CLPS contract from NASA; this marks Intuitive Machines’ fifth CLPS task order, the most among all CLPS vendors and the first to require our larger cargo class (Nova-D) lunar lander</w:t>
      </w:r>
    </w:p>
    <w:p>
      <w:pPr>
        <w:spacing w:after="0" w:line="194" w:lineRule="exact"/>
        <w:rPr>
          <w:rFonts w:ascii="Times New Roman" w:cs="Times New Roman" w:eastAsia="Times New Roman" w:hAnsi="Times New Roman"/>
          <w:sz w:val="18"/>
          <w:szCs w:val="18"/>
          <w:i w:val="1"/>
          <w:iCs w:val="1"/>
          <w:color w:val="auto"/>
        </w:rPr>
      </w:pPr>
    </w:p>
    <w:p>
      <w:pPr>
        <w:ind w:left="660" w:right="80" w:hanging="328"/>
        <w:spacing w:after="0" w:line="243"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Contracted with U.S. Space Force in Q2 as a part of the Andromeda IDIQ contract with an anticipated ceiling value of $6.2 billion to expand space domain awareness capabilities through a constellation of maneuverable satellites designed to observe and track activity in geosynchronous orbit; the first revenue synergy award to combine Intuitive Machines and Lanteris capabilities</w:t>
      </w:r>
    </w:p>
    <w:p>
      <w:pPr>
        <w:spacing w:after="0" w:line="194" w:lineRule="exact"/>
        <w:rPr>
          <w:rFonts w:ascii="Times New Roman" w:cs="Times New Roman" w:eastAsia="Times New Roman" w:hAnsi="Times New Roman"/>
          <w:sz w:val="18"/>
          <w:szCs w:val="18"/>
          <w:i w:val="1"/>
          <w:iCs w:val="1"/>
          <w:color w:val="auto"/>
        </w:rPr>
      </w:pPr>
    </w:p>
    <w:p>
      <w:pPr>
        <w:ind w:left="660" w:right="300" w:hanging="328"/>
        <w:spacing w:after="0" w:line="226" w:lineRule="exact"/>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Submitted proposals for CLPS and LTV in support of NASA’s Ignition initiative priorities; awaiting award decisions in the coming weeks while additional proposals are underway for CLPS 2.0, Space Reactor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1 Freedom, and other Moon base infrastructure initiatives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41" w:lineRule="exact"/>
        <w:rPr>
          <w:sz w:val="20"/>
          <w:szCs w:val="20"/>
          <w:color w:val="auto"/>
        </w:rPr>
      </w:pPr>
    </w:p>
    <w:p>
      <w:pPr>
        <w:ind w:left="660" w:right="200" w:hanging="328"/>
        <w:spacing w:after="0" w:line="251"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Achieved record quarterly revenue of $186.7 million, nearly 3x of prior year driven by the Lanteris acquisition along with continued CLPS, OMES, and NSNS execution; Lanteris acquisition closed on January 13, 2026; reported Q1 revenue does not include 12 days of Lanteris, which was approximately $13 million</w:t>
      </w:r>
    </w:p>
    <w:p>
      <w:pPr>
        <w:spacing w:after="0" w:line="20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Reported record profitability with $2.7 million positive Adjusted EBITDA</w:t>
      </w:r>
    </w:p>
    <w:p>
      <w:pPr>
        <w:spacing w:after="0" w:line="225" w:lineRule="exact"/>
        <w:rPr>
          <w:rFonts w:ascii="Times New Roman" w:cs="Times New Roman" w:eastAsia="Times New Roman" w:hAnsi="Times New Roman"/>
          <w:sz w:val="18"/>
          <w:szCs w:val="18"/>
          <w:i w:val="1"/>
          <w:iCs w:val="1"/>
          <w:color w:val="auto"/>
        </w:rPr>
      </w:pPr>
    </w:p>
    <w:p>
      <w:pPr>
        <w:ind w:left="660" w:right="140" w:hanging="328"/>
        <w:spacing w:after="0" w:line="268"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Ended Q1 with record backlog of $1.1 billion, an $842 million increase from year-end 2025 driven primarily by the acquisition of Lanteris along with Intuitive Machines’ fifth CLPS task order</w:t>
      </w:r>
    </w:p>
    <w:p>
      <w:pPr>
        <w:spacing w:after="0" w:line="200" w:lineRule="exact"/>
        <w:rPr>
          <w:sz w:val="20"/>
          <w:szCs w:val="20"/>
          <w:color w:val="auto"/>
        </w:rPr>
      </w:pPr>
    </w:p>
    <w:p>
      <w:pPr>
        <w:spacing w:after="0" w:line="23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Mr. Altemus continued, “The next phase of the space economy will not be defined only by who reaches new destinations. It will be defined by who can build the infrastructure, connect it reliably, and operate it at scale. That is what Intuitive Machines is building.”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Full-year 2026 revenue of $900 million - $1 billion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Full-year 2026 Adjusted EBITDA positive</w:t>
      </w:r>
    </w:p>
    <w:p>
      <w:pPr>
        <w:sectPr>
          <w:pgSz w:w="11900" w:h="16838" w:orient="portrait"/>
          <w:cols w:equalWidth="0" w:num="1">
            <w:col w:w="11240"/>
          </w:cols>
          <w:pgMar w:left="320" w:top="106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 xml:space="preserve">Intuitive Machines will host a conference call today, May 14, 2026, at 8:30 am Eastern Time to discuss these results. A link to the live webcast of the earnings conference call will be made available on the investors portion of the Intuitive Machines’ website at </w:t>
      </w:r>
      <w:r>
        <w:rPr>
          <w:rFonts w:ascii="Times New Roman" w:cs="Times New Roman" w:eastAsia="Times New Roman" w:hAnsi="Times New Roman"/>
          <w:sz w:val="18"/>
          <w:szCs w:val="18"/>
          <w:color w:val="0000FF"/>
        </w:rPr>
        <w:t>https://investors.intuitivemachines.com.</w:t>
      </w:r>
    </w:p>
    <w:p>
      <w:pPr>
        <w:spacing w:after="0" w:line="176"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color w:val="auto"/>
        </w:rPr>
        <w:t xml:space="preserve">Following the conference call, a webcast replay will be available through the same link on the investors portion of the Intuitive Machines’ website at </w:t>
      </w:r>
      <w:r>
        <w:rPr>
          <w:rFonts w:ascii="Times New Roman" w:cs="Times New Roman" w:eastAsia="Times New Roman" w:hAnsi="Times New Roman"/>
          <w:sz w:val="18"/>
          <w:szCs w:val="18"/>
          <w:color w:val="0000FF"/>
        </w:rPr>
        <w:t>https://investors.intuitivemachines.com</w:t>
      </w:r>
      <w:r>
        <w:rPr>
          <w:rFonts w:ascii="Times New Roman" w:cs="Times New Roman" w:eastAsia="Times New Roman" w:hAnsi="Times New Roman"/>
          <w:sz w:val="18"/>
          <w:szCs w:val="18"/>
          <w:color w:val="000000"/>
        </w:rPr>
        <w:t>.</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 and Non-GAAP Financial Measures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the GAAP financial measures set forth in this press release, the Company has included certain financial measures that have not been prepared in accordance with generally accepted accounting principles (“GAAP”) and constitute “non-GAAP financial measures” as defined by the SEC. This includes adjusted EBITDA (“Adjusted EBITDA”).</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Adjusted EBITDA is a key performance measure that our management team uses to assess the Company’s operating performance and is calculated as net income (loss) excluding results from non-operating sources including interest income, interest expense, transaction and integration costs related to acquisitions, gain on extinguishing of debt, share-based compensation, change in fair value instruments, gain or loss on issuance of securities, other income/expense, depreciation, impairment of property and equipment, and provision for income taxes. Intuitive Machines has included Adjusted EBITDA because we believe it is helpful in highlighting trends in the Company’s operating results and because it is frequently used by analysts, investors, and other interested parties to evaluate companies in our industry.</w:t>
      </w:r>
    </w:p>
    <w:p>
      <w:pPr>
        <w:spacing w:after="0" w:line="21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Adjusted EBITDA has limitations as an analytical measure, and investors should not consider it in isolation or as a substitute for analysis of the Company’s results as reported under GAAP. Other companies, including companies in Intuitive Machines’ industry, may calculate Adjusted EBITDA differently, which reduces its usefulness as a comparative measure. Because of these limitations, you should consider Adjusted EBITDA alongside other financial</w:t>
      </w:r>
    </w:p>
    <w:p>
      <w:pPr>
        <w:spacing w:after="0" w:line="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performance measures, including various cash flow metrics, net income (loss) and our other GAAP results. A reconciliation of Adjusted EBITDA to the most directly comparable GAAP financial measure is included below under the heading “Reconciliation of GAAP to Non-GAAP Financial Measure.”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 Free Cash Flow has limitations as a liquidity measure, and you should not consider it in isolation or as a substitute for analysis of our cash flows as reported under GAAP. Some of these limitations are: Free Cash Flow is not a measure calculated in accordance with GAAP and should not be considered in isolation from, or as a substitute for financial information prepared in accordance with GAAP; Free Cash Flow may not be comparable to similarly titled metrics of other companies due to differences among methods of calculation; and Free Cash Flow may be affected in the near to medium term by the</w:t>
      </w:r>
    </w:p>
    <w:p>
      <w:pPr>
        <w:spacing w:after="0" w:line="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timing of capital investments, fluctuations in our growth and the effect of such fluctuations on working capital and changes in our cash conversion cycle. A reconciliation of Free Cash Flow to the most directly comparable GAAP financial measure is included below under the heading “Reconciliation of GAAP to Non-GAAP Financial Measure.”</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has also included contracted backlog, which is defined as the total estimate of the revenue the Company expects to realize in the future as a result of performing work on awarded contracts, less the amount of revenue the Company has previously recognized. Intuitive Machines monitors its backlog because we believe it is a forward-looking indicator of potential sales which can be helpful to investors in evaluating the performance of its business and identifying trends over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91818"/>
        </w:rPr>
        <w:t>About Intuitive Machines</w:t>
      </w:r>
    </w:p>
    <w:p>
      <w:pPr>
        <w:spacing w:after="0" w:line="256" w:lineRule="exact"/>
        <w:rPr>
          <w:sz w:val="20"/>
          <w:szCs w:val="20"/>
          <w:color w:val="auto"/>
        </w:rPr>
      </w:pPr>
    </w:p>
    <w:p>
      <w:pPr>
        <w:ind w:right="2320"/>
        <w:spacing w:after="0" w:line="255" w:lineRule="auto"/>
        <w:rPr>
          <w:sz w:val="20"/>
          <w:szCs w:val="20"/>
          <w:color w:val="auto"/>
        </w:rPr>
      </w:pPr>
      <w:r>
        <w:rPr>
          <w:rFonts w:ascii="Times New Roman" w:cs="Times New Roman" w:eastAsia="Times New Roman" w:hAnsi="Times New Roman"/>
          <w:sz w:val="18"/>
          <w:szCs w:val="18"/>
          <w:color w:val="auto"/>
        </w:rPr>
        <w:t>Intuitive Machines is a diversified space technology, infrastructure, and services company focused on fundamentally disrupting lunar access economics. In 2024, Intuitive Machines successfully soft-landed the Company’s Nova-C class lunar lander, on the Moon, returning the United States to the lunar surface for the first time since 1972. In 2025, Intuitive Machines returned to the lunar south pole with a second lander. The Company’s products and services are focused through</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 xml:space="preserve">three pillars of space commercialization: Delivery Services, Data Transmission Services, and Infrastructure as a Service. For more information, </w:t>
      </w:r>
      <w:r>
        <w:rPr>
          <w:rFonts w:ascii="Times New Roman" w:cs="Times New Roman" w:eastAsia="Times New Roman" w:hAnsi="Times New Roman"/>
          <w:sz w:val="18"/>
          <w:szCs w:val="18"/>
          <w:color w:val="191818"/>
        </w:rPr>
        <w:t>please visit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intuitivemachines.com</w:t>
      </w:r>
      <w:r>
        <w:rPr>
          <w:rFonts w:ascii="Times New Roman" w:cs="Times New Roman" w:eastAsia="Times New Roman" w:hAnsi="Times New Roman"/>
          <w:sz w:val="18"/>
          <w:szCs w:val="18"/>
          <w:color w:val="191818"/>
        </w:rPr>
        <w:t>.</w:t>
      </w:r>
    </w:p>
    <w:p>
      <w:pPr>
        <w:sectPr>
          <w:pgSz w:w="11900" w:h="16838" w:orient="portrait"/>
          <w:cols w:equalWidth="0" w:num="1">
            <w:col w:w="11220"/>
          </w:cols>
          <w:pgMar w:left="320" w:top="846"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191818"/>
        </w:rPr>
        <w:t>Forward-Looking Statements</w:t>
      </w:r>
    </w:p>
    <w:p>
      <w:pPr>
        <w:spacing w:after="0" w:line="243"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as amended. These statements that do not relate to matters of historical fact should be considered forward looking. These forward-looking statements generally are identified by the words such as “anticipate,” “believe,” “continue,” “could,” “estimate,” “expect,” “intend,” “may,” “might,” “plan,” “possible,” “potential,” “predict,” “project,” “should,” “strive,” “would,” “strategy,” “outlook,” the negative of these words or other similar expressions, but the absence of these words does not mean that a statement is not forward-looking. These forward-looking statements include but are not limited to statements regarding: our expectations and plans related to any proposed business combination; our expectations and plans relating to our missions to the Moon, including the expected timing of launch and our progress in preparation thereof; our expectations with respect to, among other things, demand for our product portfolio, our submission of bids for contracts; our expectations regarding revenue for government contracts awarded to us; our expectations regarding changes to government contracts or programs; our operations, our financial performance and our industry; our business strategy, business plan, and plans to drive long-term sustainable shareholder value; information under “Outlook,” or “Guidance” including, our expectations on revenue generation, backlog and cash. These forward-looking statements reflect the Company’s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 looking statements. The following important factors and uncertainties, among others, could cause actual outcomes or results to differ materially from those indicated by the forward-looking statements in this presentation: our reliance upon the efforts of our Board and key personnel to be successful; our limited operating history; our failure to manage our growth effectively; competition from existing or new companies; unsatisfactory safety performance of our spaceflight systems or security incidents at our facilities; cyber incidents; failure of the market for commercial spaceflight to achieve the growth potential we expect; any delayed launches, launch failures, failure of our satellites or lunar landers to reach their planned orbital locations, significant increases in the costs related to launches of satellites and lunar landers, and insufficient capacity available from satellite and lunar lander launch providers; our customer concentration; risks associated with commercial spaceflight, including any accident on launch or during the journey into space; risks associated with the handling, production and disposition of potentially explosive and ignitable energetic materials and other dangerous chemicals in our operations; our reliance on a limited number of suppliers for certain materials and supplied components; failure of our products to operate in the expected manner or defects in our products; counterparty risks on contracts entered into with our customers and failure of our prime contractors to maintain their relationships with their counterparties and fulfill their contractual obligations; failure to successfully defend protest from other bidders for government contracts; failure to comply with various laws and regulations relating to various aspects of our business and any changes in the funding levels of various governmental entities with which we do business; our failure to protect the confidentiality of our trade secrets and know how; our failure to comply with the terms of third-party open source software our systems utilize; our ability to maintain an effective system of internal control over financial reporting, and to address and remediate material weaknesses in our internal control over financial reporting; the U.S. government’s budget deficit and the national debt, as well as any inability of the U.S. government to complete its budget process for any government fiscal year, and our dependence on U.S. government contracts and funding by the government for the government contracts; our failure to comply with U.S. export and import control laws and regulations and U.S. economic sanctions and trade control laws and regulations; uncertain global macro-economic and political conditions and rising inflation; our history of losses and failure to achieve profitability and our need for substantial additional capital to fund our operations; the fact that our financial results may fluctuate significantly from quarter to quarter; our holding company status; the risk that our business and operations could be significantly affected if it becomes subject to any litigation, including securities litigation or stockholder activism; our public securities’ potential liquidity and trading; and other public filings and press releases other factors detailed under the section titled Part I, Item 1A. Risk Factors of our Annual Report on Form 10-K for the fiscal year ended December 31, 2025 filed with the Securities and Exchange Commission (the “SEC”), the section titled Part I, Item 2, Management’s Discussion and Analysis of Financial Condition and Results of Operations and the section titled Part II. Item 1A. “Risk Factors” in our most recently filed Quarterly Report on Form 10-Q, and in our subsequent filings with the SEC, which are accessible on the SEC's website at www.sec.gov.</w:t>
      </w:r>
    </w:p>
    <w:p>
      <w:pPr>
        <w:spacing w:after="0" w:line="210" w:lineRule="exact"/>
        <w:rPr>
          <w:sz w:val="20"/>
          <w:szCs w:val="20"/>
          <w:color w:val="auto"/>
        </w:rPr>
      </w:pPr>
    </w:p>
    <w:p>
      <w:pPr>
        <w:ind w:right="640"/>
        <w:spacing w:after="0" w:line="235"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presentation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91818"/>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91818"/>
        </w:rPr>
        <w:t>For investor inquiries: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investors@intuitivemachines.com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91818"/>
        </w:rPr>
        <w:t>For media inquiries: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press@intuitivemachines.com</w:t>
      </w:r>
    </w:p>
    <w:p>
      <w:pPr>
        <w:sectPr>
          <w:pgSz w:w="11900" w:h="16838" w:orient="portrait"/>
          <w:cols w:equalWidth="0" w:num="1">
            <w:col w:w="11240"/>
          </w:cols>
          <w:pgMar w:left="320" w:top="8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36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582,606</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to suppliers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618,814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Orbital receivables, non-current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1,717,947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757,154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MEZZANINE EQUITY AND SHAREHOLDERS’ DEFICIT</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affiliated companies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57,368</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33,028</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124,832</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335,335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60,394</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553,452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stock subject to possible redemption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951,536</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C common stock</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(300,794)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(721,457)</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shareholders’ deficit attributable to the Company</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(754,964)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(754,447)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757,154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81" w:right="33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revenue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62,524</w:t>
            </w:r>
          </w:p>
        </w:tc>
      </w:tr>
      <w:tr>
        <w:trPr>
          <w:trHeight w:val="22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Grant revenue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revenue (excluding depreciation and amortization)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48,925</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grant revenue (excluding depreciation and amortization)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 - affiliated companies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 (excluding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(33,369)</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43,002</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redeemable noncontrolling interest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11,909</w:t>
            </w:r>
          </w:p>
        </w:tc>
      </w:tr>
      <w:tr>
        <w:trPr>
          <w:trHeight w:val="22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the Company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w:t>
            </w:r>
          </w:p>
        </w:tc>
      </w:tr>
      <w:tr>
        <w:trPr>
          <w:trHeight w:val="22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Preferred dividends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Class A common shareholders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common stock - basic and diluted</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147,878,006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107,081,918</w:t>
            </w:r>
          </w:p>
        </w:tc>
      </w:tr>
    </w:tbl>
    <w:p>
      <w:pPr>
        <w:sectPr>
          <w:pgSz w:w="11900" w:h="16838" w:orient="portrait"/>
          <w:cols w:equalWidth="0" w:num="1">
            <w:col w:w="11240"/>
          </w:cols>
          <w:pgMar w:left="320" w:top="114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4"/>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(52,528)</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18"/>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Bad debt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 value of earn-out liabilities</w:t>
            </w: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33,369</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(43,002)</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 value of contingent consideration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15,418</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13,077</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Orbital receivables,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 affiliated companies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Contract liabilities – current and long-term</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(8,626)</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Securitization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Pension and other postretirement benefits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r>
      <w:tr>
        <w:trPr>
          <w:trHeight w:val="207"/>
        </w:trPr>
        <w:tc>
          <w:tcPr>
            <w:tcW w:w="79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(54,768)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19,419</w:t>
            </w:r>
          </w:p>
        </w:tc>
      </w:tr>
      <w:tr>
        <w:trPr>
          <w:trHeight w:val="19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(6,122)</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(444,779)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9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(454,655)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(6,122)</w:t>
            </w:r>
          </w:p>
        </w:tc>
      </w:tr>
      <w:tr>
        <w:trPr>
          <w:trHeight w:val="19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Warrants exercised</w:t>
            </w: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176,620</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Redemption of warrants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Transaction costs related to the issuance of securities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 of Class A Common Stock</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(20,700)</w:t>
            </w: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securities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of withholding taxes from share-based awards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w:t>
            </w:r>
          </w:p>
        </w:tc>
      </w:tr>
      <w:tr>
        <w:trPr>
          <w:trHeight w:val="207"/>
        </w:trPr>
        <w:tc>
          <w:tcPr>
            <w:tcW w:w="79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167,449</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152,349</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(341,974)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165,646</w:t>
            </w:r>
          </w:p>
        </w:tc>
      </w:tr>
      <w:tr>
        <w:trPr>
          <w:trHeight w:val="21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585,339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209,649</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the period</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243,365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375,295</w:t>
            </w:r>
          </w:p>
        </w:tc>
      </w:tr>
      <w:tr>
        <w:trPr>
          <w:trHeight w:val="207"/>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restricted cash</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w:t>
            </w: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the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231,624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373,253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the most directly comparable financial measure presented in accordance with GAAP, to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1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29"/>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Transaction and integration costs related to acquisitions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33,369</w:t>
            </w:r>
          </w:p>
        </w:tc>
        <w:tc>
          <w:tcPr>
            <w:tcW w:w="0" w:type="dxa"/>
            <w:vAlign w:val="bottom"/>
          </w:tcPr>
          <w:p>
            <w:pPr>
              <w:spacing w:after="0"/>
              <w:rPr>
                <w:sz w:val="1"/>
                <w:szCs w:val="1"/>
                <w:color w:val="auto"/>
              </w:rPr>
            </w:pPr>
          </w:p>
        </w:tc>
      </w:tr>
      <w:tr>
        <w:trPr>
          <w:trHeight w:val="230"/>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has limitations as a liquidity measure, and you should not consider it in isolation or as a substitute for analysis of our cash flows as reported under GAAP. Some of these limitations are:</w:t>
      </w:r>
    </w:p>
    <w:p>
      <w:pPr>
        <w:spacing w:after="0" w:line="94" w:lineRule="exact"/>
        <w:rPr>
          <w:sz w:val="20"/>
          <w:szCs w:val="20"/>
          <w:color w:val="auto"/>
        </w:rPr>
      </w:pPr>
    </w:p>
    <w:p>
      <w:pPr>
        <w:ind w:left="820" w:hanging="407"/>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not a measure calculated in accordance with GAAP and should not be considered in isolation from, or as a substitute for financial information prepared in accordance with GAAP.</w:t>
      </w:r>
    </w:p>
    <w:p>
      <w:pPr>
        <w:spacing w:after="0" w:line="94"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may not be comparable to similarly titled metrics of other companies due to differences among methods of calculation.</w:t>
      </w:r>
    </w:p>
    <w:p>
      <w:pPr>
        <w:spacing w:after="0" w:line="144"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may be affected in the near to medium term by the timing of capital investments, fluctuations in our growth and the effect of such fluctuations on working capital and changes in our cash conversion cycle.</w:t>
      </w:r>
    </w:p>
    <w:p>
      <w:pPr>
        <w:spacing w:after="0" w:line="9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presents a reconciliation of net cash used in operating activities, the most directly comparable financial measure presented in accordance with GAAP, to free cash flow:</w:t>
      </w: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9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19,419</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(6,122)</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13,297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backlog as of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72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1,055,434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213,070</w:t>
            </w:r>
          </w:p>
        </w:tc>
      </w:tr>
    </w:tbl>
    <w:p>
      <w:pPr>
        <w:spacing w:after="0" w:line="200" w:lineRule="exact"/>
        <w:rPr>
          <w:sz w:val="20"/>
          <w:szCs w:val="20"/>
          <w:color w:val="auto"/>
        </w:rPr>
      </w:pPr>
    </w:p>
    <w:p>
      <w:pPr>
        <w:spacing w:after="0" w:line="2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Backlog increased by $842.4 million as of March 31, 2026 compared to December 31, 2025, which includes $612.8 million of acquired backlog associated with the Lanteris acquisition in January 2026, new awards of $428.9 million primarily associated with the IM-5 mission, a government defense contract, and various other contracts, partially offset by continued performance on existing contracts of $186.7 million.</w:t>
      </w:r>
    </w:p>
    <w:p>
      <w:pPr>
        <w:sectPr>
          <w:pgSz w:w="11900" w:h="16838" w:orient="portrait"/>
          <w:cols w:equalWidth="0" w:num="1">
            <w:col w:w="11240"/>
          </w:cols>
          <w:pgMar w:left="320" w:top="914"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Intuitive Machines to Acquire Goonhilly Earth Station and COMSAT</w:t>
      </w:r>
    </w:p>
    <w:p>
      <w:pPr>
        <w:spacing w:after="0" w:line="177" w:lineRule="exact"/>
        <w:rPr>
          <w:sz w:val="20"/>
          <w:szCs w:val="20"/>
          <w:color w:val="auto"/>
        </w:rPr>
      </w:pPr>
    </w:p>
    <w:p>
      <w:pPr>
        <w:ind w:right="80"/>
        <w:spacing w:after="0" w:line="314" w:lineRule="auto"/>
        <w:rPr>
          <w:sz w:val="20"/>
          <w:szCs w:val="20"/>
          <w:color w:val="auto"/>
        </w:rPr>
      </w:pPr>
      <w:r>
        <w:rPr>
          <w:rFonts w:ascii="Arial" w:cs="Arial" w:eastAsia="Arial" w:hAnsi="Arial"/>
          <w:sz w:val="20"/>
          <w:szCs w:val="20"/>
          <w:i w:val="1"/>
          <w:iCs w:val="1"/>
          <w:color w:val="auto"/>
        </w:rPr>
        <w:t>Expected to expand Intuitive Machine’s integrated space-to-Earth network, increasing capacity for deep space communications, data relay, and Position Navigation and Timing (PNT) capabilities</w:t>
      </w:r>
    </w:p>
    <w:p>
      <w:pPr>
        <w:spacing w:after="0" w:line="73" w:lineRule="exact"/>
        <w:rPr>
          <w:sz w:val="20"/>
          <w:szCs w:val="20"/>
          <w:color w:val="auto"/>
        </w:rPr>
      </w:pPr>
    </w:p>
    <w:p>
      <w:pPr>
        <w:ind w:right="400"/>
        <w:spacing w:after="0" w:line="314" w:lineRule="auto"/>
        <w:rPr>
          <w:sz w:val="20"/>
          <w:szCs w:val="20"/>
          <w:color w:val="auto"/>
        </w:rPr>
      </w:pPr>
      <w:r>
        <w:rPr>
          <w:rFonts w:ascii="Arial" w:cs="Arial" w:eastAsia="Arial" w:hAnsi="Arial"/>
          <w:sz w:val="20"/>
          <w:szCs w:val="20"/>
          <w:i w:val="1"/>
          <w:iCs w:val="1"/>
          <w:color w:val="auto"/>
        </w:rPr>
        <w:t>Expected to significantly boost infrastructure by adding 44 antennas over two continents, increasing network availability, and scaling spacecraft communication and control capabilities in lunar and cislunar environments</w:t>
      </w:r>
    </w:p>
    <w:p>
      <w:pPr>
        <w:spacing w:after="0" w:line="71" w:lineRule="exact"/>
        <w:rPr>
          <w:sz w:val="20"/>
          <w:szCs w:val="20"/>
          <w:color w:val="auto"/>
        </w:rPr>
      </w:pPr>
    </w:p>
    <w:p>
      <w:pPr>
        <w:ind w:right="40"/>
        <w:spacing w:after="0" w:line="282" w:lineRule="auto"/>
        <w:rPr>
          <w:sz w:val="20"/>
          <w:szCs w:val="20"/>
          <w:color w:val="auto"/>
        </w:rPr>
      </w:pPr>
      <w:r>
        <w:rPr>
          <w:rFonts w:ascii="Arial" w:cs="Arial" w:eastAsia="Arial" w:hAnsi="Arial"/>
          <w:sz w:val="20"/>
          <w:szCs w:val="20"/>
          <w:b w:val="1"/>
          <w:bCs w:val="1"/>
          <w:color w:val="auto"/>
        </w:rPr>
        <w:t xml:space="preserve">HOUSTON, TX — May 14, 2026 </w:t>
      </w:r>
      <w:r>
        <w:rPr>
          <w:rFonts w:ascii="Arial" w:cs="Arial" w:eastAsia="Arial" w:hAnsi="Arial"/>
          <w:sz w:val="20"/>
          <w:szCs w:val="20"/>
          <w:color w:val="auto"/>
        </w:rPr>
        <w:t>— Intuitive Machines, Inc. (Nasdaq: LUNR) (“Intuitive Machines”, together with its subsidiaries,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 space technology, infrastructure, and services leader, today announced it has entered into a definitive agreement to acquire Goonhilly Earth Station Ltd. (“Goonhilly”), a world-class deep space communications provider with major ground station assets in the United Kingdom and Goonhilly USA Inc. (dba COMSAT). The acquisition, which will include the Goonhilly Lunar and Deep Space Communications, Commercial Satcom, and Defense and Security divisions, significantly expands global ground station resources and capacity on Intuitive Machines’ integrated space-to-ground network. Upon completion of the proposed acquisition, the expanded network is expected to deliver communications, data transport, and position, navigation, and timing (PNT) capabilities for sustained lunar and cislunar operations.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Goonhilly’s and COMSAT’s civil, commercial, and government customers are expected to complement Intuitive Machines’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existing customer base and broaden the Company’s reach into adjacent industries. Upon completion of the acquisition, its</w:t>
      </w:r>
    </w:p>
    <w:p>
      <w:pPr>
        <w:spacing w:after="0" w:line="31" w:lineRule="exact"/>
        <w:rPr>
          <w:sz w:val="20"/>
          <w:szCs w:val="20"/>
          <w:color w:val="auto"/>
        </w:rPr>
      </w:pPr>
    </w:p>
    <w:p>
      <w:pPr>
        <w:spacing w:after="0" w:line="230" w:lineRule="exact"/>
        <w:rPr>
          <w:sz w:val="20"/>
          <w:szCs w:val="20"/>
          <w:color w:val="auto"/>
        </w:rPr>
      </w:pPr>
      <w:r>
        <w:rPr>
          <w:rFonts w:ascii="Arial" w:cs="Arial" w:eastAsia="Arial" w:hAnsi="Arial"/>
          <w:sz w:val="20"/>
          <w:szCs w:val="20"/>
          <w:color w:val="auto"/>
        </w:rPr>
        <w:t>strategic UK location will expand visibility across major Earth</w:t>
      </w:r>
      <w:r>
        <w:rPr>
          <w:rFonts w:ascii="MS PGothic" w:cs="MS PGothic" w:eastAsia="MS PGothic" w:hAnsi="MS PGothic"/>
          <w:sz w:val="20"/>
          <w:szCs w:val="20"/>
          <w:color w:val="auto"/>
        </w:rPr>
        <w:t>‑</w:t>
      </w:r>
      <w:r>
        <w:rPr>
          <w:rFonts w:ascii="Arial" w:cs="Arial" w:eastAsia="Arial" w:hAnsi="Arial"/>
          <w:sz w:val="20"/>
          <w:szCs w:val="20"/>
          <w:color w:val="auto"/>
        </w:rPr>
        <w:t>viewing arcs, increasing contact opportunities for lunar and</w:t>
      </w:r>
    </w:p>
    <w:p>
      <w:pPr>
        <w:spacing w:after="0" w:line="53"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deep</w:t>
      </w:r>
      <w:r>
        <w:rPr>
          <w:rFonts w:ascii="MS PGothic" w:cs="MS PGothic" w:eastAsia="MS PGothic" w:hAnsi="MS PGothic"/>
          <w:sz w:val="19"/>
          <w:szCs w:val="19"/>
          <w:color w:val="auto"/>
        </w:rPr>
        <w:t>‑</w:t>
      </w:r>
      <w:r>
        <w:rPr>
          <w:rFonts w:ascii="Arial" w:cs="Arial" w:eastAsia="Arial" w:hAnsi="Arial"/>
          <w:sz w:val="19"/>
          <w:szCs w:val="19"/>
          <w:color w:val="auto"/>
        </w:rPr>
        <w:t>space missions. With deep expertise in antenna planning, scheduling, and station maintenance, Goonhilly’s ground station</w:t>
      </w:r>
    </w:p>
    <w:p>
      <w:pPr>
        <w:spacing w:after="0" w:line="52" w:lineRule="exact"/>
        <w:rPr>
          <w:sz w:val="20"/>
          <w:szCs w:val="20"/>
          <w:color w:val="auto"/>
        </w:rPr>
      </w:pPr>
    </w:p>
    <w:p>
      <w:pPr>
        <w:spacing w:after="0" w:line="230" w:lineRule="exact"/>
        <w:rPr>
          <w:sz w:val="20"/>
          <w:szCs w:val="20"/>
          <w:color w:val="auto"/>
        </w:rPr>
      </w:pPr>
      <w:r>
        <w:rPr>
          <w:rFonts w:ascii="Arial" w:cs="Arial" w:eastAsia="Arial" w:hAnsi="Arial"/>
          <w:sz w:val="20"/>
          <w:szCs w:val="20"/>
          <w:color w:val="auto"/>
        </w:rPr>
        <w:t>assets and competencies strengthen Intuitive Machines’ ability to deliver end</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end mission support.</w:t>
      </w:r>
    </w:p>
    <w:p>
      <w:pPr>
        <w:spacing w:after="0" w:line="158" w:lineRule="exact"/>
        <w:rPr>
          <w:sz w:val="20"/>
          <w:szCs w:val="20"/>
          <w:color w:val="auto"/>
        </w:rPr>
      </w:pPr>
    </w:p>
    <w:p>
      <w:pPr>
        <w:ind w:right="100"/>
        <w:spacing w:after="0" w:line="263" w:lineRule="exact"/>
        <w:rPr>
          <w:sz w:val="20"/>
          <w:szCs w:val="20"/>
          <w:color w:val="auto"/>
        </w:rPr>
      </w:pPr>
      <w:r>
        <w:rPr>
          <w:rFonts w:ascii="Arial" w:cs="Arial" w:eastAsia="Arial" w:hAnsi="Arial"/>
          <w:sz w:val="19"/>
          <w:szCs w:val="19"/>
          <w:color w:val="auto"/>
        </w:rPr>
        <w:t>“Customers have been clear that they want a single, integrated, and resilient solution for their communications and PNT needs as they accelerate missions at an unprecedented pace,” said Steve Altemus, co</w:t>
      </w:r>
      <w:r>
        <w:rPr>
          <w:rFonts w:ascii="MS PGothic" w:cs="MS PGothic" w:eastAsia="MS PGothic" w:hAnsi="MS PGothic"/>
          <w:sz w:val="19"/>
          <w:szCs w:val="19"/>
          <w:color w:val="auto"/>
        </w:rPr>
        <w:t>‑</w:t>
      </w:r>
      <w:r>
        <w:rPr>
          <w:rFonts w:ascii="Arial" w:cs="Arial" w:eastAsia="Arial" w:hAnsi="Arial"/>
          <w:sz w:val="19"/>
          <w:szCs w:val="19"/>
          <w:color w:val="auto"/>
        </w:rPr>
        <w:t>founder and CEO of Intuitive Machines. “Our partners of integrated space</w:t>
      </w:r>
      <w:r>
        <w:rPr>
          <w:rFonts w:ascii="MS PGothic" w:cs="MS PGothic" w:eastAsia="MS PGothic" w:hAnsi="MS PGothic"/>
          <w:sz w:val="19"/>
          <w:szCs w:val="19"/>
          <w:color w:val="auto"/>
        </w:rPr>
        <w:t>‑</w:t>
      </w:r>
      <w:r>
        <w:rPr>
          <w:rFonts w:ascii="Arial" w:cs="Arial" w:eastAsia="Arial" w:hAnsi="Arial"/>
          <w:sz w:val="19"/>
          <w:szCs w:val="19"/>
          <w:color w:val="auto"/>
        </w:rPr>
        <w:t>to</w:t>
      </w:r>
      <w:r>
        <w:rPr>
          <w:rFonts w:ascii="MS PGothic" w:cs="MS PGothic" w:eastAsia="MS PGothic" w:hAnsi="MS PGothic"/>
          <w:sz w:val="19"/>
          <w:szCs w:val="19"/>
          <w:color w:val="auto"/>
        </w:rPr>
        <w:t>‑</w:t>
      </w:r>
      <w:r>
        <w:rPr>
          <w:rFonts w:ascii="Arial" w:cs="Arial" w:eastAsia="Arial" w:hAnsi="Arial"/>
          <w:sz w:val="19"/>
          <w:szCs w:val="19"/>
          <w:color w:val="auto"/>
        </w:rPr>
        <w:t>ground network are configured to support missions across LEO, lunar, and cislunar environments through a single source for communications, PNT, and data transport. Goonhilly will provide the backbone for this network, scales our global ground presence and will bring a strategic core competency to the Intuitive Machines team.”</w:t>
      </w:r>
    </w:p>
    <w:p>
      <w:pPr>
        <w:spacing w:after="0" w:line="161" w:lineRule="exact"/>
        <w:rPr>
          <w:sz w:val="20"/>
          <w:szCs w:val="20"/>
          <w:color w:val="auto"/>
        </w:rPr>
      </w:pPr>
    </w:p>
    <w:p>
      <w:pPr>
        <w:ind w:right="140"/>
        <w:spacing w:after="0" w:line="282" w:lineRule="auto"/>
        <w:rPr>
          <w:sz w:val="20"/>
          <w:szCs w:val="20"/>
          <w:color w:val="auto"/>
        </w:rPr>
      </w:pPr>
      <w:r>
        <w:rPr>
          <w:rFonts w:ascii="Arial" w:cs="Arial" w:eastAsia="Arial" w:hAnsi="Arial"/>
          <w:sz w:val="20"/>
          <w:szCs w:val="20"/>
          <w:color w:val="auto"/>
        </w:rPr>
        <w:t>The Intuitive Machines space-to-ground network combines a lunar data-relay constellation with a global ground segment to maintain persistent line-of-sight communications with the Moon. Goonhilly is expected to enhance this architecture with deep space assets, including the GHY6 32-meter antenna, the cryogenically cooled GHY3 30-meter antenna, and multiband support across X-band, S-band, and Ka-/Ku-band. This will give customers greater flexibility in mission design and more options for communicating with spacecraft throughout lunar and deep space operations.</w:t>
      </w:r>
    </w:p>
    <w:p>
      <w:pPr>
        <w:sectPr>
          <w:pgSz w:w="11900" w:h="16838" w:orient="portrait"/>
          <w:cols w:equalWidth="0" w:num="1">
            <w:col w:w="11240"/>
          </w:cols>
          <w:pgMar w:left="320" w:top="127"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87" w:lineRule="auto"/>
        <w:rPr>
          <w:sz w:val="20"/>
          <w:szCs w:val="20"/>
          <w:color w:val="auto"/>
        </w:rPr>
      </w:pPr>
      <w:r>
        <w:rPr>
          <w:rFonts w:ascii="Arial" w:cs="Arial" w:eastAsia="Arial" w:hAnsi="Arial"/>
          <w:sz w:val="20"/>
          <w:szCs w:val="20"/>
          <w:color w:val="auto"/>
        </w:rPr>
        <w:t>“Goonhilly has spent years building a world class deep space communications capability,” said Kenn Herskind. Executive Chairman of Goonhilly. “Joining Intuitive Machines will allow us to scale that capability globally and directly support the next era of lunar exploration. Together, we will be creating a commercial lunar communications network that is interoperable, resilient, and ready to support Artemis and international missions.”</w:t>
      </w:r>
    </w:p>
    <w:p>
      <w:pPr>
        <w:spacing w:after="0" w:line="182" w:lineRule="exact"/>
        <w:rPr>
          <w:sz w:val="20"/>
          <w:szCs w:val="20"/>
          <w:color w:val="auto"/>
        </w:rPr>
      </w:pPr>
    </w:p>
    <w:p>
      <w:pPr>
        <w:ind w:right="60"/>
        <w:spacing w:after="0" w:line="290" w:lineRule="auto"/>
        <w:rPr>
          <w:sz w:val="20"/>
          <w:szCs w:val="20"/>
          <w:color w:val="auto"/>
        </w:rPr>
      </w:pPr>
      <w:r>
        <w:rPr>
          <w:rFonts w:ascii="Arial" w:cs="Arial" w:eastAsia="Arial" w:hAnsi="Arial"/>
          <w:sz w:val="20"/>
          <w:szCs w:val="20"/>
          <w:color w:val="auto"/>
        </w:rPr>
        <w:t>The transaction is expected to close in the third quarter of 2026, subject to customary closing conditions, including the receipt of applicable regulatory approvals, including under the UK National Security and Investment Act 2021 and from the US Federal Communications Commission.</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Intuitive Machines</w:t>
      </w:r>
    </w:p>
    <w:p>
      <w:pPr>
        <w:spacing w:after="0" w:line="137" w:lineRule="exact"/>
        <w:rPr>
          <w:sz w:val="20"/>
          <w:szCs w:val="20"/>
          <w:color w:val="auto"/>
        </w:rPr>
      </w:pPr>
    </w:p>
    <w:p>
      <w:pPr>
        <w:ind w:right="2220"/>
        <w:spacing w:after="0" w:line="328" w:lineRule="auto"/>
        <w:rPr>
          <w:sz w:val="20"/>
          <w:szCs w:val="20"/>
          <w:color w:val="auto"/>
        </w:rPr>
      </w:pPr>
      <w:r>
        <w:rPr>
          <w:rFonts w:ascii="Arial" w:cs="Arial" w:eastAsia="Arial" w:hAnsi="Arial"/>
          <w:sz w:val="19"/>
          <w:szCs w:val="19"/>
          <w:color w:val="auto"/>
        </w:rPr>
        <w:t>Intuitive Machines is a leading space infrastructure company that builds spacecraft, connects networks, and operates infrastructure-as-a-service for commercial, civil, and national security customers.  </w:t>
      </w:r>
    </w:p>
    <w:p>
      <w:pPr>
        <w:spacing w:after="0" w:line="64" w:lineRule="exact"/>
        <w:rPr>
          <w:sz w:val="20"/>
          <w:szCs w:val="20"/>
          <w:color w:val="auto"/>
        </w:rPr>
      </w:pPr>
    </w:p>
    <w:p>
      <w:pPr>
        <w:ind w:right="380"/>
        <w:spacing w:after="0" w:line="298" w:lineRule="auto"/>
        <w:rPr>
          <w:sz w:val="20"/>
          <w:szCs w:val="20"/>
          <w:color w:val="auto"/>
        </w:rPr>
      </w:pPr>
      <w:r>
        <w:rPr>
          <w:rFonts w:ascii="Arial" w:cs="Arial" w:eastAsia="Arial" w:hAnsi="Arial"/>
          <w:sz w:val="20"/>
          <w:szCs w:val="20"/>
          <w:color w:val="auto"/>
        </w:rPr>
        <w:t>With a proven track record across the space domain, the Company, through organic growth and portfolio expansion, has built over 300 spacecraft, delivered over 260 kilograms of payload to the lunar surface, and provided precision navigation expertise that has guided spacecraft across our solar system.</w:t>
      </w:r>
    </w:p>
    <w:p>
      <w:pPr>
        <w:spacing w:after="0" w:line="88" w:lineRule="exact"/>
        <w:rPr>
          <w:sz w:val="20"/>
          <w:szCs w:val="20"/>
          <w:color w:val="auto"/>
        </w:rPr>
      </w:pPr>
    </w:p>
    <w:p>
      <w:pPr>
        <w:ind w:right="80"/>
        <w:spacing w:after="0" w:line="290" w:lineRule="auto"/>
        <w:rPr>
          <w:sz w:val="20"/>
          <w:szCs w:val="20"/>
          <w:color w:val="auto"/>
        </w:rPr>
      </w:pPr>
      <w:r>
        <w:rPr>
          <w:rFonts w:ascii="Arial" w:cs="Arial" w:eastAsia="Arial" w:hAnsi="Arial"/>
          <w:sz w:val="20"/>
          <w:szCs w:val="20"/>
          <w:color w:val="auto"/>
        </w:rPr>
        <w:t>These capabilities form an integrated Built-Connect-Operate infrastructure service company, enabling customers to achieve mission and campaign outcomes through a single prime solution. Intuitive Machines’ technology has been demonstrated across the space domain and is engineered to support the next century of opportunity in space.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Goonhilly</w:t>
      </w:r>
    </w:p>
    <w:p>
      <w:pPr>
        <w:spacing w:after="0" w:line="245" w:lineRule="exact"/>
        <w:rPr>
          <w:sz w:val="20"/>
          <w:szCs w:val="20"/>
          <w:color w:val="auto"/>
        </w:rPr>
      </w:pPr>
    </w:p>
    <w:p>
      <w:pPr>
        <w:ind w:right="60"/>
        <w:spacing w:after="0" w:line="314" w:lineRule="auto"/>
        <w:rPr>
          <w:sz w:val="20"/>
          <w:szCs w:val="20"/>
          <w:color w:val="auto"/>
        </w:rPr>
      </w:pPr>
      <w:r>
        <w:rPr>
          <w:rFonts w:ascii="Arial" w:cs="Arial" w:eastAsia="Arial" w:hAnsi="Arial"/>
          <w:sz w:val="20"/>
          <w:szCs w:val="20"/>
          <w:color w:val="auto"/>
        </w:rPr>
        <w:t>Goonhilly® (Goonhilly Earth Station Ltd) delivers reliable connectivity, data, and intelligence, enabling the safe, sustainable, and secure use of space.</w:t>
      </w:r>
    </w:p>
    <w:p>
      <w:pPr>
        <w:spacing w:after="0" w:line="154" w:lineRule="exact"/>
        <w:rPr>
          <w:sz w:val="20"/>
          <w:szCs w:val="20"/>
          <w:color w:val="auto"/>
        </w:rPr>
      </w:pPr>
    </w:p>
    <w:p>
      <w:pPr>
        <w:ind w:right="240"/>
        <w:spacing w:after="0" w:line="290" w:lineRule="auto"/>
        <w:rPr>
          <w:sz w:val="20"/>
          <w:szCs w:val="20"/>
          <w:color w:val="auto"/>
        </w:rPr>
      </w:pPr>
      <w:r>
        <w:rPr>
          <w:rFonts w:ascii="Arial" w:cs="Arial" w:eastAsia="Arial" w:hAnsi="Arial"/>
          <w:sz w:val="20"/>
          <w:szCs w:val="20"/>
          <w:color w:val="auto"/>
        </w:rPr>
        <w:t>As the world’s most advanced commercial lunar and deep space communications provider, Goonhilly provides Earth-to-space connectivity for spacecraft operating beyond geostationary orbit, facilitating the future of space science and exploration for organisations including ESA and Intuitive Machines.</w:t>
      </w:r>
    </w:p>
    <w:p>
      <w:pPr>
        <w:spacing w:after="0" w:line="165" w:lineRule="exact"/>
        <w:rPr>
          <w:sz w:val="20"/>
          <w:szCs w:val="20"/>
          <w:color w:val="auto"/>
        </w:rPr>
      </w:pPr>
    </w:p>
    <w:p>
      <w:pPr>
        <w:ind w:right="220"/>
        <w:spacing w:after="0" w:line="287" w:lineRule="auto"/>
        <w:rPr>
          <w:sz w:val="20"/>
          <w:szCs w:val="20"/>
          <w:color w:val="auto"/>
        </w:rPr>
      </w:pPr>
      <w:r>
        <w:rPr>
          <w:rFonts w:ascii="Arial" w:cs="Arial" w:eastAsia="Arial" w:hAnsi="Arial"/>
          <w:sz w:val="20"/>
          <w:szCs w:val="20"/>
          <w:color w:val="auto"/>
        </w:rPr>
        <w:t>Goonhilly also utilises its state-of-the-art assets and expert teams to deliver sovereign radio frequency Space Domain Awareness (SDA) data, assured satcom services, and bespoke antenna development to national security customers. Its sister company, COMSAT, offers commercial satcom services. Together, the two brands form the Goonhilly Group and share operational sites in the US and UK.</w:t>
      </w:r>
    </w:p>
    <w:p>
      <w:pPr>
        <w:sectPr>
          <w:pgSz w:w="11900" w:h="16838" w:orient="portrait"/>
          <w:cols w:equalWidth="0" w:num="1">
            <w:col w:w="11240"/>
          </w:cols>
          <w:pgMar w:left="320" w:top="127"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 inquiries: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26DCE"/>
        </w:rPr>
        <w:t>investors@intuitivemachines.com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 inquiries: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26DCE"/>
        </w:rPr>
        <w:t>press@intuitivemachines.com</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Forward-Looking Statements</w:t>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20"/>
          <w:szCs w:val="20"/>
          <w:color w:val="auto"/>
        </w:rPr>
        <w:t xml:space="preserve">This press release includes “forward-looking statements” within the meaning of the Private Securities Litigation Reform Act of 1995, as amended.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press release should be considered forward looking. Such statements can be identified by the fact that they do not relate strictly to historical or current facts. When used in this press release, these forward-looking statements generally are identified by the words such as “anticipate,” “believe,” “continue,” “could,” “estimate,” “expect,” “intend,” “may,” “might,” “plan,” “possible,” “potential,” “predict,” “project,” “should,” “strive,” “would,” “strategy,” “outlook,” the negative of these words or other similar expressions, but the absence of these words does not mean that a statement is not forward-looking. These forward-looking statements include but are not limited to statements regarding: the proposed transaction with Goonhilly, </w:t>
      </w:r>
      <w:r>
        <w:rPr>
          <w:rFonts w:ascii="Arial" w:cs="Arial" w:eastAsia="Arial" w:hAnsi="Arial"/>
          <w:sz w:val="20"/>
          <w:szCs w:val="20"/>
          <w:color w:val="191818"/>
        </w:rPr>
        <w:t>including the terms, timing, structure, benefits,</w:t>
      </w:r>
      <w:r>
        <w:rPr>
          <w:rFonts w:ascii="Arial" w:cs="Arial" w:eastAsia="Arial" w:hAnsi="Arial"/>
          <w:sz w:val="20"/>
          <w:szCs w:val="20"/>
          <w:color w:val="auto"/>
        </w:rPr>
        <w:t xml:space="preserve"> </w:t>
      </w:r>
      <w:r>
        <w:rPr>
          <w:rFonts w:ascii="Arial" w:cs="Arial" w:eastAsia="Arial" w:hAnsi="Arial"/>
          <w:sz w:val="20"/>
          <w:szCs w:val="20"/>
          <w:color w:val="191818"/>
        </w:rPr>
        <w:t xml:space="preserve">costs and completion of such transaction; our expectations and plans relating to our missions to the Moon, including the expected timing of launch and our progress in preparation thereof; our expectations with respect to, among other things, demand for our product portfolio, our submission of bids for contracts; our expectations regarding revenue for government contracts awarded to us; our expectations regarding changes to government contracts or programs; our operations, our financial performance and our industry; our business strategy, business plan, and plans to drive long-term sustainable shareholder value; our expectations on revenue and cash generation. These forward-looking statements reflect the Company’s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press release: various risks and uncertainties related to, among other things, the terms, timing, structure, benefits, costs and completion of the transaction with </w:t>
      </w:r>
      <w:r>
        <w:rPr>
          <w:rFonts w:ascii="Arial" w:cs="Arial" w:eastAsia="Arial" w:hAnsi="Arial"/>
          <w:sz w:val="20"/>
          <w:szCs w:val="20"/>
          <w:color w:val="000000"/>
        </w:rPr>
        <w:t>Goonhilly</w:t>
      </w:r>
      <w:r>
        <w:rPr>
          <w:rFonts w:ascii="Arial" w:cs="Arial" w:eastAsia="Arial" w:hAnsi="Arial"/>
          <w:sz w:val="20"/>
          <w:szCs w:val="20"/>
          <w:color w:val="191818"/>
        </w:rPr>
        <w:t xml:space="preserve">; required approvals to complete the proposed transaction with </w:t>
      </w:r>
      <w:r>
        <w:rPr>
          <w:rFonts w:ascii="Arial" w:cs="Arial" w:eastAsia="Arial" w:hAnsi="Arial"/>
          <w:sz w:val="20"/>
          <w:szCs w:val="20"/>
          <w:color w:val="000000"/>
        </w:rPr>
        <w:t>Goonhilly</w:t>
      </w:r>
      <w:r>
        <w:rPr>
          <w:rFonts w:ascii="Arial" w:cs="Arial" w:eastAsia="Arial" w:hAnsi="Arial"/>
          <w:sz w:val="20"/>
          <w:szCs w:val="20"/>
          <w:color w:val="191818"/>
        </w:rPr>
        <w:t xml:space="preserve"> by the receipt of certain regulatory approvals, to the extent required, and the timing and conditions for such approvals; the satisfaction of the closing conditions to the proposed transaction with </w:t>
      </w:r>
      <w:r>
        <w:rPr>
          <w:rFonts w:ascii="Arial" w:cs="Arial" w:eastAsia="Arial" w:hAnsi="Arial"/>
          <w:sz w:val="20"/>
          <w:szCs w:val="20"/>
          <w:color w:val="000000"/>
        </w:rPr>
        <w:t>Goonhilly</w:t>
      </w:r>
      <w:r>
        <w:rPr>
          <w:rFonts w:ascii="Arial" w:cs="Arial" w:eastAsia="Arial" w:hAnsi="Arial"/>
          <w:sz w:val="20"/>
          <w:szCs w:val="20"/>
          <w:color w:val="191818"/>
        </w:rPr>
        <w:t>; our reliance upon the efforts of our Board and key personnel to be successful; our limited operating history; our failure to manage our growth effectively and to win new contracts; our customer concentration; competition from existing or new companies; unsatisfactory safety performance of our spaceflight systems or</w:t>
      </w:r>
    </w:p>
    <w:p>
      <w:pPr>
        <w:sectPr>
          <w:pgSz w:w="11900" w:h="16838" w:orient="portrait"/>
          <w:cols w:equalWidth="0" w:num="1">
            <w:col w:w="11240"/>
          </w:cols>
          <w:pgMar w:left="320" w:top="127"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22"/>
          <w:szCs w:val="22"/>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20"/>
          <w:szCs w:val="20"/>
          <w:color w:val="191818"/>
        </w:rPr>
        <w:t>security incidents at our facilities; cyber incidents; failure of the market for commercial spaceflight to achieve the growth potential we expect; any delayed launches, launch failures, failure of landers to conduct all mission milestone, failure of our satellites or lunar landers to reach their planned orbital locations, significant increases in the costs related to launches of satellites and lunar landers, and insufficient capacity available from satellite and lunar lander launch providers; our reliance on a single launch service provider; risks associated with commercial spaceflight, including any accident on launch or during the journey into space; risks associated with the handling, production and disposition of potentially explosive and ignitable energetic materials and other dangerous chemicals in our operations; our reliance on a limited number of suppliers for certain materials and supplied components; failure of our products to operate in the expected manner or defects in our products; counterparty risks on contracts entered into with our customers and failure of our prime contractors to maintain their relationships with their counterparties and fulfill their contractual obligations; failure to successfully defend protest from other bidders for government contracts; failure to comply with various laws and regulations relating to various aspects of our business, uncertainty in the regulatory environment and any changes in the funding levels of various governmental entities with which we do business; our failure to protect the confidentiality of our trade secrets and unpatented know how; our failure to comply with the terms of third-party open source software our systems utilize; our ability to maintain an effective system of internal control over financial reporting, and to address and remediate material weaknesses in our internal control over financial reporting; the U.S. government’s budget deficit and the national debt, as well as any inability of the U.S. government to complete its budget process for any government fiscal year, and our dependence on U.S. government contracts and the available funding by the U.S. government; our failure to comply with U.S. export and import control laws and regulations and U.S. economic sanctions and trade control laws and regulations; uncertain global macro-economic and political conditions and elevated inflation and interest rates; our history of losses and failure to achieve profitability in the future or failure to generate sufficient funds to continue operations; the cost and potential outcomes of pending and any future litigation; our public securities’ potential liquidity and trading; the sufficiency and anticipated use of our existing capital resources to fund our future operating expenses and capital expenditure requirements and needs for additional financing; our ability to successfully identify, complete, integrate, and obtain benefits from any acquisitions, joint ventures and other investments; and other public filings and press releases other factors detailed under the section titled Part I, Item 1A. Risk Factors of our Annual Report on Form 10-K for the fiscal year ended December 31, 2025 filed with the Securities and Exchange Commission (the “SEC”), the section titled Part I, Item 2, Management’s Discussion and Analysis of Financial Condition and Results of Operations and the section titled Part II. Item 1A. “Risk Factors” in our most recently filed Quarterly Report on Form 10-Q, and in our subsequent filings with the SEC, which are accessible on the SEC's website at www.sec.gov.</w:t>
      </w:r>
    </w:p>
    <w:p>
      <w:pPr>
        <w:spacing w:after="0" w:line="213" w:lineRule="exact"/>
        <w:rPr>
          <w:sz w:val="20"/>
          <w:szCs w:val="20"/>
          <w:color w:val="auto"/>
        </w:rPr>
      </w:pPr>
    </w:p>
    <w:p>
      <w:pPr>
        <w:ind w:right="320"/>
        <w:spacing w:after="0" w:line="290" w:lineRule="auto"/>
        <w:rPr>
          <w:sz w:val="20"/>
          <w:szCs w:val="20"/>
          <w:color w:val="auto"/>
        </w:rPr>
      </w:pPr>
      <w:r>
        <w:rPr>
          <w:rFonts w:ascii="Arial" w:cs="Arial" w:eastAsia="Arial" w:hAnsi="Arial"/>
          <w:sz w:val="20"/>
          <w:szCs w:val="20"/>
          <w:color w:val="191818"/>
        </w:rPr>
        <w:t>These forward-looking statements are based on information available as of the date of this press release and current expectations, forecasts, and assumptions, and involve a number of judgments, risks, and uncertainties. Accordingly, forward-looking statements should not be relied</w:t>
      </w:r>
    </w:p>
    <w:p>
      <w:pPr>
        <w:sectPr>
          <w:pgSz w:w="11900" w:h="16838" w:orient="portrait"/>
          <w:cols w:equalWidth="0" w:num="1">
            <w:col w:w="11240"/>
          </w:cols>
          <w:pgMar w:left="320" w:top="127"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60"/>
        <w:spacing w:after="0" w:line="290" w:lineRule="auto"/>
        <w:rPr>
          <w:sz w:val="20"/>
          <w:szCs w:val="20"/>
          <w:color w:val="auto"/>
        </w:rPr>
      </w:pPr>
      <w:r>
        <w:rPr>
          <w:rFonts w:ascii="Arial" w:cs="Arial" w:eastAsia="Arial" w:hAnsi="Arial"/>
          <w:sz w:val="20"/>
          <w:szCs w:val="20"/>
          <w:color w:val="191818"/>
        </w:rPr>
        <w:t>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79" w:lineRule="exact"/>
        <w:rPr>
          <w:sz w:val="20"/>
          <w:szCs w:val="20"/>
          <w:color w:val="auto"/>
        </w:rPr>
      </w:pPr>
    </w:p>
    <w:p>
      <w:pPr>
        <w:ind w:right="320"/>
        <w:spacing w:after="0" w:line="290" w:lineRule="auto"/>
        <w:rPr>
          <w:sz w:val="20"/>
          <w:szCs w:val="20"/>
          <w:color w:val="auto"/>
        </w:rPr>
      </w:pPr>
      <w:r>
        <w:rPr>
          <w:rFonts w:ascii="Arial" w:cs="Arial" w:eastAsia="Arial" w:hAnsi="Arial"/>
          <w:sz w:val="20"/>
          <w:szCs w:val="20"/>
          <w:color w:val="191818"/>
        </w:rPr>
        <w:t>As a result of a number of known and unknown risks and uncertainties, our actual results or performance may be materially different from those expressed or implied by these forward-looking statements. You should not place undue reliance on these forward-looking statements.</w:t>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2026-05-14T06:51:28Z</dcterms:created>
  <dcterms:modified xsi:type="dcterms:W3CDTF">2026-05-14T06:51:28Z</dcterms:modified>
</cp:coreProperties>
</file>