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6560" w:right="819" w:hanging="5060"/>
        <w:spacing w:after="0" w:line="347" w:lineRule="auto"/>
        <w:rPr>
          <w:sz w:val="20"/>
          <w:szCs w:val="20"/>
          <w:color w:val="auto"/>
        </w:rPr>
      </w:pPr>
      <w:r>
        <w:rPr>
          <w:rFonts w:ascii="Arial" w:cs="Arial" w:eastAsia="Arial" w:hAnsi="Arial"/>
          <w:sz w:val="16"/>
          <w:szCs w:val="16"/>
          <w:b w:val="1"/>
          <w:bCs w:val="1"/>
          <w:color w:val="auto"/>
        </w:rPr>
        <w:t>As filed with the U.S. Securities and Exchange Commission on March 30, 2023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INTUITIVE MACHINES,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66"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3760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36-5056189</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3700 Bay Area Blvd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Houston, TX 77058</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(281) 520-3703</w:t>
            </w: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59"/>
        <w:spacing w:after="0" w:line="250" w:lineRule="auto"/>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Erik Sallee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3700 Bay Area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520-3703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Rachel W. Sheridan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J. Slater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77002</w:t>
      </w:r>
    </w:p>
    <w:p>
      <w:pPr>
        <w:spacing w:after="0" w:line="9" w:lineRule="exact"/>
        <w:rPr>
          <w:sz w:val="24"/>
          <w:szCs w:val="24"/>
          <w:color w:val="auto"/>
        </w:rPr>
      </w:pPr>
    </w:p>
    <w:p>
      <w:pPr>
        <w:ind w:left="4380" w:hanging="438"/>
        <w:spacing w:after="0"/>
        <w:tabs>
          <w:tab w:leader="none" w:pos="4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906-1200</w:t>
      </w:r>
    </w:p>
    <w:p>
      <w:pPr>
        <w:spacing w:after="0" w:line="9"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76" w:lineRule="exact"/>
        <w:rPr>
          <w:sz w:val="24"/>
          <w:szCs w:val="24"/>
          <w:color w:val="auto"/>
        </w:rPr>
      </w:pPr>
    </w:p>
    <w:p>
      <w:pPr>
        <w:jc w:val="both"/>
        <w:ind w:left="460" w:right="479"/>
        <w:spacing w:after="0" w:line="284"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becomes effective.</w:t>
      </w:r>
    </w:p>
    <w:p>
      <w:pPr>
        <w:spacing w:after="0" w:line="1" w:lineRule="exact"/>
        <w:rPr>
          <w:sz w:val="24"/>
          <w:szCs w:val="24"/>
          <w:color w:val="auto"/>
        </w:rPr>
      </w:pPr>
    </w:p>
    <w:p>
      <w:pPr>
        <w:jc w:val="both"/>
        <w:ind w:left="460" w:right="459"/>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left="460" w:right="479"/>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59"/>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79"/>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7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820" w:type="dxa"/>
        <w:tblCellMar>
          <w:top w:w="0" w:type="dxa"/>
          <w:left w:w="0" w:type="dxa"/>
          <w:bottom w:w="0" w:type="dxa"/>
          <w:right w:w="0" w:type="dxa"/>
        </w:tblCellMar>
      </w:tblPr>
      <w:tr>
        <w:trPr>
          <w:trHeight w:val="254"/>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9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ind w:left="9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8" w:lineRule="exact"/>
        <w:rPr>
          <w:sz w:val="24"/>
          <w:szCs w:val="24"/>
          <w:color w:val="auto"/>
        </w:rPr>
      </w:pPr>
    </w:p>
    <w:p>
      <w:pPr>
        <w:jc w:val="both"/>
        <w:ind w:left="460" w:right="45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__________________</w:t>
      </w:r>
    </w:p>
    <w:p>
      <w:pPr>
        <w:spacing w:after="0" w:line="28" w:lineRule="exact"/>
        <w:rPr>
          <w:sz w:val="24"/>
          <w:szCs w:val="24"/>
          <w:color w:val="auto"/>
        </w:rPr>
      </w:pPr>
    </w:p>
    <w:p>
      <w:pPr>
        <w:jc w:val="both"/>
        <w:ind w:left="460" w:right="479"/>
        <w:spacing w:after="0" w:line="272"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ectPr>
          <w:pgSz w:w="11900" w:h="16894" w:orient="portrait"/>
          <w:cols w:equalWidth="0" w:num="1">
            <w:col w:w="9019"/>
          </w:cols>
          <w:pgMar w:left="1440" w:top="553" w:right="1440" w:bottom="0" w:gutter="0" w:footer="0" w:header="0"/>
        </w:sectPr>
      </w:pPr>
    </w:p>
    <w:bookmarkStart w:id="1" w:name="page2"/>
    <w:bookmarkEnd w:id="1"/>
    <w:p>
      <w:pPr>
        <w:jc w:val="both"/>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114935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157480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431800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6"/>
          <w:szCs w:val="16"/>
          <w:color w:val="D2232A"/>
        </w:rPr>
        <w:t>The information in this preliminary prospectus is not complete and may be changed. These securities may not be sold until the registration statement filed with the U.S. Securities and Exchange Commission is effective. The preliminary prospectus is not an offer to sell these securities and does not constitute the solicitation of offers to buy these securities in any jurisdiction where the offer or sale is not permitted.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SUBJECT TO COMPLETION, DATED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154305</wp:posOffset>
            </wp:positionV>
            <wp:extent cx="233172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17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INTUITIVE MACHINES,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91,135,338 SHARES OF CLASS A COMMON STOCK</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8,295,000 WARRANTS TO PURCHASE SHARES OF CLASS A COMMON STOCK</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23,332,500 SHARES OF CLASS A COMMON STOCK UNDERLYING WARRANTS</w:t>
      </w:r>
    </w:p>
    <w:p>
      <w:pPr>
        <w:spacing w:after="0" w:line="49"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4"/>
          <w:szCs w:val="14"/>
          <w:color w:val="auto"/>
        </w:rPr>
        <w:t>This prospectus relates to the resale from time to time of up to (i) 91,135,338 shares of class A common stock, par value $0.0001 per share (the “Class A Common Stock”) of Intuitive Machines, Inc., a Delaware corporation, (ii) 6,845,000 warrants to purchase Class A Common Stock at an exercise price of $11.50 per share (the “Private Placement Warrants”),</w:t>
      </w:r>
    </w:p>
    <w:p>
      <w:pPr>
        <w:spacing w:after="0" w:line="2" w:lineRule="exact"/>
        <w:rPr>
          <w:sz w:val="20"/>
          <w:szCs w:val="20"/>
          <w:color w:val="auto"/>
        </w:rPr>
      </w:pPr>
    </w:p>
    <w:p>
      <w:pPr>
        <w:ind w:left="460" w:right="479" w:hanging="6"/>
        <w:spacing w:after="0" w:line="288" w:lineRule="auto"/>
        <w:tabs>
          <w:tab w:leader="none" w:pos="758" w:val="left"/>
        </w:tabs>
        <w:numPr>
          <w:ilvl w:val="0"/>
          <w:numId w:val="2"/>
        </w:numPr>
        <w:rPr>
          <w:rFonts w:ascii="Arial" w:cs="Arial" w:eastAsia="Arial" w:hAnsi="Arial"/>
          <w:sz w:val="16"/>
          <w:szCs w:val="16"/>
          <w:color w:val="auto"/>
        </w:rPr>
      </w:pPr>
      <w:r>
        <w:rPr>
          <w:rFonts w:ascii="Arial" w:cs="Arial" w:eastAsia="Arial" w:hAnsi="Arial"/>
          <w:sz w:val="16"/>
          <w:szCs w:val="16"/>
          <w:color w:val="auto"/>
        </w:rPr>
        <w:t>1,450,000 public warrants (the “Public Warrants” and, together with the Private Placement Warrants, the “Warrants”) and (iv) 23,332,500 shares of Class A Common Stock upon the exercise of outstanding Warrants.</w:t>
      </w:r>
    </w:p>
    <w:p>
      <w:pPr>
        <w:spacing w:after="0" w:line="1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5"/>
          <w:szCs w:val="15"/>
          <w:color w:val="auto"/>
        </w:rPr>
        <w:t>The 91,135,338 shares of Class A Common Stock consists of (a) an aggregate of 11,981,250 shares of Class A Common Stock, issued in connection with the Transactions (as defined below) by us to the selling securityholders named in this prospectus (each, a “selling securityholder” and, collectively, the “selling securityholders”), (b) up to 68,150,754 shares of Class A Common Stock in exchange for common units (“Intuitive Machines OpCo Common Units”) of Intuitive Machines, LLC, a Delaware limited liability company (formerly, a Texas limited liability company, “Intuitive Machines OpCo”) and a direct subsidiary of Intuitive Machines, Inc., (including Intuitive Machines OpCo Common Units that may be issued in the future pursuant to the future exercise of currently-outstanding options to purchase such Intuitive Machines OpCo Common Units) tendered for redemption by one or more of the members of Intuitive Machines OpCo (the “Intuitive Machines Members”), and including the possible resale from time to time of some or all of such shares of Class A Common Stock by certain of the selling securityholders, (c) up to 2,166,667 shares of Class A Common Stock issuable upon the conversion of 26,000 shares of Series A Preferred Stock (as defined elsewhere in this prospectus), (d) up to 541,667 shares of Class A Common Stock issuable upon the exercise of the Preferred Investor Warrants, (e) 6,845,000 shares of Class A Common Stock underlying the Private Placement Warrants and (f) 1,450,000 shares of Class A Common Stock underlying the Public Warrants.</w:t>
      </w:r>
    </w:p>
    <w:p>
      <w:pPr>
        <w:spacing w:after="0" w:line="2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5"/>
          <w:szCs w:val="15"/>
          <w:color w:val="auto"/>
        </w:rPr>
        <w:t>On February 10, 2023, as contemplated by that certain business combination agreement, dated as of September 16, 2022 (the “Business Combination Agreement”), by and between Inflection Point Acquisition Corp., prior to the Domestication (as defined below), a Cayman Islands exempted company (“IPAX”), and Intuitive Machines OpCo, IPAX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pursuant to which IPAX was domesticated and continued as a Delaware corporation, changing its name to “Intuitive Machines, Inc.” (the “Domestication”).</w:t>
      </w:r>
    </w:p>
    <w:p>
      <w:pPr>
        <w:spacing w:after="0" w:line="1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5"/>
          <w:szCs w:val="15"/>
          <w:color w:val="auto"/>
        </w:rPr>
        <w:t>On February 13, 2023 (the “Closing Date”), we consummated the transactions contemplated by the Business Combination Agreement, whereby: (i) Intuitive Machines OpCo appointed us as its managing member; (ii) Intuitive Machines issued to certain existing members of Intuitive Machines OpCo, a number of shares of Intuitive Machines class B common stock, par value $0.0001 per share (the “Class B Common Stock”), having one vote per share and no economic rights, or class C common stock, par value $0.0001 per share (the “Class C Common Stock”), having three votes per share and no economic rights, in each case, in exchange for payment from such Intuitive Machines Members of a per-share price equal to the par value per share of such stock, and equal to the number of Intuitive Machines OpCo Common Units held by such person as of and on the Closing Date; (iii) we contributed to Intuitive Machines OpCo an amount in cash in exchange for certain units in Intuitive Machines OpCo; and (iv) the other transactions contemplated by the Business Combination Agreement (together with the Domestication, the “Transactions”).</w:t>
      </w:r>
    </w:p>
    <w:p>
      <w:pPr>
        <w:spacing w:after="0" w:line="16" w:lineRule="exact"/>
        <w:rPr>
          <w:sz w:val="20"/>
          <w:szCs w:val="20"/>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Upon the consummation of the Transactions, we became the sole managing member of Intuitive Machines OpCo. Our only direct assets consist of Intuitive Machines OpCo Common Units, and substantially all of the assets and business of Intuitive Machines, Inc. are held by Intuitive Machines OpCo and its subsidiaries.</w:t>
      </w:r>
    </w:p>
    <w:p>
      <w:pPr>
        <w:spacing w:after="0" w:line="2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5"/>
          <w:szCs w:val="15"/>
          <w:color w:val="auto"/>
        </w:rPr>
        <w:t>We are registering the resale of shares of Class A Common Stock, Private Placement Warrants and Public Warrants as required by (i) that certain Amended and Restated Registration Rights Agreement, dated as of February 13, 2023 (the “A&amp;R Registration Rights Agreement”), by and among us, Inflection Point Holdings LLC (the “Sponsor”), certain securityholders, and the Series A Investors (as defined below) and (ii) those certain subscription agreements that held simple agreements for future equity (“SAFEs”) of Intuitive Machines OpCo., entered into from September 2021 through February 2022 and February 10, 2023 (the “SAFE Agreements”) each entered into by and among us, Intuitive Machines OpCo, and certain legacy investors in Intuitive Machines OpCo (the “SAFE Investors”).</w:t>
      </w:r>
    </w:p>
    <w:p>
      <w:pPr>
        <w:spacing w:after="0" w:line="1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6"/>
          <w:szCs w:val="16"/>
          <w:color w:val="auto"/>
        </w:rPr>
        <w:t>We are registering the issuance of shares of Class A Common Stock upon (i) redemption of Intuitive Machines OpCo Common Units as required by the A&amp;R Registration Rights Agreement and (ii) exercise of Warrants as required by that certain warrant agreement, dated as of September 24, 2021 (the “Warrant Agreement”), between IPAX and Continental Stock Transfer &amp; Trust Company.</w:t>
      </w:r>
    </w:p>
    <w:p>
      <w:pPr>
        <w:spacing w:after="0" w:line="27" w:lineRule="exact"/>
        <w:rPr>
          <w:sz w:val="20"/>
          <w:szCs w:val="20"/>
          <w:color w:val="auto"/>
        </w:rPr>
      </w:pPr>
    </w:p>
    <w:p>
      <w:pPr>
        <w:jc w:val="both"/>
        <w:ind w:left="460" w:right="459"/>
        <w:spacing w:after="0" w:line="305" w:lineRule="auto"/>
        <w:rPr>
          <w:sz w:val="20"/>
          <w:szCs w:val="20"/>
          <w:color w:val="auto"/>
        </w:rPr>
      </w:pPr>
      <w:r>
        <w:rPr>
          <w:rFonts w:ascii="Arial" w:cs="Arial" w:eastAsia="Arial" w:hAnsi="Arial"/>
          <w:sz w:val="15"/>
          <w:szCs w:val="15"/>
          <w:color w:val="auto"/>
        </w:rPr>
        <w:t>We will receive the proceeds from any exercise of the Warrants for cash, but not from the issuance of any shares of Class A Common Stock upon exchange of Intuitive Machines OpCo Common Units or the resale of any shares of Class A Common Stock, Private Placement Warrants or Public Warrants by the selling securityholders covered by this prospectus.</w:t>
      </w:r>
    </w:p>
    <w:p>
      <w:pPr>
        <w:spacing w:after="0" w:line="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6"/>
          <w:szCs w:val="16"/>
          <w:color w:val="auto"/>
        </w:rPr>
        <w:t>We will bear all costs, expenses, and fees in connection with the registration of the shares of Class A Common Stock, Private Placement Warrants and 1,450,000 Public Warrants. The selling securityholders will bear all commissions and discounts, if any, attributable to their respective sales of the shares of Class A Common Stock, Private Placement Warrants and Public Warrants.</w:t>
      </w:r>
    </w:p>
    <w:p>
      <w:pPr>
        <w:sectPr>
          <w:pgSz w:w="11900" w:h="16838" w:orient="portrait"/>
          <w:cols w:equalWidth="0" w:num="1">
            <w:col w:w="9019"/>
          </w:cols>
          <w:pgMar w:left="1440" w:top="274" w:right="1440" w:bottom="0" w:gutter="0" w:footer="0" w:header="0"/>
        </w:sectPr>
      </w:pPr>
    </w:p>
    <w:bookmarkStart w:id="3" w:name="page4"/>
    <w:bookmarkEnd w:id="3"/>
    <w:p>
      <w:pPr>
        <w:jc w:val="both"/>
        <w:ind w:left="460" w:right="479"/>
        <w:spacing w:after="0" w:line="305" w:lineRule="auto"/>
        <w:rPr>
          <w:sz w:val="20"/>
          <w:szCs w:val="20"/>
          <w:color w:val="auto"/>
        </w:rPr>
      </w:pPr>
      <w:r>
        <w:rPr>
          <w:rFonts w:ascii="Arial" w:cs="Arial" w:eastAsia="Arial" w:hAnsi="Arial"/>
          <w:sz w:val="15"/>
          <w:szCs w:val="15"/>
          <w:color w:val="auto"/>
        </w:rPr>
        <w:t>Our shares of Class A Common Stock and Public Warrants are listed on the Nasdaq Stock Market LLC (“Nasdaq”) under the symbols “LUNR” and “LUNRW,” respectively. On March 27, 2023, the closing price of our Class A Common Stock was $10.87 per share and the closing price for our Public Warrants was $0.66 per warrant.</w:t>
      </w:r>
    </w:p>
    <w:p>
      <w:pPr>
        <w:spacing w:after="0" w:line="4" w:lineRule="exact"/>
        <w:rPr>
          <w:sz w:val="20"/>
          <w:szCs w:val="20"/>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We are an “emerging growth company” and a “smaller reporting company” under the federal securities laws and will be subject to reduced disclosure and public reporting requirements. See “</w:t>
      </w:r>
      <w:r>
        <w:rPr>
          <w:rFonts w:ascii="Arial" w:cs="Arial" w:eastAsia="Arial" w:hAnsi="Arial"/>
          <w:sz w:val="16"/>
          <w:szCs w:val="16"/>
          <w:i w:val="1"/>
          <w:iCs w:val="1"/>
          <w:color w:val="auto"/>
        </w:rPr>
        <w:t>Summary — Implications of Being an Emerging</w:t>
      </w:r>
      <w:r>
        <w:rPr>
          <w:rFonts w:ascii="Arial" w:cs="Arial" w:eastAsia="Arial" w:hAnsi="Arial"/>
          <w:sz w:val="16"/>
          <w:szCs w:val="16"/>
          <w:color w:val="auto"/>
        </w:rPr>
        <w:t xml:space="preserve"> </w:t>
      </w:r>
      <w:r>
        <w:rPr>
          <w:rFonts w:ascii="Arial" w:cs="Arial" w:eastAsia="Arial" w:hAnsi="Arial"/>
          <w:sz w:val="16"/>
          <w:szCs w:val="16"/>
          <w:i w:val="1"/>
          <w:iCs w:val="1"/>
          <w:color w:val="auto"/>
        </w:rPr>
        <w:t>Growth Company and a Smaller Reporting Company.</w:t>
      </w:r>
      <w:r>
        <w:rPr>
          <w:rFonts w:ascii="Arial" w:cs="Arial" w:eastAsia="Arial" w:hAnsi="Arial"/>
          <w:sz w:val="16"/>
          <w:szCs w:val="16"/>
          <w:color w:val="auto"/>
        </w:rPr>
        <w:t>”</w:t>
      </w:r>
    </w:p>
    <w:p>
      <w:pPr>
        <w:spacing w:after="0" w:line="18"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Investing in shares of our securities involves risks that are described in the “Risk Factors” section beginning on page 11 of this prospectus.</w:t>
      </w:r>
    </w:p>
    <w:p>
      <w:pPr>
        <w:spacing w:after="0" w:line="6" w:lineRule="exact"/>
        <w:rPr>
          <w:sz w:val="20"/>
          <w:szCs w:val="20"/>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Neither the U.S. Securities and Exchange Commission (the “SEC”) nor any state securities commission has approved or disapproved of the securities to be issued under this prospectus or determined if this prospectus is truthful or complete. Any representation to the contrary is a criminal offense.</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20" w:type="dxa"/>
            <w:vAlign w:val="bottom"/>
          </w:tcPr>
          <w:p>
            <w:pPr>
              <w:ind w:left="2580"/>
              <w:spacing w:after="0"/>
              <w:rPr>
                <w:sz w:val="20"/>
                <w:szCs w:val="20"/>
                <w:color w:val="auto"/>
              </w:rPr>
            </w:pPr>
            <w:r>
              <w:rPr>
                <w:rFonts w:ascii="Arial" w:cs="Arial" w:eastAsia="Arial" w:hAnsi="Arial"/>
                <w:sz w:val="16"/>
                <w:szCs w:val="16"/>
                <w:b w:val="1"/>
                <w:bCs w:val="1"/>
                <w:color w:val="auto"/>
                <w:w w:val="97"/>
              </w:rPr>
              <w:t>The date of this prospectus is</w:t>
            </w:r>
          </w:p>
        </w:tc>
        <w:tc>
          <w:tcPr>
            <w:tcW w:w="3280" w:type="dxa"/>
            <w:vAlign w:val="bottom"/>
          </w:tcPr>
          <w:p>
            <w:pPr>
              <w:jc w:val="right"/>
              <w:ind w:right="2499"/>
              <w:spacing w:after="0"/>
              <w:rPr>
                <w:sz w:val="20"/>
                <w:szCs w:val="20"/>
                <w:color w:val="auto"/>
              </w:rPr>
            </w:pPr>
            <w:r>
              <w:rPr>
                <w:rFonts w:ascii="Arial" w:cs="Arial" w:eastAsia="Arial" w:hAnsi="Arial"/>
                <w:sz w:val="16"/>
                <w:szCs w:val="16"/>
                <w:b w:val="1"/>
                <w:bCs w:val="1"/>
                <w:color w:val="auto"/>
              </w:rPr>
              <w:t>, 2023.</w:t>
            </w:r>
          </w:p>
        </w:tc>
      </w:tr>
      <w:tr>
        <w:trPr>
          <w:trHeight w:val="397"/>
        </w:trPr>
        <w:tc>
          <w:tcPr>
            <w:tcW w:w="48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0" w:right="1440"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83"/>
        </w:trPr>
        <w:tc>
          <w:tcPr>
            <w:tcW w:w="7500" w:type="dxa"/>
            <w:vAlign w:val="bottom"/>
            <w:gridSpan w:val="28"/>
            <w:shd w:val="clear" w:color="auto" w:fill="CCEEFF"/>
          </w:tcPr>
          <w:p>
            <w:pPr>
              <w:spacing w:after="0" w:line="182" w:lineRule="exact"/>
              <w:rPr>
                <w:sz w:val="20"/>
                <w:szCs w:val="20"/>
                <w:color w:val="auto"/>
              </w:rPr>
            </w:pPr>
            <w:r>
              <w:rPr>
                <w:rFonts w:ascii="Arial" w:cs="Arial" w:eastAsia="Arial" w:hAnsi="Arial"/>
                <w:sz w:val="18"/>
                <w:szCs w:val="18"/>
                <w:color w:val="0000EE"/>
              </w:rPr>
              <w:t>ABOUT THIS PROSPECTUS</w:t>
            </w:r>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BASIS OF PRESENTATION</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MARKET AND INDUSTRY DATA</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CAUTIONARY STATEMENT REGARDING FORWARD-LOOKING STATEMENTS</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8"/>
              </w:rPr>
              <w:t>v</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SUMMARY</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RISK FACTORS</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USE OF PROCEEDS</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DIVIDEND POLICY</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9"/>
              </w:rPr>
              <w:t>35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UNAUDITED PRO FORMA CONDENSED COMBINED FINANCIAL INFORMATION</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26"/>
          </w:tcPr>
          <w:p>
            <w:pPr>
              <w:spacing w:after="0" w:line="176" w:lineRule="exact"/>
              <w:rPr>
                <w:sz w:val="20"/>
                <w:szCs w:val="20"/>
                <w:color w:val="auto"/>
              </w:rPr>
            </w:pPr>
            <w:r>
              <w:rPr>
                <w:rFonts w:ascii="Arial" w:cs="Arial" w:eastAsia="Arial" w:hAnsi="Arial"/>
                <w:sz w:val="18"/>
                <w:szCs w:val="18"/>
                <w:color w:val="0000EE"/>
                <w:w w:val="98"/>
              </w:rPr>
              <w:t>MANAGEMENT’S DISCUSSION AND ANALYSIS OF FINANCIAL CONDITION AND</w:t>
            </w:r>
          </w:p>
        </w:tc>
        <w:tc>
          <w:tcPr>
            <w:tcW w:w="82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20" w:type="dxa"/>
            <w:vAlign w:val="bottom"/>
            <w:gridSpan w:val="27"/>
          </w:tcPr>
          <w:p>
            <w:pPr>
              <w:spacing w:after="0" w:line="196" w:lineRule="exact"/>
              <w:rPr>
                <w:sz w:val="20"/>
                <w:szCs w:val="20"/>
                <w:color w:val="auto"/>
              </w:rPr>
            </w:pPr>
            <w:r>
              <w:rPr>
                <w:rFonts w:ascii="Arial" w:cs="Arial" w:eastAsia="Arial" w:hAnsi="Arial"/>
                <w:sz w:val="18"/>
                <w:szCs w:val="18"/>
                <w:color w:val="0000EE"/>
              </w:rPr>
              <w:t>RESULTS OF OPERATIONS</w:t>
            </w: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MANAGEMENT</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9"/>
              </w:rPr>
              <w:t>71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EXECUTIVE COMPENSATION</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BENEFICIAL OWNERSHIP OF SECURITIES</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9"/>
              </w:rPr>
              <w:t>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SELLING SECURITYHOLDERS</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CERTAIN RELATIONSHIPS AND RELATED PERSON TRANSACTIONS</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9"/>
              </w:rPr>
              <w:t>87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DESCRIPTION OF CAPITAL STOCK</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2"/>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SHARES ELIGIBLE FOR FUTURE SALE</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3"/>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175"/>
        </w:trPr>
        <w:tc>
          <w:tcPr>
            <w:tcW w:w="750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MATERIAL U.S. FEDERAL INCOME TAX CONSEQUENCES FOR HOLDERS OF CLASS A</w:t>
            </w:r>
          </w:p>
        </w:tc>
        <w:tc>
          <w:tcPr>
            <w:tcW w:w="6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26"/>
            <w:shd w:val="clear" w:color="auto" w:fill="CCEEFF"/>
          </w:tcPr>
          <w:p>
            <w:pPr>
              <w:spacing w:after="0" w:line="196" w:lineRule="exact"/>
              <w:rPr>
                <w:sz w:val="20"/>
                <w:szCs w:val="20"/>
                <w:color w:val="auto"/>
              </w:rPr>
            </w:pPr>
            <w:r>
              <w:rPr>
                <w:rFonts w:ascii="Arial" w:cs="Arial" w:eastAsia="Arial" w:hAnsi="Arial"/>
                <w:sz w:val="18"/>
                <w:szCs w:val="18"/>
                <w:color w:val="0000EE"/>
              </w:rPr>
              <w:t>COMMON STOCK AND WARRANTS</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PLAN OF DISTRIBUTION</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6"/>
              </w:rPr>
              <w:t>112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LEGAL MATTERS</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8"/>
          </w:tcPr>
          <w:p>
            <w:pPr>
              <w:spacing w:after="0" w:line="202" w:lineRule="exact"/>
              <w:rPr>
                <w:sz w:val="20"/>
                <w:szCs w:val="20"/>
                <w:color w:val="auto"/>
              </w:rPr>
            </w:pPr>
            <w:r>
              <w:rPr>
                <w:rFonts w:ascii="Arial" w:cs="Arial" w:eastAsia="Arial" w:hAnsi="Arial"/>
                <w:sz w:val="18"/>
                <w:szCs w:val="18"/>
                <w:color w:val="0000EE"/>
              </w:rPr>
              <w:t>EXPERTS</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6"/>
              </w:rPr>
              <w:t>115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03"/>
        </w:trPr>
        <w:tc>
          <w:tcPr>
            <w:tcW w:w="75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203"/>
        </w:trPr>
        <w:tc>
          <w:tcPr>
            <w:tcW w:w="3040" w:type="dxa"/>
            <w:vAlign w:val="bottom"/>
            <w:tcBorders>
              <w:bottom w:val="single" w:sz="8" w:color="0000EE"/>
            </w:tcBorders>
            <w:gridSpan w:val="18"/>
          </w:tcPr>
          <w:p>
            <w:pPr>
              <w:spacing w:after="0" w:line="202" w:lineRule="exact"/>
              <w:rPr>
                <w:sz w:val="20"/>
                <w:szCs w:val="20"/>
                <w:color w:val="auto"/>
              </w:rPr>
            </w:pPr>
            <w:r>
              <w:rPr>
                <w:rFonts w:ascii="Arial" w:cs="Arial" w:eastAsia="Arial" w:hAnsi="Arial"/>
                <w:sz w:val="18"/>
                <w:szCs w:val="18"/>
                <w:color w:val="0000EE"/>
                <w:w w:val="97"/>
              </w:rPr>
              <w:t>INDEX TO FINANCIAL STATEMENTS</w:t>
            </w:r>
          </w:p>
        </w:tc>
        <w:tc>
          <w:tcPr>
            <w:tcW w:w="4460" w:type="dxa"/>
            <w:vAlign w:val="bottom"/>
            <w:gridSpan w:val="10"/>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8"/>
              </w:rPr>
              <w:t>F-1</w:t>
            </w:r>
          </w:p>
        </w:tc>
      </w:tr>
    </w:tbl>
    <w:p>
      <w:pPr>
        <w:spacing w:after="0" w:line="22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w:t>
      </w:r>
    </w:p>
    <w:p>
      <w:pPr>
        <w:spacing w:after="0" w:line="11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color w:val="auto"/>
        </w:rPr>
        <w:t xml:space="preserve">For Investors Outside the United States: </w:t>
      </w:r>
      <w:r>
        <w:rPr>
          <w:rFonts w:ascii="Arial" w:cs="Arial" w:eastAsia="Arial" w:hAnsi="Arial"/>
          <w:sz w:val="17"/>
          <w:szCs w:val="17"/>
          <w:color w:val="auto"/>
        </w:rPr>
        <w:t>We and the selling securityholders are offering to sell, and seeking</w:t>
      </w:r>
      <w:r>
        <w:rPr>
          <w:rFonts w:ascii="Arial" w:cs="Arial" w:eastAsia="Arial" w:hAnsi="Arial"/>
          <w:sz w:val="17"/>
          <w:szCs w:val="17"/>
          <w:b w:val="1"/>
          <w:bCs w:val="1"/>
          <w:color w:val="auto"/>
        </w:rPr>
        <w:t xml:space="preserve"> </w:t>
      </w:r>
      <w:r>
        <w:rPr>
          <w:rFonts w:ascii="Arial" w:cs="Arial" w:eastAsia="Arial" w:hAnsi="Arial"/>
          <w:sz w:val="17"/>
          <w:szCs w:val="17"/>
          <w:color w:val="auto"/>
        </w:rPr>
        <w:t>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This prospectus is part of a registration statement on Form S-1 that we filed with the SEC using the “shelf” registration process. Under the shelf registration process, the selling securityholders may, from time to time, sell the securities offered by them described in this prospectus through any means described in the section titled “Plan of Distribution.”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 This prospectus also relates to the issuance by us of shares of Class A Common Stock from time to time upon the occurrence of the events described in this prospectus.</w:t>
      </w:r>
    </w:p>
    <w:p>
      <w:pPr>
        <w:spacing w:after="0" w:line="11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of which this prospectus forms a part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of which this prospectus forms a part together with the additional information to which we refer you in the sections of this prospectus titled “Where You Can Find More Information.”</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under “Where You Can Find More Information.”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were incorporated on January 27, 2021 as a Cayman Islands exempted company under the name Inflection Point Acquisition Corp. for the purpose of effecting a merger, share exchange, asset acquisition, share purchase, reorganization or similar business combination with one or more businesses. Following the consummation of the Transactions, we were renamed “Intuitive Machines, Inc.” and we act as the managing member of Intuitive Machines OpCo. Unless otherwise indicated, the financial information included herein is that of Intuitive Machines OpCo. We are a holding company, and, accordingly, all of our assets are held directly by, and all of our operations are conducted through, Intuitive Machines OpCo, and our only direct asset consists of Intuitive Machines OpCo Common Units. As the managing member of Intuitive Machines OpCo, we have all management powers over, and full control of the business of Intuitive Machines OpCo, including the power to take all action we deem necessary, appropriate, advisable, incidental, or convenient to accomplish the purposes of Intuitive Machines OpCo set forth in its operating agreement (the “A&amp;R Operating Agreement”), except with respect to actions that require the approval of the members of Intuitive Machines OpCo or as otherwise provided in the A&amp;R Operating Agreement. Accordingly, the financial statements of Intuitive Machines OpCo for periods following the consummation of the Transactions will be prepared on a consolidated basis with ours. We may not be removed as managing member of Intuitive Machines OpCo.</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to a year refer to our fiscal years ended on December 31 of the specified year.</w:t>
      </w:r>
    </w:p>
    <w:p>
      <w:pPr>
        <w:spacing w:after="0" w:line="15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Unless the context otherwise requires, references in this prospectus to the “Company,” “Intuitive Machines,” “Intuitive Machines, Inc.,” “we,” “us,” or “our” refer to the business of Intuitive Machines OpCo, which became the business of Intuitive Machines, Inc. and its subsidiaries following the consummation of the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This prospectus contains statements that are forward-looking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prospectus, including, but not limited to:</w:t>
      </w:r>
    </w:p>
    <w:p>
      <w:pPr>
        <w:spacing w:after="0" w:line="124" w:lineRule="exact"/>
        <w:rPr>
          <w:sz w:val="20"/>
          <w:szCs w:val="20"/>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market our products and services, and to develop additional products and product offerings;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 including through acquisitions;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and protect our reputation for trustworthiness and independence;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develop, and retain capable management and other key personnel;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or weakened conditions in the financial sector, global financial markets, and global economy;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and adapt to changes in technology;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successfully identify and integrate acquisitions, or dispose of assets and businesses;</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and to comply with restrictive covenants related to long-term indebtedness;</w:t>
      </w:r>
    </w:p>
    <w:p>
      <w:pPr>
        <w:spacing w:after="0" w:line="102" w:lineRule="exact"/>
        <w:rPr>
          <w:rFonts w:ascii="Arial" w:cs="Arial" w:eastAsia="Arial" w:hAnsi="Arial"/>
          <w:sz w:val="18"/>
          <w:szCs w:val="18"/>
          <w:color w:val="auto"/>
        </w:rPr>
      </w:pPr>
    </w:p>
    <w:p>
      <w:pPr>
        <w:ind w:left="1320" w:right="459" w:hanging="434"/>
        <w:spacing w:after="0" w:line="342" w:lineRule="auto"/>
        <w:tabs>
          <w:tab w:leader="none" w:pos="1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 effective system of internal control over financial reporting, and to address and remediate existing material weaknesses in our internal control over financial reporting;</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protect our intellectual property;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of this prospectus entitled “Risk Factors.”</w:t>
      </w:r>
    </w:p>
    <w:p>
      <w:pPr>
        <w:spacing w:after="0" w:line="15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9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2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Statement Regarding Forward-Looking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u w:val="single" w:color="auto"/>
          <w:color w:val="auto"/>
        </w:rPr>
        <w:t>Our Vision:</w:t>
      </w:r>
      <w:r>
        <w:rPr>
          <w:rFonts w:ascii="Arial" w:cs="Arial" w:eastAsia="Arial" w:hAnsi="Arial"/>
          <w:sz w:val="18"/>
          <w:szCs w:val="18"/>
          <w:color w:val="auto"/>
        </w:rPr>
        <w:t xml:space="preserve"> A diversified space company initially focused on establishing the lunar infrastructure and basis for commerce to inform and sustain human presence off Earth.</w:t>
      </w:r>
    </w:p>
    <w:p>
      <w:pPr>
        <w:spacing w:after="0" w:line="8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u w:val="single" w:color="auto"/>
          <w:color w:val="auto"/>
        </w:rPr>
        <w:t>Right Now:</w:t>
      </w:r>
      <w:r>
        <w:rPr>
          <w:rFonts w:ascii="Arial" w:cs="Arial" w:eastAsia="Arial" w:hAnsi="Arial"/>
          <w:sz w:val="18"/>
          <w:szCs w:val="18"/>
          <w:color w:val="auto"/>
        </w:rPr>
        <w:t xml:space="preserve"> Servicing the National Aeronautics and Space Administration (“NASA”) and a worldwide set of commercial payload customers, working to provide access to the lunar surface, cislunar space and data transmission for science, technology, and infrastructure.</w:t>
      </w:r>
    </w:p>
    <w:p>
      <w:pPr>
        <w:spacing w:after="0" w:line="116"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u w:val="single" w:color="auto"/>
          <w:color w:val="auto"/>
        </w:rPr>
        <w:t>Tomorrow:</w:t>
      </w:r>
      <w:r>
        <w:rPr>
          <w:rFonts w:ascii="Arial" w:cs="Arial" w:eastAsia="Arial" w:hAnsi="Arial"/>
          <w:sz w:val="18"/>
          <w:szCs w:val="18"/>
          <w:color w:val="auto"/>
        </w:rPr>
        <w:t xml:space="preserve"> Working to provide a thriving, diverse lunar economy, creating new opportunities and markets to enable on-orbit applications, a permanent presence on the Moon, and expand the commercial space exploration marketplace.</w:t>
      </w:r>
    </w:p>
    <w:p>
      <w:pPr>
        <w:spacing w:after="0" w:line="116" w:lineRule="exact"/>
        <w:rPr>
          <w:sz w:val="20"/>
          <w:szCs w:val="20"/>
          <w:color w:val="auto"/>
        </w:rPr>
      </w:pPr>
    </w:p>
    <w:p>
      <w:pPr>
        <w:jc w:val="both"/>
        <w:ind w:left="540" w:right="559"/>
        <w:spacing w:after="0" w:line="268" w:lineRule="auto"/>
        <w:rPr>
          <w:sz w:val="20"/>
          <w:szCs w:val="20"/>
          <w:color w:val="auto"/>
        </w:rPr>
      </w:pPr>
      <w:r>
        <w:rPr>
          <w:rFonts w:ascii="Arial" w:cs="Arial" w:eastAsia="Arial" w:hAnsi="Arial"/>
          <w:sz w:val="17"/>
          <w:szCs w:val="17"/>
          <w:color w:val="auto"/>
        </w:rPr>
        <w:t>We are working to provide access to the lunar surface and collect and transmit cislunar data for science, technology, and infrastructure purposes. As of December 31, 2022 we are one of a select few companies servicing NASA and a worldwide set of commercial payload customers. We believe we have a strong position with a first mover advantage, as evidenced by three Commercial Lunar Payload Services (“CLPS”) awards to date, more than any of our competitors as of December 31, 2022. Intuitive Machine’s Nova-C lander is intended to become the first U.S. vehicle to softly land on the lunar surface since 1972 and will become the first object to land at the lunar South pole in human history. The lander is capable of carrying up to 130 kilograms of cargo and is designed to execute numerous experiments and technology demonstrations to the lunar surface in 2023 under the IM-1 missions. Our goal is for these missions to be followed up by IM-2, which will continue to execute experiments and technology demonstrations, and IM-3, our third CLPS award which is expected to land at Reiner Gamma. These missions, along with additional expeditions, are in partnership with NASA, Nokia Corporation, SpaceFlight Inc., Columbia Sportswear Company, Aegis Aerospace, Inc. and other commercial players.</w:t>
      </w:r>
    </w:p>
    <w:p>
      <w:pPr>
        <w:spacing w:after="0" w:line="105"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offer our customers the flexibility needed to pioneer a thriving and diverse lunar economy designed to enable a permanent presence in lunar orbit and on the lunar surface.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Transactions</w:t>
      </w:r>
    </w:p>
    <w:p>
      <w:pPr>
        <w:spacing w:after="0" w:line="162" w:lineRule="exact"/>
        <w:rPr>
          <w:sz w:val="20"/>
          <w:szCs w:val="20"/>
          <w:color w:val="auto"/>
        </w:rPr>
      </w:pPr>
    </w:p>
    <w:p>
      <w:pPr>
        <w:jc w:val="both"/>
        <w:ind w:left="540" w:right="559"/>
        <w:spacing w:after="0" w:line="253" w:lineRule="auto"/>
        <w:rPr>
          <w:sz w:val="20"/>
          <w:szCs w:val="20"/>
          <w:color w:val="auto"/>
        </w:rPr>
      </w:pPr>
      <w:r>
        <w:rPr>
          <w:rFonts w:ascii="Arial" w:cs="Arial" w:eastAsia="Arial" w:hAnsi="Arial"/>
          <w:sz w:val="18"/>
          <w:szCs w:val="18"/>
          <w:color w:val="auto"/>
        </w:rPr>
        <w:t>We entered into that certain Business Combination Agreement, dated as of September 16, 2022 by and between IPAX and Intuitive Machines OpCo. On February 10, 2023, as contemplated by the Business Combination Agreement and described in the section titled “The Business Combination Proposal” of the final prospectus and definitive proxy statement of IPAX, dated January 24, 2023 (the “Proxy Statement/Prospectus”) and filed with the SEC on January 24, 2023, IPAX filed a notice of deregistration with the Cayman Islands Registrar of Companies, together with the necessary accompanying documents, and filed the certificate of incorporation (the “Certificate of Incorporation”) and a certificate of corporate domestication with the Secretary of State of the State of Delaware, pursuant to which IPAX was domesticated and continued as a Delaware corporation, changing its name to “Intuitive Machines, Inc.” (the “Domestication”).</w:t>
      </w:r>
    </w:p>
    <w:p>
      <w:pPr>
        <w:spacing w:after="0" w:line="127"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Immediately prior to the Domestication, each of the then issued and outstanding Class B ordinary shares of IPAX, par value $0.0001 per share (each, a “Cayman Class B Share”), converted automatically, on a one-for-one basis, into a Class A ordinary share of IPAX, par value $0.0001 per share (each, a “Cayman Class A Share”). As a result of and upon the effective time of the Domestication, among other things, (1) each of the then issued and outstanding Cayman Class A Shares automatically converted, on a one-for-one basis, into a share of Class A Common Stock; (2) each of the then issued and outstanding warrants representing the right to purchase one Cayman Class A Share automatically converted into a warrant to acquire one share of Class A Common Stock pursuant to the related warrant agreement (each warrant, a “Public Warrant”); and</w:t>
      </w:r>
    </w:p>
    <w:p>
      <w:pPr>
        <w:spacing w:after="0" w:line="1" w:lineRule="exact"/>
        <w:rPr>
          <w:sz w:val="20"/>
          <w:szCs w:val="20"/>
          <w:color w:val="auto"/>
        </w:rPr>
      </w:pPr>
    </w:p>
    <w:p>
      <w:pPr>
        <w:ind w:left="540" w:right="559" w:firstLine="4"/>
        <w:spacing w:after="0" w:line="260" w:lineRule="auto"/>
        <w:tabs>
          <w:tab w:leader="none" w:pos="796"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then issued and outstanding units of IPAX were cancelled and each holder thereof was entitled to one share of Class A Common Stock and one-half of one Public Warrant per unit.</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839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83" w:lineRule="auto"/>
        <w:rPr>
          <w:sz w:val="20"/>
          <w:szCs w:val="20"/>
          <w:color w:val="auto"/>
        </w:rPr>
      </w:pPr>
      <w:r>
        <w:rPr>
          <w:rFonts w:ascii="Arial" w:cs="Arial" w:eastAsia="Arial" w:hAnsi="Arial"/>
          <w:sz w:val="16"/>
          <w:szCs w:val="16"/>
          <w:color w:val="auto"/>
        </w:rPr>
        <w:t>On February 13, 2023 (the “Closing Date”), as contemplated by the Business Combination Agreement and described in the Proxy Statement/Prospectus, we consummated the business combination with Intuitive Machines OpCo (the “Business Combination”), whereby (i) Intuitive Machines OpCo appointed us as its managing member, (ii) we issued to certain existing members of Intuitive Machines OpCo prior to the Business Combination, a number of shares of Class B Common Stock, having one vote per share and no economic rights or Class C Common Stock, having three votes per share and no economic rights, in each case, in exchange for payment from such Intuitive Machines Members of a per-share price equal to the par value per share of such stock, and equal to the number of Intuitive Machines OpCo Common Units held by such person as of and on the Closing Date and (iii) we contributed to Intuitive Machines OpCo an amount in cash (the “Available Closing Cash”) equal to the sum of (without duplication): (a) all amounts in the trust account of IPAX, less (x) amounts required for the redemptions of Cayman Class A Shares by stockholders of IPAX prior to the Business Combination and (y) transaction expenses of Intuitive Machines OpCo and IPAX, plus (b) the aggregate proceeds actually received by IPAX from the Securities Purchase Agreement (the “Securities Purchase Agreement”) with certain investors (collectively, the “Series A Investors”), pursuant to which the Series A Investors purchased $26.0 million (the “Series A Investment”) of 10% Series A Cumulative Convertible Preferred Stock, par value $0.0001 per share, of Intuitive Machines, Inc. (the “Series A Preferred Stock”) and warrants exercisable to purchase shares of Class A Common Stock at an initial exercise price of $15.00 (the “Preferred Investor Warrants”), plus (c) all other cash and cash equivalents of IPAX, determined in accordance with GAAP as of 11:59 p.m. Eastern Time on February 12, 2023, plus (d) the Founder Subscription Amount (as defined in the Business Combination Agreement) in exchange for the issuance by Intuitive Machines OpCo to us of (w) a number of Intuitive Machines OpCo Common Units equal to the number of shares of Class A Common Stock issued and outstanding as of the Closing Date, (x) a number of warrants of Intuitive Machines OpCo (the “Intuitive Machines OpCo Warrants”) equal to the number of Public Warrants issued and outstanding as of the Closing Date, (y) a number of Series A preferred units of Intuitive Machines OpCo (the “Series A Preferred Units”) equal to the number of shares of Series A Preferred Stock issued and outstanding as of the Closing Date and issued to the Series A Investors and (z) a number of Intuitive Machines OpCo preferred investor warrants (the “Intuitive Machines OpCo Preferred Investor Warrants”) equal to the number of Preferred Investor Warrants delivered to the Series A Investors on the Closing Date (together with the Domestication, the “Transactions”).</w:t>
      </w:r>
    </w:p>
    <w:p>
      <w:pPr>
        <w:spacing w:after="0" w:line="121"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6"/>
          <w:szCs w:val="16"/>
          <w:color w:val="auto"/>
        </w:rPr>
        <w:t>After giving effect to the Transactions, there were 14,748,598 shares of Class A Common Stock, 10,566 shares of Class B Common Stock and 68,140,188 shares of Class C Common Stock issued and outstanding. Upon the consummation of the Transactions, as of the open of business on February 13, 2023, IPAX’s ordinary shares, warrants and units ceased trading on Nasdaq, and our Class A Common Stock and Public Warrants began trading on Nasdaq on February 14, 2023 under the symbols “LUNR” and “LUNRW,” respectively. Immediately after giving effect to the consummation of the Transactions, (1) our public stockholders owned approximately 3.2% of our outstanding common stock, (2) members of Intuitive Machines OpCo owned approximately 83.2% of our outstanding common stock and (3) the Sponsor and its related parties collectively owned approximately 13.6% of our outstanding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entitled “Risk Factors” immediately following this prospectus summary,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or Warrants and result in a loss of all or a portion of your investment:</w:t>
      </w:r>
    </w:p>
    <w:p>
      <w:pPr>
        <w:spacing w:after="0" w:line="110" w:lineRule="exact"/>
        <w:rPr>
          <w:sz w:val="20"/>
          <w:szCs w:val="20"/>
          <w:color w:val="auto"/>
        </w:rPr>
      </w:pPr>
    </w:p>
    <w:p>
      <w:pPr>
        <w:jc w:val="both"/>
        <w:ind w:left="1400" w:right="559" w:hanging="424"/>
        <w:spacing w:after="0" w:line="263"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 successful depends upon the efforts of our Board of Directors (our “Board”) and our key personnel and the loss of such persons could negatively impact the operations and profitability of our business.</w:t>
      </w:r>
    </w:p>
    <w:p>
      <w:pPr>
        <w:spacing w:after="0" w:line="116"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securities may be delisted from Nasdaq from trading on its exchange, which could limit investors’ ability to make transactions in our securities and subject us to additional trading restrictions.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77"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it difficult to evaluate our future prospects and the risks and challenges we may encounter.</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and our business, results of operations, and financial condition could be harmed.</w:t>
      </w:r>
    </w:p>
    <w:p>
      <w:pPr>
        <w:spacing w:after="0" w:line="102" w:lineRule="exact"/>
        <w:rPr>
          <w:rFonts w:ascii="Arial" w:cs="Arial" w:eastAsia="Arial" w:hAnsi="Arial"/>
          <w:sz w:val="18"/>
          <w:szCs w:val="18"/>
          <w:color w:val="auto"/>
        </w:rPr>
      </w:pPr>
    </w:p>
    <w:p>
      <w:pPr>
        <w:ind w:left="1400" w:right="559" w:hanging="424"/>
        <w:spacing w:after="0" w:line="342" w:lineRule="auto"/>
        <w:tabs>
          <w:tab w:leader="none" w:pos="1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Unsatisfactory safety performance of our spaceflight systems or security incidents at our facilities could have a material adverse effect on our business, financial condition and results of operation.</w:t>
      </w:r>
    </w:p>
    <w:p>
      <w:pPr>
        <w:spacing w:after="0" w:line="56" w:lineRule="exact"/>
        <w:rPr>
          <w:rFonts w:ascii="Arial" w:cs="Arial" w:eastAsia="Arial" w:hAnsi="Arial"/>
          <w:sz w:val="16"/>
          <w:szCs w:val="16"/>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for commercial spaceflight has not been established with precision. It is still emerging and may not achieve the growth potential we expect or may grow more slowly than expected.</w:t>
      </w:r>
    </w:p>
    <w:p>
      <w:pPr>
        <w:spacing w:after="0" w:line="102" w:lineRule="exact"/>
        <w:rPr>
          <w:rFonts w:ascii="Arial" w:cs="Arial" w:eastAsia="Arial" w:hAnsi="Arial"/>
          <w:sz w:val="18"/>
          <w:szCs w:val="18"/>
          <w:color w:val="auto"/>
        </w:rPr>
      </w:pPr>
    </w:p>
    <w:p>
      <w:pPr>
        <w:jc w:val="both"/>
        <w:ind w:left="1400" w:right="559" w:hanging="424"/>
        <w:spacing w:after="0" w:line="257"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a total loss of our technology and products and our customers’ payloads if there is an accident on launch or during the journey into space, and any insurance we have may not be adequate to cover our loss. Also, due to the inherent risks associated with commercial spaceflight, there is the possibility that any accident or catastrophe could lead to the loss of human life or a medical emergency.</w:t>
      </w:r>
    </w:p>
    <w:p>
      <w:pPr>
        <w:spacing w:after="0" w:line="120"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suppliers for certain materials and supplied components. We may not be able to obtain sufficient materials or supplied components to meet our manufacturing and operating needs, or obtain such materials on favorable terms.</w:t>
      </w:r>
    </w:p>
    <w:p>
      <w:pPr>
        <w:spacing w:after="0" w:line="116" w:lineRule="exact"/>
        <w:rPr>
          <w:rFonts w:ascii="Arial" w:cs="Arial" w:eastAsia="Arial" w:hAnsi="Arial"/>
          <w:sz w:val="18"/>
          <w:szCs w:val="18"/>
          <w:color w:val="auto"/>
        </w:rPr>
      </w:pPr>
    </w:p>
    <w:p>
      <w:pPr>
        <w:jc w:val="both"/>
        <w:ind w:left="1400" w:right="559" w:hanging="424"/>
        <w:spacing w:after="0" w:line="296" w:lineRule="auto"/>
        <w:tabs>
          <w:tab w:leader="none" w:pos="1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spacing w:after="0" w:line="80" w:lineRule="exact"/>
        <w:rPr>
          <w:rFonts w:ascii="Arial" w:cs="Arial" w:eastAsia="Arial" w:hAnsi="Arial"/>
          <w:sz w:val="16"/>
          <w:szCs w:val="16"/>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stringent U.S. export and import control laws and regulations and U.S. economic sanctions and trade control laws and regulations.</w:t>
      </w:r>
    </w:p>
    <w:p>
      <w:pPr>
        <w:spacing w:after="0" w:line="102" w:lineRule="exact"/>
        <w:rPr>
          <w:rFonts w:ascii="Arial" w:cs="Arial" w:eastAsia="Arial" w:hAnsi="Arial"/>
          <w:sz w:val="18"/>
          <w:szCs w:val="18"/>
          <w:color w:val="auto"/>
        </w:rPr>
      </w:pPr>
    </w:p>
    <w:p>
      <w:pPr>
        <w:jc w:val="both"/>
        <w:ind w:left="1400" w:right="559" w:hanging="424"/>
        <w:spacing w:after="0" w:line="279" w:lineRule="auto"/>
        <w:tabs>
          <w:tab w:leader="none" w:pos="139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spacing w:after="0" w:line="90" w:lineRule="exact"/>
        <w:rPr>
          <w:rFonts w:ascii="Arial" w:cs="Arial" w:eastAsia="Arial" w:hAnsi="Arial"/>
          <w:sz w:val="17"/>
          <w:szCs w:val="17"/>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results may vary significantly from quarter to quarter.</w:t>
      </w:r>
    </w:p>
    <w:p>
      <w:pPr>
        <w:spacing w:after="0" w:line="157" w:lineRule="exact"/>
        <w:rPr>
          <w:rFonts w:ascii="Arial" w:cs="Arial" w:eastAsia="Arial" w:hAnsi="Arial"/>
          <w:sz w:val="18"/>
          <w:szCs w:val="18"/>
          <w:color w:val="auto"/>
        </w:rPr>
      </w:pPr>
    </w:p>
    <w:p>
      <w:pPr>
        <w:jc w:val="both"/>
        <w:ind w:left="1400" w:right="559" w:hanging="424"/>
        <w:spacing w:after="0" w:line="301" w:lineRule="auto"/>
        <w:tabs>
          <w:tab w:leader="none" w:pos="1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principal asset is our interest in Intuitive Machines OpCo, and, accordingly, we will depend on distributions from Intuitive Machines OpCo to pay our taxes and expenses, including payments under the Tax Receivable Agreement, and to pay dividends. Intuitive Machines OpCo’s ability to make such distributions may be subject to various limitations and restrictions.</w:t>
      </w:r>
    </w:p>
    <w:p>
      <w:pPr>
        <w:spacing w:after="0" w:line="76" w:lineRule="exact"/>
        <w:rPr>
          <w:rFonts w:ascii="Arial" w:cs="Arial" w:eastAsia="Arial" w:hAnsi="Arial"/>
          <w:sz w:val="16"/>
          <w:szCs w:val="16"/>
          <w:color w:val="auto"/>
        </w:rPr>
      </w:pPr>
    </w:p>
    <w:p>
      <w:pPr>
        <w:jc w:val="both"/>
        <w:ind w:left="1400" w:right="559" w:hanging="424"/>
        <w:spacing w:after="0" w:line="259"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16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9165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Structure</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diagram below depicts our organizational structure as of immediately following consummation of the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in connection with the Domestication. Intuitive Machines, Inc. is a holding company whose principal assets are the Intuitive Machines OpCo Common Units it holds in Intuitive Machines OpCo.</w:t>
      </w:r>
    </w:p>
    <w:p>
      <w:pPr>
        <w:spacing w:after="0" w:line="9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 xml:space="preserve">Our principal executive office is located at 3700 Bay Area Blvd, Houston, TX 77058. Our telephone number is (281) 520-3703. Our website address is </w:t>
      </w:r>
      <w:r>
        <w:rPr>
          <w:rFonts w:ascii="Arial" w:cs="Arial" w:eastAsia="Arial" w:hAnsi="Arial"/>
          <w:sz w:val="18"/>
          <w:szCs w:val="18"/>
          <w:i w:val="1"/>
          <w:iCs w:val="1"/>
          <w:color w:val="auto"/>
        </w:rPr>
        <w:t>www.intuitivemachines.com</w:t>
      </w:r>
      <w:r>
        <w:rPr>
          <w:rFonts w:ascii="Arial" w:cs="Arial" w:eastAsia="Arial" w:hAnsi="Arial"/>
          <w:sz w:val="18"/>
          <w:szCs w:val="18"/>
          <w:color w:val="auto"/>
        </w:rPr>
        <w:t>. Information contained on our website is not a part of this prospectus, and the inclusion of our website address in this prospectus is an inactive textual reference only.</w:t>
      </w:r>
    </w:p>
    <w:p>
      <w:pPr>
        <w:spacing w:after="0" w:line="119" w:lineRule="exact"/>
        <w:rPr>
          <w:sz w:val="20"/>
          <w:szCs w:val="20"/>
          <w:color w:val="auto"/>
        </w:rPr>
      </w:pPr>
    </w:p>
    <w:p>
      <w:pPr>
        <w:jc w:val="both"/>
        <w:ind w:left="540" w:right="559"/>
        <w:spacing w:after="0" w:line="261"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or </w:t>
      </w:r>
      <w:r>
        <w:rPr>
          <w:rFonts w:ascii="Arial" w:cs="Arial" w:eastAsia="Arial" w:hAnsi="Arial"/>
          <w:sz w:val="19"/>
          <w:szCs w:val="19"/>
          <w:color w:val="auto"/>
          <w:vertAlign w:val="superscript"/>
        </w:rPr>
        <w:t>TM</w:t>
      </w:r>
      <w:r>
        <w:rPr>
          <w:rFonts w:ascii="Arial" w:cs="Arial" w:eastAsia="Arial" w:hAnsi="Arial"/>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48"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20" w:lineRule="exact"/>
        <w:rPr>
          <w:sz w:val="20"/>
          <w:szCs w:val="20"/>
          <w:color w:val="auto"/>
        </w:rPr>
      </w:pPr>
    </w:p>
    <w:p>
      <w:pPr>
        <w:jc w:val="both"/>
        <w:ind w:left="1400" w:right="559" w:hanging="424"/>
        <w:spacing w:after="0" w:line="259"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selected financial data and only two years of related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periodic reports and registration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this prospectus, subject to certain exceptions;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150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61506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(“SOX”);</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w:t>
      </w:r>
    </w:p>
    <w:p>
      <w:pPr>
        <w:spacing w:after="0" w:line="89" w:lineRule="exact"/>
        <w:rPr>
          <w:rFonts w:ascii="Arial" w:cs="Arial" w:eastAsia="Arial" w:hAnsi="Arial"/>
          <w:sz w:val="18"/>
          <w:szCs w:val="18"/>
          <w:color w:val="auto"/>
        </w:rPr>
      </w:pPr>
    </w:p>
    <w:p>
      <w:pPr>
        <w:jc w:val="both"/>
        <w:ind w:left="1400" w:right="559" w:hanging="424"/>
        <w:spacing w:after="0" w:line="259"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19"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44" w:lineRule="exact"/>
        <w:rPr>
          <w:sz w:val="20"/>
          <w:szCs w:val="20"/>
          <w:color w:val="auto"/>
        </w:rPr>
      </w:pPr>
    </w:p>
    <w:p>
      <w:pPr>
        <w:ind w:left="1400" w:right="5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December 31, 2026 (the last day of the fiscal year that follows the fifth anniversary of the completion of IPAX’s initial public offering);</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at least $1.235 billion;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as defined in the U.S. Securities Exchange Act of 1934, as amended (the “Exchange Act”); and</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over a three-year period.</w:t>
      </w:r>
    </w:p>
    <w:p>
      <w:pPr>
        <w:spacing w:after="0" w:line="103"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Class A Common Stock may be different than what you might receive from other public reporting companies in which you hold equity interests.</w:t>
      </w:r>
    </w:p>
    <w:p>
      <w:pPr>
        <w:spacing w:after="0" w:line="104"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90"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116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9116695"/>
                    </a:xfrm>
                    <a:prstGeom prst="rect">
                      <a:avLst/>
                    </a:prstGeom>
                    <a:noFill/>
                  </pic:spPr>
                </pic:pic>
              </a:graphicData>
            </a:graphic>
          </wp:anchor>
        </w:drawing>
      </w:r>
    </w:p>
    <w:p>
      <w:pPr>
        <w:sectPr>
          <w:pgSz w:w="11900" w:h="16838" w:orient="portrait"/>
          <w:cols w:equalWidth="0" w:num="1">
            <w:col w:w="9019"/>
          </w:cols>
          <w:pgMar w:left="1440" w:top="274" w:right="1440" w:bottom="1108" w:gutter="0" w:footer="0" w:header="0"/>
        </w:sectPr>
      </w:pPr>
    </w:p>
    <w:p>
      <w:pPr>
        <w:spacing w:after="0" w:line="200" w:lineRule="exact"/>
        <w:rPr>
          <w:sz w:val="20"/>
          <w:szCs w:val="20"/>
          <w:color w:val="auto"/>
        </w:rPr>
      </w:pP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4940" w:type="dxa"/>
            <w:vAlign w:val="bottom"/>
            <w:gridSpan w:val="2"/>
          </w:tcPr>
          <w:p>
            <w:pPr>
              <w:ind w:left="300"/>
              <w:spacing w:after="0"/>
              <w:rPr>
                <w:sz w:val="20"/>
                <w:szCs w:val="20"/>
                <w:color w:val="auto"/>
              </w:rPr>
            </w:pPr>
            <w:r>
              <w:rPr>
                <w:rFonts w:ascii="Arial" w:cs="Arial" w:eastAsia="Arial" w:hAnsi="Arial"/>
                <w:sz w:val="18"/>
                <w:szCs w:val="18"/>
                <w:b w:val="1"/>
                <w:bCs w:val="1"/>
                <w:color w:val="auto"/>
              </w:rPr>
              <w:t>THE OFFERING</w:t>
            </w:r>
          </w:p>
        </w:tc>
      </w:tr>
      <w:tr>
        <w:trPr>
          <w:trHeight w:val="405"/>
        </w:trPr>
        <w:tc>
          <w:tcPr>
            <w:tcW w:w="29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Intuitive Machines, Inc.</w:t>
            </w:r>
          </w:p>
        </w:tc>
      </w:tr>
      <w:tr>
        <w:trPr>
          <w:trHeight w:val="404"/>
        </w:trPr>
        <w:tc>
          <w:tcPr>
            <w:tcW w:w="2980" w:type="dxa"/>
            <w:vAlign w:val="bottom"/>
          </w:tcPr>
          <w:p>
            <w:pPr>
              <w:spacing w:after="0"/>
              <w:rPr>
                <w:sz w:val="20"/>
                <w:szCs w:val="20"/>
                <w:color w:val="auto"/>
              </w:rPr>
            </w:pPr>
            <w:r>
              <w:rPr>
                <w:rFonts w:ascii="Arial" w:cs="Arial" w:eastAsia="Arial" w:hAnsi="Arial"/>
                <w:sz w:val="18"/>
                <w:szCs w:val="18"/>
                <w:b w:val="1"/>
                <w:bCs w:val="1"/>
                <w:color w:val="auto"/>
              </w:rPr>
              <w:t>Securities Being Registered</w:t>
            </w: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We are registering the resale from time to time of up to</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7"/>
              </w:rPr>
              <w:t>(i) 91,135,338 shares Class A Common Stock, (ii) 6,845,000</w:t>
            </w:r>
          </w:p>
        </w:tc>
      </w:tr>
      <w:tr>
        <w:trPr>
          <w:trHeight w:val="230"/>
        </w:trPr>
        <w:tc>
          <w:tcPr>
            <w:tcW w:w="29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1"/>
              </w:rPr>
              <w:t>Private Placement Warrants and (iii) 1,450,000 Public Warrants.</w:t>
            </w:r>
          </w:p>
        </w:tc>
      </w:tr>
      <w:tr>
        <w:trPr>
          <w:trHeight w:val="350"/>
        </w:trPr>
        <w:tc>
          <w:tcPr>
            <w:tcW w:w="2980" w:type="dxa"/>
            <w:vAlign w:val="bottom"/>
          </w:tcPr>
          <w:p>
            <w:pPr>
              <w:spacing w:after="0"/>
              <w:rPr>
                <w:sz w:val="24"/>
                <w:szCs w:val="24"/>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0"/>
              </w:rPr>
              <w:t>The 91,135,338 shares of Class A Common Stock consists of (a)</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89"/>
              </w:rPr>
              <w:t>an aggregate of 11,981,250 shares of Class A Common Stock by</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2"/>
              </w:rPr>
              <w:t>us to the selling securityholders, (b) up to 68,150,754 shares of</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9"/>
              </w:rPr>
              <w:t>Class A Common Stock in exchange for Intuitive Machines</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7"/>
              </w:rPr>
              <w:t>OpCo Common Units, (c) up to 2,166,667 shares of Class A</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3"/>
              </w:rPr>
              <w:t>Common Stock issuable upon the conversion of 26,000 shares</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1"/>
              </w:rPr>
              <w:t>of Series A Preferred Stock, (d) up to 541,667 shares of Class A</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8"/>
              </w:rPr>
              <w:t>Common Stock issuable upon the exercise of the Preferred</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6"/>
              </w:rPr>
              <w:t>Investor Warrants, (e) 6,845,000 shares of Class A Common</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6"/>
              </w:rPr>
              <w:t>Stock  underlying  the  Private  Placement  Warrants  and  (f)</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8"/>
              </w:rPr>
              <w:t>1,450,000 shares of Class A Common Stock underlying the</w:t>
            </w:r>
          </w:p>
        </w:tc>
      </w:tr>
      <w:tr>
        <w:trPr>
          <w:trHeight w:val="230"/>
        </w:trPr>
        <w:tc>
          <w:tcPr>
            <w:tcW w:w="29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Public Warrants.</w:t>
            </w:r>
          </w:p>
        </w:tc>
      </w:tr>
      <w:tr>
        <w:trPr>
          <w:trHeight w:val="350"/>
        </w:trPr>
        <w:tc>
          <w:tcPr>
            <w:tcW w:w="2980" w:type="dxa"/>
            <w:vAlign w:val="bottom"/>
          </w:tcPr>
          <w:p>
            <w:pPr>
              <w:spacing w:after="0"/>
              <w:rPr>
                <w:sz w:val="24"/>
                <w:szCs w:val="24"/>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7"/>
              </w:rPr>
              <w:t>We are also registering the issuance of (a) up to 68,150,754</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shares of Class A Common Stock in exchange for Intuitive</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0"/>
              </w:rPr>
              <w:t>Machines OpCo Common Units and (b) up to 23,332,500 shares</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6"/>
              </w:rPr>
              <w:t>of  Class  A  Common  Stock  upon  exercise  of  outstanding</w:t>
            </w:r>
          </w:p>
        </w:tc>
      </w:tr>
      <w:tr>
        <w:trPr>
          <w:trHeight w:val="230"/>
        </w:trPr>
        <w:tc>
          <w:tcPr>
            <w:tcW w:w="29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Warrants.</w:t>
            </w:r>
          </w:p>
        </w:tc>
      </w:tr>
      <w:tr>
        <w:trPr>
          <w:trHeight w:val="377"/>
        </w:trPr>
        <w:tc>
          <w:tcPr>
            <w:tcW w:w="2980" w:type="dxa"/>
            <w:vAlign w:val="bottom"/>
          </w:tcPr>
          <w:p>
            <w:pPr>
              <w:spacing w:after="0"/>
              <w:rPr>
                <w:sz w:val="20"/>
                <w:szCs w:val="20"/>
                <w:color w:val="auto"/>
              </w:rPr>
            </w:pPr>
            <w:r>
              <w:rPr>
                <w:rFonts w:ascii="Arial" w:cs="Arial" w:eastAsia="Arial" w:hAnsi="Arial"/>
                <w:sz w:val="18"/>
                <w:szCs w:val="18"/>
                <w:b w:val="1"/>
                <w:bCs w:val="1"/>
                <w:color w:val="auto"/>
              </w:rPr>
              <w:t>Terms of the Offering</w:t>
            </w: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5"/>
              </w:rPr>
              <w:t>The selling securityholders will determine when and how they</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5"/>
              </w:rPr>
              <w:t>will dispose of any shares of Class A Common Stock, Private</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6"/>
              </w:rPr>
              <w:t>Placement Warrants or Public Warrants registered under this</w:t>
            </w:r>
          </w:p>
        </w:tc>
      </w:tr>
      <w:tr>
        <w:trPr>
          <w:trHeight w:val="230"/>
        </w:trPr>
        <w:tc>
          <w:tcPr>
            <w:tcW w:w="29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prospectus for resale.</w:t>
            </w:r>
          </w:p>
        </w:tc>
      </w:tr>
      <w:tr>
        <w:trPr>
          <w:trHeight w:val="350"/>
        </w:trPr>
        <w:tc>
          <w:tcPr>
            <w:tcW w:w="2980" w:type="dxa"/>
            <w:vAlign w:val="bottom"/>
          </w:tcPr>
          <w:p>
            <w:pPr>
              <w:spacing w:after="0"/>
              <w:rPr>
                <w:sz w:val="24"/>
                <w:szCs w:val="24"/>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8"/>
              </w:rPr>
              <w:t>We will issue shares of Class A Common Stock (i) upon the</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4"/>
              </w:rPr>
              <w:t>redemption or exchange of Intuitive Machines OpCo Common</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6"/>
              </w:rPr>
              <w:t>Units pursuant to the terms of the A&amp;R Operating Agreement</w:t>
            </w:r>
          </w:p>
        </w:tc>
      </w:tr>
      <w:tr>
        <w:trPr>
          <w:trHeight w:val="216"/>
        </w:trPr>
        <w:tc>
          <w:tcPr>
            <w:tcW w:w="29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w w:val="94"/>
              </w:rPr>
              <w:t>and (ii) upon exercise of the Warrants pursuant to the terms of</w:t>
            </w:r>
          </w:p>
        </w:tc>
      </w:tr>
      <w:tr>
        <w:trPr>
          <w:trHeight w:val="230"/>
        </w:trPr>
        <w:tc>
          <w:tcPr>
            <w:tcW w:w="29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the Warrant Agreement.</w:t>
            </w:r>
          </w:p>
        </w:tc>
      </w:tr>
      <w:tr>
        <w:trPr>
          <w:trHeight w:val="373"/>
        </w:trPr>
        <w:tc>
          <w:tcPr>
            <w:tcW w:w="2980" w:type="dxa"/>
            <w:vAlign w:val="bottom"/>
          </w:tcPr>
          <w:p>
            <w:pPr>
              <w:spacing w:after="0"/>
              <w:rPr>
                <w:sz w:val="20"/>
                <w:szCs w:val="20"/>
                <w:color w:val="auto"/>
              </w:rPr>
            </w:pPr>
            <w:r>
              <w:rPr>
                <w:rFonts w:ascii="Arial" w:cs="Arial" w:eastAsia="Arial" w:hAnsi="Arial"/>
                <w:sz w:val="18"/>
                <w:szCs w:val="18"/>
                <w:b w:val="1"/>
                <w:bCs w:val="1"/>
                <w:color w:val="auto"/>
              </w:rPr>
              <w:t>Intuitive Machines, Inc. Securities</w:t>
            </w:r>
          </w:p>
        </w:tc>
        <w:tc>
          <w:tcPr>
            <w:tcW w:w="4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47"/>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w w:val="99"/>
              </w:rPr>
              <w:t>Outstanding Before this Offering</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4540" w:type="dxa"/>
            <w:vAlign w:val="bottom"/>
          </w:tcPr>
          <w:p>
            <w:pPr>
              <w:ind w:left="60"/>
              <w:spacing w:after="0"/>
              <w:rPr>
                <w:sz w:val="20"/>
                <w:szCs w:val="20"/>
                <w:color w:val="auto"/>
              </w:rPr>
            </w:pPr>
            <w:r>
              <w:rPr>
                <w:rFonts w:ascii="Arial" w:cs="Arial" w:eastAsia="Arial" w:hAnsi="Arial"/>
                <w:sz w:val="18"/>
                <w:szCs w:val="18"/>
                <w:color w:val="auto"/>
                <w:w w:val="94"/>
              </w:rPr>
              <w:t>14,748,598 shares of Class A Common Stock, representing</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4"/>
              </w:rPr>
              <w:t>approximately 20.9% of the combined voting power of all of</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2"/>
              </w:rPr>
              <w:t>our common stock, 100% of the economic interest in us, and</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2"/>
              </w:rPr>
              <w:t>20.9% of the indirect economic interest in Intuitive Machines</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89"/>
              </w:rPr>
              <w:t>OpCo. 10,566 shares of Class B Common Stock, representing</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6"/>
              </w:rPr>
              <w:t>approximately 0.1% of the combined voting power of all of</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2"/>
              </w:rPr>
              <w:t>our common stock, none of the economic interest in us, and,</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4"/>
              </w:rPr>
              <w:t>together with the related Intuitive Machines OpCo Common</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7"/>
              </w:rPr>
              <w:t>Units, 0.1% of the economic interest in Intuitive Machines</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6"/>
              </w:rPr>
              <w:t>OpCo.  68,140,188  shares  of  Class  C  Common  Stock,</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6"/>
              </w:rPr>
              <w:t>representing approximately 79.0% of the combined voting</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9"/>
              </w:rPr>
              <w:t>power of all of our common stock, none of the economic</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8"/>
              </w:rPr>
              <w:t>interest  in  us,  and,  together  with  the  related  Intuitive</w:t>
            </w:r>
          </w:p>
        </w:tc>
      </w:tr>
      <w:tr>
        <w:trPr>
          <w:trHeight w:val="216"/>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w w:val="99"/>
              </w:rPr>
              <w:t>Machines OpCo Common Units, 79.0% of the economic</w:t>
            </w:r>
          </w:p>
        </w:tc>
      </w:tr>
      <w:tr>
        <w:trPr>
          <w:trHeight w:val="230"/>
        </w:trPr>
        <w:tc>
          <w:tcPr>
            <w:tcW w:w="2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interest in Intuitive Machines OpCo.</w:t>
            </w:r>
          </w:p>
        </w:tc>
      </w:tr>
      <w:tr>
        <w:trPr>
          <w:trHeight w:val="337"/>
        </w:trPr>
        <w:tc>
          <w:tcPr>
            <w:tcW w:w="298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4540" w:type="dxa"/>
            <w:vAlign w:val="bottom"/>
          </w:tcPr>
          <w:p>
            <w:pPr>
              <w:ind w:left="60"/>
              <w:spacing w:after="0"/>
              <w:rPr>
                <w:sz w:val="20"/>
                <w:szCs w:val="20"/>
                <w:color w:val="auto"/>
              </w:rPr>
            </w:pPr>
            <w:r>
              <w:rPr>
                <w:rFonts w:ascii="Arial" w:cs="Arial" w:eastAsia="Arial" w:hAnsi="Arial"/>
                <w:sz w:val="18"/>
                <w:szCs w:val="18"/>
                <w:color w:val="auto"/>
                <w:w w:val="96"/>
              </w:rPr>
              <w:t>26,000 shares of Series A Preferred Stock convertible into</w:t>
            </w:r>
          </w:p>
        </w:tc>
      </w:tr>
      <w:tr>
        <w:trPr>
          <w:trHeight w:val="230"/>
        </w:trPr>
        <w:tc>
          <w:tcPr>
            <w:tcW w:w="2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2,166,667 shares of Class A Common Stock.</w:t>
            </w:r>
          </w:p>
        </w:tc>
      </w:tr>
    </w:tbl>
    <w:p>
      <w:pPr>
        <w:spacing w:after="0" w:line="13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  Two  (2)  Preferred  Investor  Warrants  exercisable  for</w:t>
      </w:r>
    </w:p>
    <w:p>
      <w:pPr>
        <w:spacing w:after="0" w:line="35"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541,667 shares of Class A Common Stock at a price of</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$15.00 per share.</w:t>
      </w:r>
    </w:p>
    <w:p>
      <w:pPr>
        <w:spacing w:after="0" w:line="143" w:lineRule="exact"/>
        <w:rPr>
          <w:sz w:val="20"/>
          <w:szCs w:val="20"/>
          <w:color w:val="auto"/>
        </w:rPr>
      </w:pPr>
    </w:p>
    <w:p>
      <w:pPr>
        <w:ind w:left="4000"/>
        <w:spacing w:after="0"/>
        <w:tabs>
          <w:tab w:leader="none" w:pos="5200" w:val="left"/>
          <w:tab w:leader="none" w:pos="6040" w:val="left"/>
          <w:tab w:leader="none" w:pos="7000" w:val="left"/>
          <w:tab w:leader="none" w:pos="7920" w:val="left"/>
        </w:tabs>
        <w:rPr>
          <w:sz w:val="20"/>
          <w:szCs w:val="20"/>
          <w:color w:val="auto"/>
        </w:rPr>
      </w:pPr>
      <w:r>
        <w:rPr>
          <w:rFonts w:ascii="Arial" w:cs="Arial" w:eastAsia="Arial" w:hAnsi="Arial"/>
          <w:sz w:val="18"/>
          <w:szCs w:val="18"/>
          <w:color w:val="auto"/>
        </w:rPr>
        <w:t>•  23,332,500</w:t>
        <w:tab/>
        <w:t>Warrants</w:t>
        <w:tab/>
        <w:t>(including</w:t>
        <w:tab/>
        <w:t>6,845,000</w:t>
      </w:r>
      <w:r>
        <w:rPr>
          <w:sz w:val="20"/>
          <w:szCs w:val="20"/>
          <w:color w:val="auto"/>
        </w:rPr>
        <w:tab/>
      </w:r>
      <w:r>
        <w:rPr>
          <w:rFonts w:ascii="Arial" w:cs="Arial" w:eastAsia="Arial" w:hAnsi="Arial"/>
          <w:sz w:val="16"/>
          <w:szCs w:val="16"/>
          <w:color w:val="auto"/>
        </w:rPr>
        <w:t>Private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Placement Warrants), each exercisable for one share of</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Class A Common Stock at a price of $11.50 per share.</w:t>
      </w:r>
    </w:p>
    <w:p>
      <w:pPr>
        <w:sectPr>
          <w:pgSz w:w="11900" w:h="16838" w:orient="portrait"/>
          <w:cols w:equalWidth="0" w:num="1">
            <w:col w:w="9019"/>
          </w:cols>
          <w:pgMar w:left="1440" w:top="274" w:right="1440" w:bottom="1108"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08" w:gutter="0" w:footer="0" w:header="0"/>
          <w:type w:val="continuous"/>
        </w:sectPr>
      </w:pPr>
    </w:p>
    <w:bookmarkStart w:id="15" w:name="page16"/>
    <w:bookmarkEnd w:id="15"/>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665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9665335"/>
                    </a:xfrm>
                    <a:prstGeom prst="rect">
                      <a:avLst/>
                    </a:prstGeom>
                    <a:noFill/>
                  </pic:spPr>
                </pic:pic>
              </a:graphicData>
            </a:graphic>
          </wp:anchor>
        </w:drawing>
      </w:r>
    </w:p>
    <w:p>
      <w:pPr>
        <w:sectPr>
          <w:pgSz w:w="11900" w:h="16838" w:orient="portrait"/>
          <w:cols w:equalWidth="0" w:num="1">
            <w:col w:w="9019"/>
          </w:cols>
          <w:pgMar w:left="1440" w:top="274" w:right="1440" w:bottom="244" w:gutter="0" w:footer="0" w:header="0"/>
        </w:sectPr>
      </w:pPr>
    </w:p>
    <w:p>
      <w:pPr>
        <w:spacing w:after="0" w:line="200" w:lineRule="exact"/>
        <w:rPr>
          <w:sz w:val="20"/>
          <w:szCs w:val="20"/>
          <w:color w:val="auto"/>
        </w:rPr>
      </w:pPr>
    </w:p>
    <w:p>
      <w:pPr>
        <w:spacing w:after="0" w:line="206" w:lineRule="exact"/>
        <w:rPr>
          <w:sz w:val="20"/>
          <w:szCs w:val="20"/>
          <w:color w:val="auto"/>
        </w:rPr>
      </w:pPr>
    </w:p>
    <w:p>
      <w:pPr>
        <w:jc w:val="right"/>
        <w:ind w:left="540" w:right="380"/>
        <w:spacing w:after="0" w:line="347" w:lineRule="auto"/>
        <w:rPr>
          <w:sz w:val="20"/>
          <w:szCs w:val="20"/>
          <w:color w:val="auto"/>
        </w:rPr>
      </w:pPr>
      <w:r>
        <w:rPr>
          <w:rFonts w:ascii="Arial" w:cs="Arial" w:eastAsia="Arial" w:hAnsi="Arial"/>
          <w:sz w:val="16"/>
          <w:szCs w:val="16"/>
          <w:b w:val="1"/>
          <w:bCs w:val="1"/>
          <w:color w:val="auto"/>
        </w:rPr>
        <w:t>Intuitive Machines, Inc. Securities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Consequences for Holders of Class A</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220" w:right="559" w:hanging="216"/>
        <w:spacing w:after="0" w:line="301" w:lineRule="auto"/>
        <w:tabs>
          <w:tab w:leader="none" w:pos="2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108,398,519 shares of Class A Common Stock, representing approximately 100% of the combined voting power of all of our common stock and 100% of the economic interest in us (assuming the exercise for cash of all Warrants).</w:t>
      </w:r>
    </w:p>
    <w:p>
      <w:pPr>
        <w:spacing w:after="0" w:line="117" w:lineRule="exact"/>
        <w:rPr>
          <w:sz w:val="20"/>
          <w:szCs w:val="20"/>
          <w:color w:val="auto"/>
        </w:rPr>
      </w:pPr>
    </w:p>
    <w:p>
      <w:pPr>
        <w:jc w:val="both"/>
        <w:ind w:right="579"/>
        <w:spacing w:after="0" w:line="257" w:lineRule="auto"/>
        <w:rPr>
          <w:sz w:val="20"/>
          <w:szCs w:val="20"/>
          <w:color w:val="auto"/>
        </w:rPr>
      </w:pPr>
      <w:r>
        <w:rPr>
          <w:rFonts w:ascii="Arial" w:cs="Arial" w:eastAsia="Arial" w:hAnsi="Arial"/>
          <w:sz w:val="18"/>
          <w:szCs w:val="18"/>
          <w:color w:val="auto"/>
        </w:rPr>
        <w:t>All of the shares of Class A Common Stock, Private Placement Warrants and Public Warrants offered by the selling securityholders will be sold by them for their respective accounts. We will not receive any of the proceeds from these sales.</w:t>
      </w:r>
    </w:p>
    <w:p>
      <w:pPr>
        <w:spacing w:after="0" w:line="80"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The selling securityholders will pay any underwriting fees, discounts, selling commissions, stock transfer taxes, and certain legal expenses incurred by such selling securityholders in disposing of their shares of Class A Common Stock, Private Placement Warrants and Public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6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We will receive the proceeds from any exercise of the Warrants for cash, but not from the issuance of any shares of Class A Common Stock upon exchange of Intuitive Machines OpCo Common Units or the resale of any shares of Class A Common Stock, Private Placement Warrants or Public Warrants by the selling securityholders covered by this prospectus. We intend to use the proceeds received from the exercise of the Warrants, if any, for general corporate purposes, which may include capital expenditures, potential acquisitions, growth opportunities, strategic transactions, and purchases of Intuitive Machines OpCo Common Units from Intuitive Machines Members. However, we have not designated any specific uses and have no current agreement with respect to any acquisition or strategic transaction. See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144"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pacing w:after="0" w:line="392" w:lineRule="exact"/>
        <w:rPr>
          <w:sz w:val="20"/>
          <w:szCs w:val="20"/>
          <w:color w:val="auto"/>
        </w:rPr>
      </w:pPr>
    </w:p>
    <w:p>
      <w:pPr>
        <w:jc w:val="both"/>
        <w:ind w:right="579"/>
        <w:spacing w:after="0" w:line="257" w:lineRule="auto"/>
        <w:rPr>
          <w:sz w:val="20"/>
          <w:szCs w:val="20"/>
          <w:color w:val="auto"/>
        </w:rPr>
      </w:pPr>
      <w:r>
        <w:rPr>
          <w:rFonts w:ascii="Arial" w:cs="Arial" w:eastAsia="Arial" w:hAnsi="Arial"/>
          <w:sz w:val="18"/>
          <w:szCs w:val="18"/>
          <w:color w:val="auto"/>
        </w:rPr>
        <w:t>For a discussion of material U.S. federal income tax consequences that may be relevant to holders of Class A Common Stock and Warrants, see “</w:t>
      </w:r>
      <w:r>
        <w:rPr>
          <w:rFonts w:ascii="Arial" w:cs="Arial" w:eastAsia="Arial" w:hAnsi="Arial"/>
          <w:sz w:val="18"/>
          <w:szCs w:val="18"/>
          <w:i w:val="1"/>
          <w:iCs w:val="1"/>
          <w:color w:val="auto"/>
        </w:rPr>
        <w:t>Material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 for Holders of Class A Common Stock and Warrants</w:t>
      </w: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3540" w:space="240"/>
            <w:col w:w="5239"/>
          </w:cols>
          <w:pgMar w:left="1440" w:top="274" w:right="1440" w:bottom="244" w:gutter="0" w:footer="0" w:header="0"/>
          <w:type w:val="continuous"/>
        </w:sectPr>
      </w:pPr>
    </w:p>
    <w:p>
      <w:pPr>
        <w:ind w:left="540"/>
        <w:spacing w:after="0"/>
        <w:tabs>
          <w:tab w:leader="none" w:pos="376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6"/>
          <w:szCs w:val="16"/>
          <w:color w:val="auto"/>
        </w:rPr>
        <w:t>Our Class A Common Stock and Public Warrants are listed and</w:t>
      </w:r>
    </w:p>
    <w:p>
      <w:pPr>
        <w:spacing w:after="0" w:line="27" w:lineRule="exact"/>
        <w:rPr>
          <w:sz w:val="20"/>
          <w:szCs w:val="20"/>
          <w:color w:val="auto"/>
        </w:rPr>
      </w:pPr>
    </w:p>
    <w:p>
      <w:pPr>
        <w:ind w:left="3780" w:right="559"/>
        <w:spacing w:after="0" w:line="260" w:lineRule="auto"/>
        <w:rPr>
          <w:sz w:val="20"/>
          <w:szCs w:val="20"/>
          <w:color w:val="auto"/>
        </w:rPr>
      </w:pPr>
      <w:r>
        <w:rPr>
          <w:rFonts w:ascii="Arial" w:cs="Arial" w:eastAsia="Arial" w:hAnsi="Arial"/>
          <w:sz w:val="18"/>
          <w:szCs w:val="18"/>
          <w:color w:val="auto"/>
        </w:rPr>
        <w:t>traded on Nasdaq under the symbols “LUNR” and “LUNRW,” respectively.</w:t>
      </w:r>
    </w:p>
    <w:p>
      <w:pPr>
        <w:spacing w:after="0" w:line="19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In this prospectus, unless otherwise indicated, the number of shares of Class A Common Stock outstanding and the other information based thereon reflects 14,748,598 shares of Class A Common Stock outstanding as of March 23, 2023 and does not reflect:</w:t>
      </w:r>
    </w:p>
    <w:p>
      <w:pPr>
        <w:spacing w:after="0" w:line="76" w:lineRule="exact"/>
        <w:rPr>
          <w:sz w:val="20"/>
          <w:szCs w:val="20"/>
          <w:color w:val="auto"/>
        </w:rPr>
      </w:pPr>
    </w:p>
    <w:p>
      <w:pPr>
        <w:jc w:val="both"/>
        <w:ind w:left="1400" w:right="559" w:hanging="424"/>
        <w:spacing w:after="0" w:line="263"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68,140,188 shares of Class A Common Stock issuable upon exchange of 68,140,188 Intuitive Machines OpCo Common Units and the related shares of Class C Common Stock that are held by certain Intuitive Machines Members;</w:t>
      </w:r>
    </w:p>
    <w:p>
      <w:pPr>
        <w:spacing w:after="0" w:line="75"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10,566 shares of Class A Common Stock issuable upon exchange of 10,566 Intuitive Machines OpCo Common Units and the related shares of Class B Common Stock that are held by certain Intuitive Machines Members; or</w:t>
      </w:r>
    </w:p>
    <w:p>
      <w:pPr>
        <w:spacing w:after="0" w:line="75"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12,706,811 shares of Class A Common Stock reserved for future grant or issuance under the Intuitive Machines, Inc. 2023 Long Term Omnibus Incentive Plan (the “Intuitive Machines Incentive Plan”).</w:t>
      </w:r>
    </w:p>
    <w:p>
      <w:pPr>
        <w:sectPr>
          <w:pgSz w:w="11900" w:h="16838" w:orient="portrait"/>
          <w:cols w:equalWidth="0" w:num="1">
            <w:col w:w="9019"/>
          </w:cols>
          <w:pgMar w:left="1440" w:top="274" w:right="1440" w:bottom="244"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244"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287770"/>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UNAUDITED PRO FORMA FINANCIAL AND OTHER DATA</w:t>
      </w:r>
    </w:p>
    <w:p>
      <w:pPr>
        <w:spacing w:after="0" w:line="162"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The following table presents the summary historical consolidated financial and other data for Intuitive Machines and its subsidiaries and the summary unaudited pro forma condensed combined financial data for Intuitive Machines OpCo for the periods and at the dates indicated. Intuitive Machines is a holding company, and its sole material asset is a controlling equity interest in Intuitive Machines OpCo. Intuitive Machines operates and controls all of the business and affairs of Intuitive Machines OpCo and, through Intuitive Machines OpCo and its subsidiaries, conducts our business. Following consummation of the Transactions, Intuitive Machines OpCo is the predecessor of Intuitive Machines for financial reporting purposes. As a result, the consolidated financial statements of Intuitive Machines will recognize the assets and liabilities received in the reorganization at their historical carrying amounts, as reflected in the historical financial statements of Intuitive Machines OpCo. Intuitive Machines will consolidate Intuitive Machines OpCo in its consolidated financial statements and record a non-controlling interest related to the Intuitive Machines Common Units held by the Intuitive Machines Members on its consolidated balance sheet and statement of operations. The summary consolidated statements of operations data and summary consolidated statements of cash flows data presented below for the years ended December 31, 2021 and 2022 and the summary consolidated balance sheet data presented below as of December 31, 2021 and 2022 have been derived from the consolidated financial statements of Intuitive Machines OpCo included elsewhere in this prospectus.</w:t>
      </w:r>
    </w:p>
    <w:p>
      <w:pPr>
        <w:spacing w:after="0" w:line="95"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The summary historical consolidated financial and other data of Intuitive Machines has not been presented because, prior to the consummation of the Transactions, Intuitive Machines was a blank check company with no business transactions or activities, and assets or liabilities, during the periods presented, other than those activities, assets, and liabilities related to its search for a potential initial business combination.</w:t>
      </w:r>
    </w:p>
    <w:p>
      <w:pPr>
        <w:spacing w:after="0" w:line="90"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financial statements of IPAX and related notes thereto, our unaudited consolidated financial statements and related notes thereto, and the unaudited financial statements of IPAX and related notes thereto, each included elsewhere in this prospectus, as well as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Condensed 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the other information appearing elsewhere in this prospectus.</w:t>
      </w:r>
    </w:p>
    <w:p>
      <w:pPr>
        <w:spacing w:after="0" w:line="99"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The summary unaudited pro forma condensed combined financial data of Intuitive Machines presented below have been derived from our unaudited pro forma condensed combined financial statement included elsewhere in this prospectus. The summary unaudited pro forma condensed combined statements of operations data for the year ended December 31, 2022 gives effect to the Transactions as if they had occurred on January 1, 2022.</w:t>
      </w:r>
    </w:p>
    <w:p>
      <w:pPr>
        <w:spacing w:after="0" w:line="107"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color w:val="auto"/>
        </w:rPr>
        <w:t>The summary unaudited pro forma condensed combined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IPAX and Intuitive Machines OpCo have not had any historical relationship prior to the Transactions. Accordingly, no pro forma adjustments were required to eliminate activities between the companies. The financial results may have been different had the companies always been combined.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340" w:type="dxa"/>
            <w:vAlign w:val="bottom"/>
            <w:tcBorders>
              <w:top w:val="single" w:sz="8" w:color="auto"/>
              <w:right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auto"/>
            </w:tcBorders>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980" w:type="dxa"/>
            <w:vAlign w:val="bottom"/>
            <w:tcBorders>
              <w:left w:val="single" w:sz="8" w:color="auto"/>
            </w:tcBorders>
            <w:gridSpan w:val="2"/>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5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85,946</w:t>
            </w:r>
          </w:p>
        </w:tc>
        <w:tc>
          <w:tcPr>
            <w:tcW w:w="12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72,550</w:t>
            </w: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Cost of revenues (excluding depreciation)</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100,307</w:t>
            </w: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General and administrative expense (excluding depreciation)</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80" w:type="dxa"/>
            <w:vAlign w:val="bottom"/>
            <w:tcBorders>
              <w:left w:val="single" w:sz="8" w:color="auto"/>
            </w:tcBorders>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Change in fair value of SAFE agreements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Total other (expense) income, net</w:t>
            </w:r>
          </w:p>
        </w:tc>
        <w:tc>
          <w:tcPr>
            <w:tcW w:w="5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tcBorders>
              <w:left w:val="single" w:sz="8" w:color="auto"/>
            </w:tcBorders>
            <w:gridSpan w:val="2"/>
            <w:vMerge w:val="continue"/>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vMerge w:val="continue"/>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Borders>
              <w:left w:val="single" w:sz="8" w:color="auto"/>
            </w:tcBorders>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Income tax benefit (expense)</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Borders>
              <w:left w:val="single" w:sz="8" w:color="auto"/>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vMerge w:val="restart"/>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unit</w:t>
            </w: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Borders>
              <w:left w:val="single" w:sz="8" w:color="auto"/>
            </w:tcBorders>
            <w:vMerge w:val="continue"/>
          </w:tcPr>
          <w:p>
            <w:pPr>
              <w:spacing w:after="0"/>
              <w:rPr>
                <w:sz w:val="20"/>
                <w:szCs w:val="20"/>
                <w:color w:val="auto"/>
              </w:rPr>
            </w:pPr>
          </w:p>
        </w:tc>
        <w:tc>
          <w:tcPr>
            <w:tcW w:w="49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Diluted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units outstanding</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Basic</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122,501,241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122,500,000</w:t>
            </w: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122,501,241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122,500,000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80" w:type="dxa"/>
            <w:vAlign w:val="bottom"/>
            <w:tcBorders>
              <w:left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Borders>
              <w:right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tcBorders>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980" w:type="dxa"/>
            <w:vAlign w:val="bottom"/>
            <w:tcBorders>
              <w:left w:val="single" w:sz="8" w:color="auto"/>
            </w:tcBorders>
            <w:gridSpan w:val="2"/>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5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(16,568)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Borders>
              <w:left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(16,405)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(3,176)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25,107</w:t>
            </w:r>
          </w:p>
        </w:tc>
        <w:tc>
          <w:tcPr>
            <w:tcW w:w="1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80" w:type="dxa"/>
            <w:vAlign w:val="bottom"/>
            <w:tcBorders>
              <w:left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Borders>
              <w:right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tcBorders>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980" w:type="dxa"/>
            <w:vAlign w:val="bottom"/>
            <w:tcBorders>
              <w:left w:val="single" w:sz="8" w:color="auto"/>
            </w:tcBorders>
            <w:gridSpan w:val="2"/>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67,004</w:t>
            </w:r>
          </w:p>
        </w:tc>
        <w:tc>
          <w:tcPr>
            <w:tcW w:w="12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43,449</w:t>
            </w: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liabilities</w:t>
            </w:r>
          </w:p>
        </w:tc>
        <w:tc>
          <w:tcPr>
            <w:tcW w:w="5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members’ equity</w:t>
            </w:r>
          </w:p>
        </w:tc>
        <w:tc>
          <w:tcPr>
            <w:tcW w:w="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(57,619</w:t>
            </w:r>
          </w:p>
        </w:tc>
        <w:tc>
          <w:tcPr>
            <w:tcW w:w="120" w:type="dxa"/>
            <w:vAlign w:val="bottom"/>
          </w:tcPr>
          <w:p>
            <w:pPr>
              <w:jc w:val="right"/>
              <w:ind w:right="14"/>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(51,844</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Borders>
              <w:left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80" w:type="dxa"/>
            <w:vAlign w:val="bottom"/>
            <w:tcBorders>
              <w:left w:val="single" w:sz="8" w:color="auto"/>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50"/>
        </w:trPr>
        <w:tc>
          <w:tcPr>
            <w:tcW w:w="80" w:type="dxa"/>
            <w:vAlign w:val="bottom"/>
            <w:tcBorders>
              <w:top w:val="single" w:sz="8" w:color="auto"/>
              <w:left w:val="single" w:sz="8" w:color="auto"/>
            </w:tcBorders>
          </w:tcPr>
          <w:p>
            <w:pPr>
              <w:spacing w:after="0"/>
              <w:rPr>
                <w:sz w:val="24"/>
                <w:szCs w:val="24"/>
                <w:color w:val="auto"/>
              </w:rPr>
            </w:pPr>
          </w:p>
        </w:tc>
        <w:tc>
          <w:tcPr>
            <w:tcW w:w="6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80" w:type="dxa"/>
            <w:vAlign w:val="bottom"/>
            <w:tcBorders>
              <w:left w:val="single" w:sz="8" w:color="auto"/>
            </w:tcBorders>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 w:type="dxa"/>
            <w:vAlign w:val="bottom"/>
            <w:tcBorders>
              <w:left w:val="single" w:sz="8" w:color="auto"/>
            </w:tcBorders>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right w:val="single" w:sz="8" w:color="auto"/>
            </w:tcBorders>
          </w:tcPr>
          <w:p>
            <w:pPr>
              <w:spacing w:after="0"/>
              <w:rPr>
                <w:sz w:val="18"/>
                <w:szCs w:val="18"/>
                <w:color w:val="auto"/>
              </w:rPr>
            </w:pPr>
          </w:p>
        </w:tc>
      </w:tr>
      <w:tr>
        <w:trPr>
          <w:trHeight w:val="46"/>
        </w:trPr>
        <w:tc>
          <w:tcPr>
            <w:tcW w:w="6520" w:type="dxa"/>
            <w:vAlign w:val="bottom"/>
            <w:tcBorders>
              <w:left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Summary Unaudited Pro Forma Condensed Combined Statement of Operations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85,946</w:t>
            </w:r>
          </w:p>
        </w:tc>
        <w:tc>
          <w:tcPr>
            <w:tcW w:w="100" w:type="dxa"/>
            <w:vAlign w:val="bottom"/>
            <w:tcBorders>
              <w:right w:val="single" w:sz="8" w:color="auto"/>
            </w:tcBorders>
          </w:tcPr>
          <w:p>
            <w:pPr>
              <w:spacing w:after="0"/>
              <w:rPr>
                <w:sz w:val="21"/>
                <w:szCs w:val="21"/>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(excluding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75,513</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1,072</w:t>
            </w:r>
          </w:p>
        </w:tc>
        <w:tc>
          <w:tcPr>
            <w:tcW w:w="100" w:type="dxa"/>
            <w:vAlign w:val="bottom"/>
            <w:tcBorders>
              <w:right w:val="single" w:sz="8" w:color="auto"/>
            </w:tcBorders>
          </w:tcPr>
          <w:p>
            <w:pPr>
              <w:spacing w:after="0"/>
              <w:rPr>
                <w:sz w:val="21"/>
                <w:szCs w:val="21"/>
                <w:color w:val="auto"/>
              </w:rPr>
            </w:pPr>
          </w:p>
        </w:tc>
      </w:tr>
      <w:tr>
        <w:trPr>
          <w:trHeight w:val="41"/>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 (excluding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14,868</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96,477</w:t>
            </w: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41"/>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SAFE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right w:val="single" w:sz="8" w:color="auto"/>
            </w:tcBorders>
          </w:tcPr>
          <w:p>
            <w:pPr>
              <w:spacing w:after="0"/>
              <w:rPr>
                <w:sz w:val="21"/>
                <w:szCs w:val="21"/>
                <w:color w:val="auto"/>
              </w:rPr>
            </w:pPr>
          </w:p>
        </w:tc>
      </w:tr>
      <w:tr>
        <w:trPr>
          <w:trHeight w:val="41"/>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(16,040)</w:t>
            </w:r>
          </w:p>
        </w:tc>
        <w:tc>
          <w:tcPr>
            <w:tcW w:w="100" w:type="dxa"/>
            <w:vAlign w:val="bottom"/>
            <w:tcBorders>
              <w:right w:val="single" w:sz="8" w:color="auto"/>
            </w:tcBorders>
          </w:tcPr>
          <w:p>
            <w:pPr>
              <w:spacing w:after="0"/>
              <w:rPr>
                <w:sz w:val="21"/>
                <w:szCs w:val="21"/>
                <w:color w:val="auto"/>
              </w:rPr>
            </w:pPr>
          </w:p>
        </w:tc>
      </w:tr>
      <w:tr>
        <w:trPr>
          <w:trHeight w:val="41"/>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83"/>
        </w:trPr>
        <w:tc>
          <w:tcPr>
            <w:tcW w:w="80" w:type="dxa"/>
            <w:vAlign w:val="bottom"/>
            <w:tcBorders>
              <w:left w:val="single" w:sz="8" w:color="auto"/>
            </w:tcBorders>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Net loss per unit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units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21,031,804</w:t>
            </w: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21,031,804</w:t>
            </w:r>
          </w:p>
        </w:tc>
        <w:tc>
          <w:tcPr>
            <w:tcW w:w="100" w:type="dxa"/>
            <w:vAlign w:val="bottom"/>
            <w:tcBorders>
              <w:right w:val="single" w:sz="8" w:color="auto"/>
            </w:tcBorders>
          </w:tcPr>
          <w:p>
            <w:pPr>
              <w:spacing w:after="0"/>
              <w:rPr>
                <w:sz w:val="22"/>
                <w:szCs w:val="22"/>
                <w:color w:val="auto"/>
              </w:rPr>
            </w:pPr>
          </w:p>
        </w:tc>
      </w:tr>
      <w:tr>
        <w:trPr>
          <w:trHeight w:val="364"/>
        </w:trPr>
        <w:tc>
          <w:tcPr>
            <w:tcW w:w="80" w:type="dxa"/>
            <w:vAlign w:val="bottom"/>
            <w:tcBorders>
              <w:left w:val="single" w:sz="8" w:color="auto"/>
            </w:tcBorders>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80" w:type="dxa"/>
            <w:vAlign w:val="bottom"/>
            <w:tcBorders>
              <w:left w:val="single" w:sz="8" w:color="auto"/>
            </w:tcBorders>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 w:type="dxa"/>
            <w:vAlign w:val="bottom"/>
            <w:tcBorders>
              <w:left w:val="single" w:sz="8" w:color="auto"/>
            </w:tcBorders>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right w:val="single" w:sz="8" w:color="auto"/>
            </w:tcBorders>
          </w:tcPr>
          <w:p>
            <w:pPr>
              <w:spacing w:after="0"/>
              <w:rPr>
                <w:sz w:val="18"/>
                <w:szCs w:val="18"/>
                <w:color w:val="auto"/>
              </w:rPr>
            </w:pPr>
          </w:p>
        </w:tc>
      </w:tr>
      <w:tr>
        <w:trPr>
          <w:trHeight w:val="46"/>
        </w:trPr>
        <w:tc>
          <w:tcPr>
            <w:tcW w:w="6520" w:type="dxa"/>
            <w:vAlign w:val="bottom"/>
            <w:tcBorders>
              <w:left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r>
      <w:tr>
        <w:trPr>
          <w:trHeight w:val="257"/>
        </w:trPr>
        <w:tc>
          <w:tcPr>
            <w:tcW w:w="80" w:type="dxa"/>
            <w:vAlign w:val="bottom"/>
            <w:tcBorders>
              <w:left w:val="single" w:sz="8" w:color="auto"/>
            </w:tcBorders>
          </w:tcPr>
          <w:p>
            <w:pPr>
              <w:spacing w:after="0"/>
              <w:rPr>
                <w:sz w:val="22"/>
                <w:szCs w:val="22"/>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Summary Unaudited Pro Forma Condensed Combined Balance Sheet</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161,766</w:t>
            </w:r>
          </w:p>
        </w:tc>
        <w:tc>
          <w:tcPr>
            <w:tcW w:w="100" w:type="dxa"/>
            <w:vAlign w:val="bottom"/>
            <w:tcBorders>
              <w:right w:val="single" w:sz="8" w:color="auto"/>
            </w:tcBorders>
          </w:tcPr>
          <w:p>
            <w:pPr>
              <w:spacing w:after="0"/>
              <w:rPr>
                <w:sz w:val="21"/>
                <w:szCs w:val="21"/>
                <w:color w:val="auto"/>
              </w:rPr>
            </w:pPr>
          </w:p>
        </w:tc>
      </w:tr>
      <w:tr>
        <w:trPr>
          <w:trHeight w:val="40"/>
        </w:trPr>
        <w:tc>
          <w:tcPr>
            <w:tcW w:w="6520" w:type="dxa"/>
            <w:vAlign w:val="bottom"/>
            <w:tcBorders>
              <w:left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202,932</w:t>
            </w:r>
          </w:p>
        </w:tc>
        <w:tc>
          <w:tcPr>
            <w:tcW w:w="100" w:type="dxa"/>
            <w:vAlign w:val="bottom"/>
            <w:tcBorders>
              <w:right w:val="single" w:sz="8" w:color="auto"/>
            </w:tcBorders>
          </w:tcPr>
          <w:p>
            <w:pPr>
              <w:spacing w:after="0"/>
              <w:rPr>
                <w:sz w:val="22"/>
                <w:szCs w:val="22"/>
                <w:color w:val="auto"/>
              </w:rPr>
            </w:pPr>
          </w:p>
        </w:tc>
      </w:tr>
      <w:tr>
        <w:trPr>
          <w:trHeight w:val="243"/>
        </w:trPr>
        <w:tc>
          <w:tcPr>
            <w:tcW w:w="652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members’ equity</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(35,533)</w:t>
            </w:r>
          </w:p>
        </w:tc>
        <w:tc>
          <w:tcPr>
            <w:tcW w:w="100" w:type="dxa"/>
            <w:vAlign w:val="bottom"/>
            <w:tcBorders>
              <w:right w:val="single" w:sz="8" w:color="auto"/>
            </w:tcBorders>
          </w:tcPr>
          <w:p>
            <w:pPr>
              <w:spacing w:after="0"/>
              <w:rPr>
                <w:sz w:val="21"/>
                <w:szCs w:val="21"/>
                <w:color w:val="auto"/>
              </w:rPr>
            </w:pPr>
          </w:p>
        </w:tc>
      </w:tr>
      <w:tr>
        <w:trPr>
          <w:trHeight w:val="402"/>
        </w:trPr>
        <w:tc>
          <w:tcPr>
            <w:tcW w:w="80" w:type="dxa"/>
            <w:vAlign w:val="bottom"/>
            <w:tcBorders>
              <w:left w:val="single" w:sz="8" w:color="auto"/>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88"/>
        </w:trPr>
        <w:tc>
          <w:tcPr>
            <w:tcW w:w="6520" w:type="dxa"/>
            <w:vAlign w:val="bottom"/>
            <w:tcBorders>
              <w:bottom w:val="single" w:sz="8" w:color="auto"/>
            </w:tcBorders>
            <w:gridSpan w:val="2"/>
          </w:tcPr>
          <w:p>
            <w:pPr>
              <w:jc w:val="right"/>
              <w:ind w:right="229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the risks and uncertainties described below, together with all of the other information contained in this prospectus,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be successful depends upon the efforts of our Board and key personnel and the loss of such persons could negatively impact the operations and profitability of our business.</w:t>
      </w:r>
    </w:p>
    <w:p>
      <w:pPr>
        <w:spacing w:after="0" w:line="103"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Our ability to be successful will be dependent upon the efforts of our Board and key personnel. We cannot assure you that, following the consummation of the Transactions, our Board and key personnel will be effective or successful or remain with us. In addition to the other challenges they will face, such individuals may be unfamiliar with the requirements of operating a public company, which could cause our management to expend time and resources becoming familiar with such requirements.</w:t>
      </w:r>
    </w:p>
    <w:p>
      <w:pPr>
        <w:spacing w:after="0" w:line="109"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Further, uncertainty about the effect of the Transactions on our business, employees, customers, third parties with whom we have relationships, and other third parties, including regulators, may have an adverse effect on us. These uncertainties may impair our ability to attract, retain and motivate key personnel. The departure of key employees because of issues related to the uncertainty and difficulty of integration or a desire not to remain with us could have a negative effect on our business, financial condition or results of operations.</w:t>
      </w:r>
    </w:p>
    <w:p>
      <w:pPr>
        <w:spacing w:after="0" w:line="161"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Delaware law and the Certificate of Incorporation and our bylaws (the “By-Laws”) contain certain provisions, including anti-takeover provisions, that limit the ability of stockholders to take certain actions and could delay or discourage takeover attempts that stockholders may consider favorable.</w:t>
      </w:r>
    </w:p>
    <w:p>
      <w:pPr>
        <w:spacing w:after="0" w:line="8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Certificate of Incorporation,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then-current members of the Board or taking other corporate actions, including effecting changes in management. Among other things, the Certificate of Incorporation and By-Laws include provisions regarding:</w:t>
      </w:r>
    </w:p>
    <w:p>
      <w:pPr>
        <w:spacing w:after="0" w:line="97" w:lineRule="exact"/>
        <w:rPr>
          <w:sz w:val="20"/>
          <w:szCs w:val="20"/>
          <w:color w:val="auto"/>
        </w:rPr>
      </w:pPr>
    </w:p>
    <w:p>
      <w:pPr>
        <w:jc w:val="both"/>
        <w:ind w:left="1320" w:right="479" w:hanging="434"/>
        <w:spacing w:after="0" w:line="259"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44"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 and upon the affirmative vote of the holders of at least 662/3% of the total voting power of the then outstanding capital stock;</w:t>
      </w:r>
    </w:p>
    <w:p>
      <w:pPr>
        <w:spacing w:after="0" w:line="116" w:lineRule="exact"/>
        <w:rPr>
          <w:rFonts w:ascii="Arial" w:cs="Arial" w:eastAsia="Arial" w:hAnsi="Arial"/>
          <w:sz w:val="18"/>
          <w:szCs w:val="18"/>
          <w:color w:val="auto"/>
        </w:rPr>
      </w:pPr>
    </w:p>
    <w:p>
      <w:pPr>
        <w:jc w:val="both"/>
        <w:ind w:left="1320" w:right="459" w:hanging="434"/>
        <w:spacing w:after="0" w:line="273" w:lineRule="auto"/>
        <w:tabs>
          <w:tab w:leader="none" w:pos="1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prohibition from and after the time we cease to be a controlled company under applicable Nasdaq rules, on stockholder action by written consent (except for actions by the holders of Class B Common Stock, Class C Common Stock or as required for holders of any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the chairman of the Board or chief executive officer or (ii) for so long as we are a controlled company under applicable Nasdaq rules, by our secretary at the request of any holder of record of at least 25% of the voting power of the issued and outstanding shares of capital stock, which could delay the ability of stockholders to force consideration of a proposal or to take action, including the removal of directors;</w:t>
      </w:r>
    </w:p>
    <w:p>
      <w:pPr>
        <w:spacing w:after="0" w:line="124" w:lineRule="exact"/>
        <w:rPr>
          <w:rFonts w:ascii="Arial" w:cs="Arial" w:eastAsia="Arial" w:hAnsi="Arial"/>
          <w:sz w:val="18"/>
          <w:szCs w:val="18"/>
          <w:color w:val="auto"/>
        </w:rPr>
      </w:pPr>
    </w:p>
    <w:p>
      <w:pPr>
        <w:ind w:left="1320" w:hanging="434"/>
        <w:spacing w:after="0"/>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the Board and stockholder meetings;</w:t>
      </w:r>
    </w:p>
    <w:p>
      <w:pPr>
        <w:spacing w:after="0" w:line="180" w:lineRule="exact"/>
        <w:rPr>
          <w:rFonts w:ascii="Arial" w:cs="Arial" w:eastAsia="Arial" w:hAnsi="Arial"/>
          <w:sz w:val="16"/>
          <w:szCs w:val="16"/>
          <w:color w:val="auto"/>
        </w:rPr>
      </w:pPr>
    </w:p>
    <w:p>
      <w:pPr>
        <w:jc w:val="both"/>
        <w:ind w:left="1320" w:right="459" w:hanging="434"/>
        <w:spacing w:after="0" w:line="273" w:lineRule="auto"/>
        <w:tabs>
          <w:tab w:leader="none" w:pos="1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at least 662/3%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96" w:lineRule="exact"/>
        <w:rPr>
          <w:rFonts w:ascii="Arial" w:cs="Arial" w:eastAsia="Arial" w:hAnsi="Arial"/>
          <w:sz w:val="17"/>
          <w:szCs w:val="17"/>
          <w:color w:val="auto"/>
        </w:rPr>
      </w:pPr>
    </w:p>
    <w:p>
      <w:pPr>
        <w:jc w:val="both"/>
        <w:ind w:left="1320" w:right="479" w:hanging="434"/>
        <w:spacing w:after="0" w:line="263"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16" w:lineRule="exact"/>
        <w:rPr>
          <w:rFonts w:ascii="Arial" w:cs="Arial" w:eastAsia="Arial" w:hAnsi="Arial"/>
          <w:sz w:val="18"/>
          <w:szCs w:val="18"/>
          <w:color w:val="auto"/>
        </w:rPr>
      </w:pPr>
    </w:p>
    <w:p>
      <w:pPr>
        <w:jc w:val="both"/>
        <w:ind w:left="1320" w:right="459" w:hanging="434"/>
        <w:spacing w:after="0" w:line="255"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Board or management.</w:t>
      </w:r>
    </w:p>
    <w:p>
      <w:pPr>
        <w:spacing w:after="0" w:line="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as a Delaware corporation, we are generally be subject to provisions of Delaware law, including the DGCL. Any provision of the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spacing w:after="0" w:line="188"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The Certificate of Incorporation designates a state or federal court located within the State of Delaware as the exclusive forum for certain types of actions and proceedings between us and our stockholders, and the federal district courts as the exclusive forum for Securities Act claims, which could limit our stockholders’ ability to choose the judicial forum for disputes with us or our directors, officers, or employees.</w:t>
      </w:r>
    </w:p>
    <w:p>
      <w:pPr>
        <w:spacing w:after="0" w:line="7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our behalf, (b) any action asserting a claim of breach of a fiduciary duty owed by any current or former director, officer, other employee or stockholder of Intuitive Machines, Inc. to it or its stockholders, (c) any action asserting a claim against us or our officers or directors arising pursuant to any provision of the DGCL,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Intuitive Machines, Inc. governed by the internal affairs doctrine of the law of the State of Delaware or (f) any action asserting an “internal corporate claim” as defined in Section 115 of the DGCL. The Certificate of Incorporation also provides that, unless we consent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Certificate of Incorporation does not address or apply to claims that arise under the Exchange Act; however, Section 27 of the Exchange Act creates exclusive federal jurisdiction over all suits brought to enforce any duty or liability created by the Exchange Act or the rules and regulations thereunder.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w:t>
      </w:r>
    </w:p>
    <w:p>
      <w:pPr>
        <w:spacing w:after="0" w:line="116"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Any person or entity purchasing or otherwise acquiring any interest in any of our securities of will be deemed to have notice of and consented to the provisions of the Certificate of Incorporation described in the preceding paragraph. These exclusive-forum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the Certificate of Incorporation is inapplicable or unenforceable. If a court were to find these exclusive-forum provisions to be inapplicable or unenforceable in an action, we may incur additional costs associated with resolving the dispute in other jurisdictions, which could harm its results of operations.</w:t>
      </w:r>
    </w:p>
    <w:p>
      <w:pPr>
        <w:spacing w:after="0" w:line="101"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We are a “controlled company” within the meaning of the Nasdaq listing standards and, as a result, qualify for, and rely on, exemptions from certain corporate governance requirements. You may not have the same protections afforded to stockholders of companies that are subject to such requirements</w:t>
      </w:r>
      <w:r>
        <w:rPr>
          <w:rFonts w:ascii="Arial" w:cs="Arial" w:eastAsia="Arial" w:hAnsi="Arial"/>
          <w:sz w:val="16"/>
          <w:szCs w:val="16"/>
          <w:b w:val="1"/>
          <w:bCs w:val="1"/>
          <w:color w:val="auto"/>
        </w:rPr>
        <w:t>.</w:t>
      </w:r>
    </w:p>
    <w:p>
      <w:pPr>
        <w:spacing w:after="0" w:line="6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Founders (as defined below) own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the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11"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As permitted for a “controlled company,” a majority of our Board and our Compensation and Nominating and Corporate Governance Committees are not independent. Accordingly, our stockholders may not have the same protections afforded to stockholders of companies that are subject to all of the corporate governance requirements of the Nasdaq rules.</w:t>
      </w:r>
    </w:p>
    <w:p>
      <w:pPr>
        <w:spacing w:after="0" w:line="119"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If at any time we cease to be a “controlled company” under the Nasdaq rules, the Board intends to take any action that may be necessary to comply with the Nasdaq rules, subject to a permitted “phase-in” period.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spacing w:after="0" w:line="18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does not limit the ability of the Sponsor, investment funds affiliated with or advised by Kingstown Capital Management L.P. (the “Kingstown Funds”) or our non-employee directors to compete with us.</w:t>
      </w:r>
    </w:p>
    <w:p>
      <w:pPr>
        <w:spacing w:after="0" w:line="10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Sponsor, the Kingstown Funds and our non-employee directors and their respective affiliates engage in a broad spectrum of activities, including investments in the aerospace industries. In the ordinary course of their business activities, the Sponsor, the Kingstown Funds and our non-employee directors and their respective affiliates may engage in activities where their interests conflict with our interests or those of our stockholders. The Certificate of Incorporation provides that, to the fullest extent permitted by law, none of the Sponsor, the Kingstown Funds, our non-employee directors or any their respective affiliates (including any non-employee director who serves as an officer in both his or her director and officer capacities) will have any duty to refrain from engaging, directly or indirectly, in the same business activities or similar business activities or lines of business in which we operate or otherwise competing with us or any of our affiliates. Further, to the fullest extent permitted by law, no such persons will be liable to us for breach of any fiduciary duty solely by reason of the fact that such person engages in any such activity. The Sponsor, the Kingstown Funds, and their directors and officers may pursue, in their capacities other than as directors of our Board, acquisition opportunities that may be complementary to our business, and, as a result, those acquisition opportunities may not be available to us. In addition, the Sponsor, the Kingstown Funds, and their directors and officers may have an interest in pursuing acquisitions, divestitures and other transactions that, in its judgment, could enhance its investment, even though such transactions might involve risks to you.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our stock price.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w:t>
      </w:r>
    </w:p>
    <w:p>
      <w:pPr>
        <w:spacing w:after="0" w:line="11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Further, our stock price could be subject to significant fluctuation or otherwise be adversely affected by the events, risks and uncertainties of any securities litigation and stockholder activism.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future prospects and the risks and challenges we may encounter.</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a limited operating history in a rapidly evolving industry that may not develop in a manner favorable to our business. While our business has grown rapidly, and much of that growth has occurred in recent periods, the markets for launch services, space systems, spacecraft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and our business, results of operations, and financial condition could be harmed.</w:t>
      </w:r>
    </w:p>
    <w:p>
      <w:pPr>
        <w:spacing w:after="0" w:line="8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In order to achieve the substantial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w:t>
      </w:r>
    </w:p>
    <w:p>
      <w:pPr>
        <w:spacing w:after="0" w:line="90" w:lineRule="exact"/>
        <w:rPr>
          <w:sz w:val="20"/>
          <w:szCs w:val="20"/>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new technologies;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expenses and investments in anticipation of expanded operations;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upgrading the existing operational management and financial reporting systems and team to comply with requirements as a public company;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continued growth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operate in highly competitive markets and generally encounter intense competition to win contracts from many other firms, including lower and mid-tier federal contractors with specialized capabilities and the federal government. Additionally, our markets are facing increasing industry consolidation, resulting in larger competitors who have more market share putting more downward pressure on prices and offering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w:t>
      </w:r>
    </w:p>
    <w:p>
      <w:pPr>
        <w:spacing w:after="0" w:line="10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aerospace technology development activities for these competitors. This market environment may result in increased pressures on our pricing and other competitive factors.</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believe our ability to compete successfully in designing, engineering and manufacturing our products and services at significantly reduced cost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pandemic outbreak of a novel strain of coronavirus, also known as COVID-19, has disrupted and may continue to adversely affect our business operations and our financial results.</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global spread of COVID-19 has disrupted certain aspects of our operations and may adversely impact our business operations and financial results, including our ability to execute on our business strategy and goals. Specifically, the continued spread of COVID-19 and related precautionary measures have resulted in delays or disruptions in our supply chain; delays in the launch or execution of certain of our customers’ projects; and a decrease of our operational efficiency in the development of our systems, products, technologies and services. We continue to take measures within our facilities to ensure the health and safety of our employees, which include the creation of a task force to implement COVID-19 protocols in compliance with federal, state and local</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recommendations, encouraging masking and vaccination, rearranging facilities and work schedules to follow social distancing protocols and undertaking regular and thorough disinfecting of surfaces and tools. However, there can be no assurance that these measures will prevent disruptions due to COVID-19 within our workforce. These measures have also resulted in the reduction of operational efficiency within our impacted workforce, and we expect they will continue to do so.</w:t>
      </w:r>
    </w:p>
    <w:p>
      <w:pPr>
        <w:spacing w:after="0" w:line="12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pandemic has also resulted in, and may continue to result in, significant disruption and volatility of global financial markets. This disruption and volatility may adversely impact our ability to access capital, which could in the future negatively affect our liquidity and capital resources. Given the rapid and evolving nature of the impact of the virus, responsive measures taken by governmental authorities and the continued uncertainty about its impact on society and the global economy, we cannot predict the extent to which it will affect our operations, particularly if these impacts persist or worsen over an extended period of time. To the extent COVID-19 adversely affects our business operations and financial results, it may also have the effect of heightening many of the other risks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w:t>
      </w:r>
    </w:p>
    <w:p>
      <w:pPr>
        <w:spacing w:after="0" w:line="17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Unsatisfactory safety performance of our spaceflight systems or security incidents at our facilities could have a material adverse effect on our business, financial condition and results of operation.</w:t>
      </w:r>
    </w:p>
    <w:p>
      <w:pPr>
        <w:spacing w:after="0" w:line="7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manufacture and operate highly sophisticated spaceflight systems that depend on complex technology. We also work cooperatively with our suppliers, subcontractors, venture partners and other parties (collectively, “Third Parties”). Failures and disruptions or compromises to our or our Third Parties’ systems may be caused by natural disasters, accidents, power disruptions, telecommunications failures, acts of terrorism or war, computer viruses, bugs or vulnerabilities, physical or electronic break-ins, human error, intentional conduct, targeted cyberattacks, or similar events or incidents. While we have built operational processes to ensure that the design, manufacture, performance and servicing of our spaceflight systems meet rigorous performance goals, there can be no assurance that we will not experience operational or process failures and other problems, including through manufacturing or design defects, pilot error, failure of Third Party safeguards, natural disasters, cyber-attacks, or other intentional acts, that could result in potential safety risks. There can be no assurance that our preparations, or those of Third Parties, will be able to prevent any such incidents.</w:t>
      </w:r>
    </w:p>
    <w:p>
      <w:pPr>
        <w:spacing w:after="0" w:line="9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Any actual or perceived safety issues may result in significant reputational harm to our businesses, in addition to tort liability, maintenance, increased safety infrastructure and other costs that may arise. Such issues with our spaceflight systems, facilities, or customer safety could result in delaying or cancelling planned flights, increased regulation or other systemic consequences. Our inability to meet our safety standards or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9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If any of our systems, the systems of any critical Third Parties upon which we rely or our customers’ systems are, or appear to be, breached or if unauthorized processing of customer or Third-Party data is otherwise performed, public perception of our products services may be harmed, and we may lose business and incur losses or liabilities.</w:t>
      </w:r>
    </w:p>
    <w:p>
      <w:pPr>
        <w:spacing w:after="0" w:line="11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Threat actors (such as ransomware groups) are becoming increasingly sophisticated and using tools and techniques that are designed to circumvent security controls, to evade detection and to remove or obfuscate forensic evidence. Our and our Third Parties’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and our Third Parties may be unable to anticipate these techniques or implement adequate preventative measures. While we have implemented what we believe is an appropriate information security program with cybersecurity procedures, practices, and controls, the control systems, cybersecurity program, infrastructure, physical facilities of, and personnel associated with Third Parties that we rely on are beyond our control and we cannot guarantee that our or our Third Parties’ systems and networks have not been breached or that they do not contain exploitable defects or bugs that could result in a breach of or disruption to our systems and networks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systems and networks of Third Parties that support us and our products and services. In addition, our defensive measures, including back-up systems and disaster recovery plans, or those of our critical Third Parties, may fail to timely or effectively anticipate, detect, prevent or allow us to recover from cyberattacks.</w:t>
      </w:r>
    </w:p>
    <w:p>
      <w:pPr>
        <w:spacing w:after="0" w:line="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 Because we do not maintain cybersecurity insurance, these costs will come directly from us and this could harm our financial condition.</w:t>
      </w:r>
    </w:p>
    <w:p>
      <w:pPr>
        <w:spacing w:after="0" w:line="192"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The market for commercial spaceflight has not been established with precision. It is still emerging and may not achieve the growth potential we expect or may grow more slowly than expected.</w:t>
      </w:r>
    </w:p>
    <w:p>
      <w:pPr>
        <w:spacing w:after="0" w:line="7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market for commercial spaceflight has not been established with precision and is still emerging. Our estimates for the total addressable market for commercial spaceflight are based on a number of internal and third-party estimates, including our current backlog, the number of consumers, assumed flight cadence, our ability to leverage our current manufacturing and operational processes and general market conditions. While we believe our assumptions and the data underlying our estimates are reasonable, these assumptions and estimates may not be correct. The conditions supporting our assumptions or estimates may change at any time, thereby reducing the predictive accuracy of these underlying factors. As a result, our estimates of the annual total addressable market for commercial spaceflight, as well as the expected growth rate for the total addressable market for that experience, may prove to be incorrect.</w:t>
      </w:r>
    </w:p>
    <w:p>
      <w:pPr>
        <w:spacing w:after="0" w:line="181"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We may experience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Any such issue could result in the loss of our satellites and lunar landers or cause significant delays in their deployment, which could harm our business, prospects, financial condition and results of operations.</w:t>
      </w:r>
    </w:p>
    <w:p>
      <w:pPr>
        <w:spacing w:after="0" w:line="8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Delays in launching satellites or landers are common and can result from manufacturing delays, unavailability of reliable launch opportunities with suppliers, launch supplier schedule delays, delays in obtaining required regulatory approvals, changes in landing coordinates, updates to mission specifications (including mission scope and objectives) and launch failures. If satellite or lander manufacturing schedules are not met, a launch opportunity may not be available at the time the satellites or landers are ready to be launched. We also share launches with other manufacturers who may cause launch delays that are outside of our control. In addition, launch vehicles or satellite deployment mechanisms may fail, which could result in the destruction of any satellites or landers we have in such launch vehicle or an inability for the satellites or landers to perform their intended mission. Launch failures also result in significant delays in the deployment of satellites or landers because of the need to manufacture replacement parts, which typically takes up to six months or longer, and to obtain another launch opportunity. We also regularly review intended landing coordinates in order to determine the optimal landing site for our landers in consultation with NASA, while also updating mission specifications such as the scope of missions and the mission objectives. 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satellites or landers in the future due to increases in the cost of launches, launch insurance rates and launch-related services. Any launch failure, underperformance, delay, or increase in the cost of satellite or lander launches or related services could have a material adverse effect on our results of operations, business prospects and financial condition.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Customer concentration creates risks for our business.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Over 80% of our revenues each year comes from a small number of customers. To the extent that any large customer fails to meet its purchase commitments, changes its ordering patterns or business strategy, or otherwise reduces its purchases or stops purchasing our products or services, or if we experience difficulty in meeting the demand by these customers for our products or services, our revenues and results of operations could be adversely affected.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We may experience a total loss of our technology and products and our customers’ payloads if there is an accident on launch or during the journey into space, and any insurance we have may not be adequate to cover our loss. Also, due to the inherent risks associated with commercial spaceflight, there is the possibility that any accident or catastrophe could lead to the loss of human life or a medical emergency.</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customers’ payloads. The total or partial loss of one or more of our products or customer payloads could have a material adverse effect on our results of operations and financial condition. For some missions, we can elect to buy launch insurance, which can reduce our monetary losses from the launch failure, but even in this case we will have losses associated with our inability to test our technology in space and delays with further technology development.</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Further, commercial spaceflight is an inherently risky activity that can lead to accidents or catastrophes impacting human life. It is impossible to completely eliminate the potential for human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release, unplanned ignition, explosion, or improper handling of dangerous materials used in our business could disrupt our operations and adversely affect our financial results.</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business operations involve the handling, production and disposition of potentially explosive and ignitable energetic materials and other dangerous chemicals, including materials used in rocket propulsion. The handling, production, 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Any release, unplanned ignition, or explosion could expose us to adverse publicity or liability for damages or cause production delays, any of which could have a material adverse effect on our operating results, financial condition and/or cash flows.</w:t>
      </w:r>
    </w:p>
    <w:p>
      <w:pPr>
        <w:spacing w:after="0" w:line="17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We rely on a limited number of suppliers for certain materials and supplied components. We may not be able to obtain sufficient materials or supplied components to meet our manufacturing and operating needs, or obtain such materials on favorable terms.</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which could impair our ability to fulfill our orders in a timely manner or increase our costs of production.</w:t>
      </w:r>
    </w:p>
    <w:p>
      <w:pPr>
        <w:spacing w:after="0" w:line="11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ability to manufacture our launch vehicles is dependent upon sufficient availability of raw materials and supplied components, which we secure from a limited number of suppliers. Our reliance on suppliers to secure these raw materials and supplied components exposes us to volatility in the prices and availability of these materials. We may not be able to obtain sufficient supply of raw materials or supplied components, on favorable terms or at all, which could result in delays in manufacture of our spacecraft or increased costs.</w:t>
      </w:r>
    </w:p>
    <w:p>
      <w:pPr>
        <w:spacing w:after="0" w:line="10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addition, we have in the past and may in the future experience delays in manufacture or operation as we go through the requalification process with any replacement third-party supplier, as well as the limitations imposed by the International Trade in Arms Regulations administered by the U.S. Department of State (“ITAR”) and other restrictions on transfer of sensitive technologies. Additionally,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timely manner and could cause us to experience cancellations or delays of scheduled launches, customer cancellations or reductions in our prices and margins, any of which could harm our business, financial condition and results of operations.</w:t>
      </w:r>
    </w:p>
    <w:p>
      <w:pPr>
        <w:spacing w:after="0" w:line="18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revenue, results of operations and reputation may be negatively impacted if our products contain defects or fail to operate in the expected manner.</w:t>
      </w:r>
    </w:p>
    <w:p>
      <w:pPr>
        <w:spacing w:after="0" w:line="10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sell complex and technologically advanced products and services, including rocket launch services, mission services, spacecraft and spacecraft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spacecraft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spacecraft components and systems we sell and/or use. Failure to do so could result in lost revenue and damage to our reputation and may adversely affect our ability to win new contract awards.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Rising inflation may materially impact our financial operations or results of operations.</w:t>
      </w:r>
    </w:p>
    <w:p>
      <w:pPr>
        <w:spacing w:after="0" w:line="15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Recently, inflation has increased to its highest level in decades. Inflation in the economy has resulted in, and may continue to result in, higher interest rates and capital costs, shipping costs, supply shortages, increased costs of labor and other similar effects. As a result of inflation, we have and may continue to experience cost increases. Although we may take measures to mitigate the impact of inflation, if these measures are not effective, our business, financial condition and results of operations could be materially adversely affected.</w:t>
      </w:r>
    </w:p>
    <w:p>
      <w:pPr>
        <w:spacing w:after="0" w:line="161"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spacing w:after="0" w:line="95"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Our business is substantially dependent on contracts entered into with customers, in the ordinary course of business. Our budgeted capital expenditures, forecasted growth and strategic plan are based on revenues expected to be generated pursuant to signed contracts existing as of the date such budget, forecast and strategic plan are approved by management and our Board. If a customer were to default or otherwise fail to perform or be delayed in the fulfilment of its contractual obligations to us, we would be required to adjust our budget, forecasts and strategic plans to mitigate the impact of such circumstance,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For instance, due to a change in the landing site of the IM-1 mission and an incremental delay in milestone payments due to a now-resolved technical issue, certain revenue associated with such mission have shifted from 2022 to 2023. While we endeavor to mitigate this risk by assuming potential delays in revenue generation and estimated contract progress when preparing our budget, forecast and strategic plans,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w:t>
      </w:r>
    </w:p>
    <w:p>
      <w:pPr>
        <w:spacing w:after="0" w:line="19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If our prime contractors fail to maintain their relationships with their counterparties and fulfill their contractual obligations, our performance as a subcontractor and our ability to obtain future business could be materially and adversely impacted and our actual results could differ materially and adversely from those anticipated.</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act as a subcontractor to prime contractors on multiple government contracts, including NASA’s JETS Program. Our performance as a subcontractor on a government contract, including the JETS Program, is dependent on the prime contractor’s ability to satisfactorily maintain its relationship with the government and fulfill its obligations under its contracts. A failure by the prime contractors to fulfill their obligations under their contracts could result in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termination of the prime contract or delayed revenue generation and recognition, thereby resulting in either the termination of our subcontract or material modifications to our subcontract. If any significant subcontract is terminated or delayed in this manner, it could cause our actual results to differ materially and adversely from those anticipated.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Compliance with Law, Government Regulation and Litigation</w:t>
      </w:r>
    </w:p>
    <w:p>
      <w:pPr>
        <w:spacing w:after="0" w:line="22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subject to a wide variety of laws and regulations relating to various aspects of our business, including with respect to our launch system operations, employment and labor, health care, tax, data privacy of the personal information we collect and process and data security of the operational and information technology we use, health and safety,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105"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the operation and launch of our spacecraft in the United States require licenses and permits from the Federal Communications Commission (the “FCC”) and the Federal Aviation Administration (the “FAA”), as well as review by other agencies of the U.S. Government, including the Department of Defense, Department of State, and NASA. Such license approvals may include an interagency review of safety, operational, national security, foreign policy implications and international obligations, as well as a review of foreign ownership. Any delays in regulatory actions allowing us to conduct our commercial space operations could adversely affect our ability to operate our business and our financial results.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 how, our business and competitive position may be harmed.</w:t>
      </w:r>
    </w:p>
    <w:p>
      <w:pPr>
        <w:spacing w:after="0" w:line="10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rely upon unpatented trade secret protection, unpatented know-how and continuing technological innovation to develop and maintain our business and competitive position, and we consider trade secrets and know-how to be our primary form of intellectual property protection.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Monitoring unauthorized uses and disclosures is difficult, and we do not know whether the steps we have taken to protect our proprietary technologies will be effective.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like patent litigation, is expensive and time consuming, and the outcome is unpredictable. In addition, courts outside the United States are sometimes less willing to protect trade secrets.</w:t>
      </w:r>
    </w:p>
    <w:p>
      <w:pPr>
        <w:spacing w:after="0" w:line="12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Our systems utilize third-party open source software, and any failure to comply with the terms of one or more of these open source software licenses could adversely affect our business, subject us to litigation, or create potential liability.</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systems include software licensed from third parties under any one or more open source licenses, and we expect to continue to incorporate open source software in our systems and technology in the future. Moreover, we cannot ensure that we have effectively monitored our use of open source software, or validated the quality or source of such software, or that we are in compliance with the terms of the applicable open source licenses or our current policies and procedures. From time to time,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 In the past, we’ve experienced software vulnerabilities with our software providers. We may continue to experience such vulnerabilities in the future.</w:t>
      </w:r>
    </w:p>
    <w:p>
      <w:pPr>
        <w:spacing w:after="0" w:line="7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incorporate, use or combine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business, results of operations, and financial condition and the market price of our shares.</w:t>
      </w:r>
    </w:p>
    <w:p>
      <w:pPr>
        <w:spacing w:after="0" w:line="18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Intuitive Machines OpCo has identified material weaknesses in its internal control over financial reporting. If not remediated, or if Intuitive Machines OpCo experiences additional material weaknesses in the future or otherwise fails to maintain effective internal controls in the future, we may not be able to accurately or timely report our financial condition or results of operations in future reporting periods, which may adversely affect investor confidence in us and, as a result, the value of our Class A Common Stock.</w:t>
      </w:r>
    </w:p>
    <w:p>
      <w:pPr>
        <w:spacing w:after="0" w:line="9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 an emerging growth company, we are in the process of developing our internal processes and procedures to accommodate our rapid growth in recent years and transition to public company following the closing of the Transactions. Although our management concluded that IPAX’s internal control over financial reporting as of December 31, 2022, which was prior to the closing of the Transactions, was effective, in the course of preparing the consolidated financial statements of Intuitive Machines OpCo as of December 31, 2022 that will be included in Amendment No. 2 to our Current Report on Form 8-K to be filed on or about March 30, 2023, our management determined that Intuitive Machines OpCo has three material weaknesses in our internal controls over financial reporting. These material</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weaknesses primarily relate to the following matters that are relevant to the preparation of the Intuitive Machines OpCo’s consolidated financial statements and that may impact the preparation of our consolidated financial statements for future reporting periods included in filings made after this prospectus:</w:t>
      </w:r>
    </w:p>
    <w:p>
      <w:pPr>
        <w:spacing w:after="0" w:line="98" w:lineRule="exact"/>
        <w:rPr>
          <w:sz w:val="20"/>
          <w:szCs w:val="20"/>
          <w:color w:val="auto"/>
        </w:rPr>
      </w:pPr>
    </w:p>
    <w:p>
      <w:pPr>
        <w:jc w:val="both"/>
        <w:ind w:left="1320" w:right="479" w:hanging="434"/>
        <w:spacing w:after="0" w:line="263"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identification of performance obligations and timing of revenue recognition for certain contracts, as well as the review and reconciliation of certain revenue schedules to the trial balance.</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identification and recognition of non-routine, unusual or complex transactions.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maintain proper segregation of duties related to the posting of manual journal entries to the trial balance.</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These deficiencies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order to remediate these material weaknesses, we have taken and plan to take the following actions:</w:t>
      </w:r>
    </w:p>
    <w:p>
      <w:pPr>
        <w:spacing w:after="0" w:line="156" w:lineRule="exact"/>
        <w:rPr>
          <w:sz w:val="20"/>
          <w:szCs w:val="20"/>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Continuing to hire personnel with public company experience and providing additional training for our personnel on internal controls as our company continues to grow;</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Implementing additional controls and processes that operate at a sufficient level of precision and frequency or that evidence the performance of the control, particularly associated with accounting and reporting of revenue and non-routine, unusual or complex transactions;</w:t>
      </w:r>
    </w:p>
    <w:p>
      <w:pPr>
        <w:spacing w:after="0" w:line="97" w:lineRule="exact"/>
        <w:rPr>
          <w:rFonts w:ascii="Arial" w:cs="Arial" w:eastAsia="Arial" w:hAnsi="Arial"/>
          <w:sz w:val="17"/>
          <w:szCs w:val="17"/>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system enhancements to reduce reliance on manual processes; and</w:t>
      </w:r>
    </w:p>
    <w:p>
      <w:pPr>
        <w:spacing w:after="0" w:line="157" w:lineRule="exact"/>
        <w:rPr>
          <w:rFonts w:ascii="Arial" w:cs="Arial" w:eastAsia="Arial" w:hAnsi="Arial"/>
          <w:sz w:val="18"/>
          <w:szCs w:val="18"/>
          <w:color w:val="auto"/>
        </w:rPr>
      </w:pPr>
    </w:p>
    <w:p>
      <w:pPr>
        <w:ind w:left="1320" w:right="459" w:hanging="434"/>
        <w:spacing w:after="0" w:line="342" w:lineRule="auto"/>
        <w:tabs>
          <w:tab w:leader="none" w:pos="13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Engaging an external advisor to assist with evaluating and documenting the design and operating effectiveness of internal controls and assisting with the remediation of deficiencies, as necessary.</w:t>
      </w:r>
    </w:p>
    <w:p>
      <w:pPr>
        <w:spacing w:after="0" w:line="5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able to fully remediate these control deficiencies until these steps have been completed, have been operating effectively for a sufficient period of time and management has concluded, through testing, that these controls are effective. Intuitive Machines OpCo and Grant Thornton LLP, Intuitive Machines OpCo’s auditor during the year ended December 31, 2022 and our independent registered public accounting firm for the year ending December 31, 2023, were not required to, and did not, perform an evaluation of Intuitive Machines OpCo’s internal control over financial reporting as of December 31, 2022 or any period in accordance with the provisions of the Sarbanes-Oxley Act. Accordingly, we cannot assure you that we have identified all, or that we will not in the future have additional, material weaknesses. Because our financial statements for future reporting periods will be prepared on a consolidated basis with the financial statements of Intuitive Machines OpCo beginning from the Closing Date, material weaknesses may still exist when we report on the combined company’s effectiveness of our internal control over financial reporting as required under Section 404 of the Sarbanes-Oxley Act in our future annual reports on Form 10-K.</w:t>
      </w:r>
    </w:p>
    <w:p>
      <w:pPr>
        <w:spacing w:after="0" w:line="8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not remediated, these material weaknesses could result in material misstatements to our future annual or interim consolidated financial statements that might not be prevented or detected on a timely basis, or in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U.S. government’s budget deficit and the national debt, as well as any inability of the U.S. government to complete its budget process for any government fiscal year could have an adverse impact on our business, financial condition, results of operations and cash flows.</w:t>
      </w:r>
    </w:p>
    <w:p>
      <w:pPr>
        <w:spacing w:after="0" w:line="11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for U.S. government fiscal year 2023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results of operations and cash flows in a number of ways, including the following:</w:t>
      </w:r>
    </w:p>
    <w:p>
      <w:pPr>
        <w:spacing w:after="0" w:line="111" w:lineRule="exact"/>
        <w:rPr>
          <w:sz w:val="20"/>
          <w:szCs w:val="20"/>
          <w:color w:val="auto"/>
        </w:rPr>
      </w:pPr>
    </w:p>
    <w:p>
      <w:pPr>
        <w:ind w:left="1320" w:right="47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government could reduce or delay its spending on, reprioritize its spending away from, or decline to provide funding for the government programs in which we participate;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government spending could be impacted by alternate arrangements to sequestration, which increases the uncertainty as to, and the difficulty in predicting, U.S. government spending priorities and levels; and</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9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subject to stringent U.S. export and import control laws and regulations and U.S. economic sanctions and trade control laws and regulations.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are required to comply with U.S. export control laws and regulations, including ITAR, Bureau of Political Military Affairs’ directorate of Defense Trade controls administered by the U.S. Department of State, and the EAR, administered by the U.S. Department of Commerce’s Bureau of Industry and Security. Pursuant to these foreign trade control laws and regulations, we are required, among other things, to (i) maintain a registration under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w:t>
      </w:r>
    </w:p>
    <w:p>
      <w:pPr>
        <w:spacing w:after="0" w:line="10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10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us could result in the need for different export authorizations, each then subject to a subsequent approval.</w:t>
      </w:r>
    </w:p>
    <w:p>
      <w:pPr>
        <w:spacing w:after="0" w:line="10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Similarly, should exceptions or exemptions under the EAR or ITAR, respectively, be changed, our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spacing w:after="0" w:line="19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spacing w:after="0" w:line="11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Over its lifetime, a U.S. government program may be implemented by the award of many different individual contracts and subcontracts. The funding of U.S. government programs is subject to U.S. Congressional appropriations. In recent years, U.S. government appropriations have been affected by larger U.S. government budgetary issues and related legislation. Although multi-year contracts may be authorized and appropriated in connection with major procurements, the U.S. Congress generally appropriates funds on a government fiscal year basis. Procurement funds are typically made available for obligation over the course of one to three years. Consequently, programs often initially receive only partial funding, and additional funds are obligated only as the U.S. Congress authorizes further appropriations. We cannot predict the extent to which total funding and/or funding for individual programs will be included, increased or reduced as part of the annual appropriations process ultimately approved by the U.S. Congress and the President of the United States or in separate supplemental appropriations or continuing resolutions, as applicable. The termination of funding for a U.S. government program would result in a loss of anticipated future revenue attributable to that program, which could have an adverse impact on our operations. In addition, the termination of a program or the failure to commit additional funds to a program that already has been started could result in lost revenue and increase our overall costs of doing business.</w:t>
      </w:r>
    </w:p>
    <w:p>
      <w:pPr>
        <w:spacing w:after="0" w:line="10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111"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addition, U.S. government contracts generally contain provisions permitting termination,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or backlog lost as a result of any termination of our U.S. government contracts. Because a significant portion of our revenue is dependent on our performance and payment under our U.S. government contracts, the loss of one or more large contracts could have a material adverse impact on our business, financial condition, results of operations and cash flows.</w:t>
      </w:r>
    </w:p>
    <w:p>
      <w:pPr>
        <w:spacing w:after="0" w:line="10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thereby reducing our margins, which could have an adverse effect on our business, financial condition, results of operations and cash flows. In addition, the U.S. government has and may continue to implement initiatives focused on efficiencies, affordability and cost growth and other changes to its procurement practices. These initiatives and changes to procurement practices may change the way U.S. government contracts are solicited, negotiated and managed, which may affect whether and</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how we pursue opportunities to provide our products and services to the U.S. government, including the terms and conditions under which we do so, which may have an adverse impact on our business, financial condition, results of operations and cash flows. For example, contracts awarded under the Department of Defense’s Other Transaction Authority for research and prototypes generally require cost-sharing and may not follow, or may follow only in part, standard U.S. government contracting practices and terms, such as the Federal Acquisition Regulation and Cost Accounting Standards.</w:t>
      </w:r>
    </w:p>
    <w:p>
      <w:pPr>
        <w:spacing w:after="0" w:line="125"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ITAR), U.S. government security, employment practices, protection of the environment, 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Uncertain global macro-economic and political conditions could materially adversely affect our results of operations and financial condition.</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and political conditions. The inability of current and potential customers to pay us for our products and services may adversely affect our earnings and cash flows.</w:t>
      </w:r>
    </w:p>
    <w:p>
      <w:pPr>
        <w:spacing w:after="0" w:line="97"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The current invasion of Ukraine by Russia has escalated tensions among the U.S., the North Atlantic Treaty Organization (“NATO”) and Russia. The U.S. and other NATO member states, as well as non-member states, have announced new sanctions against Russia and certain Russian banks, enterprises and individuals. These and any future additional sanctions and any resulting conflict between Russia, the U.S. and NATO countries could have an adverse impact on our current operations.</w:t>
      </w:r>
    </w:p>
    <w:p>
      <w:pPr>
        <w:spacing w:after="0" w:line="10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Further, such invasion, ongoing military conflict, resulting sanctions and related countermeasures by NATO states, the U.S. and other countries have led, and are likely to continue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Capital Resources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indebtedness could expose us to risks that could adversely affect our business, financial condition and results of operations.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In the future, we may incur additional indebtedness. Our indebtedness could have significant negative consequences for our security holders, business, results of operations and financial condition by, among other things:</w:t>
      </w:r>
    </w:p>
    <w:p>
      <w:pPr>
        <w:spacing w:after="0" w:line="103" w:lineRule="exact"/>
        <w:rPr>
          <w:sz w:val="20"/>
          <w:szCs w:val="20"/>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business may not generate sufficient funds, and we may otherwise be unable to maintain sufficient cash reserves to pay any additional indebtedness that we may incur. In addition,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2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COVID-19,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9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could result in our actual operating results being different from our guidance, and the differences may be adverse and material.</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 We will need substantial additional capital to fund our operations. If we fail to obtain additional capital, we may be unable to sustain operations.</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expect to continue to incur operating losses for the foreseeable future as we continue to expand and develop, and we may need additional capital from external sources. If we are unable to raise additional capital, we may have to significantly delay, scale back or discontinue one or more of our R&amp;D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cause significant delays in the development of our product candidates.</w:t>
      </w:r>
    </w:p>
    <w:p>
      <w:pPr>
        <w:spacing w:after="0" w:line="18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1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 completed second fiscal quarter or our annual revenues are less than $100 million and our public float remains less than $700 million. We cannot predict if investors will find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w:t>
      </w:r>
    </w:p>
    <w:p>
      <w:pPr>
        <w:spacing w:after="0" w:line="8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the following factors, among others:</w:t>
      </w:r>
    </w:p>
    <w:p>
      <w:pPr>
        <w:spacing w:after="0" w:line="103"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remediating unknown defects, errors or performance problems of our product offerings;</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variable purchasing patterns under blanket purchase agreements and other indefinite delivery/ indefinite quantity contracts;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our accounting estimates and assumptions could negatively affect our financial position and results of operations.</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restructuring costs, recoverability of assets including customer receivables, valuation of goodwill and intangibles,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Organizational Structure</w:t>
      </w:r>
    </w:p>
    <w:p>
      <w:pPr>
        <w:spacing w:after="0" w:line="22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Our principal asset is our interest in Intuitive Machines OpCo, and, accordingly, we will depend on distributions from Intuitive Machines OpCo to pay our taxes and expenses, including payments under the Tax Receivable Agreement, and to pay dividends. Intuitive Machines OpCo’s ability to make such distributions may be subject to various limitations and restrictions.</w:t>
      </w:r>
    </w:p>
    <w:p>
      <w:pPr>
        <w:spacing w:after="0" w:line="10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are a holding company and have no material assets other than our ownership of Intuitive Machines OpCo Common Units, Intuitive Machines OpCo Warrants, Intuitive Machines OpCo Preferred Investor Warrants and Series A Preferred Units. As such, we have no independent means of generating revenue or cash flow, and our ability to pay our taxes and operating expenses or declare and pay dividends in the future are dependent upon the financial results and cash flows of Intuitive Machines OpCo and its subsidiaries and distributions we receive from Intuitive Machines OpCo. Intuitive Machines OpCo and its subsidiaries may not generate sufficient cash flow to distribute funds to us and applicable state law and contractual restrictions, including negative covenants in our debt instruments, may not permit such distributions.</w:t>
      </w:r>
    </w:p>
    <w:p>
      <w:pPr>
        <w:spacing w:after="0" w:line="8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anticipate that Intuitive Machines OpCo will continue to be treated as a partnership for U.S. federal income tax purposes and, as such, will not be subject to any entity-level U.S. federal income tax. Instead, taxable income will be allocated to holders of Intuitive Machines OpCo Common Units and Series A Preferred Units, including us. Accordingly, we will incur income taxes on our allocable share of any net taxable income of Intuitive Machines OpCo. Under the terms of the A&amp;R Operating Agreement, Intuitive Machines OpCo is obligated, subject to various limitations and restrictions, including with respect to any applicable credit agreements, to make tax distributions to holders of Intuitive Machines OpCo Common Units and Series A Preferred Units, including us. In addition to tax expenses, we will also incur expenses related to our operations, including payments under the Tax Receivable Agreement, which we expect could be significant.</w:t>
      </w:r>
    </w:p>
    <w:p>
      <w:pPr>
        <w:spacing w:after="0" w:line="9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intend, as its managing member, to cause Intuitive Machines OpCo to make (i) pro rata tax distributions to the Intuitive Machines Members in an amount sufficient to fund all or part of their tax obligations in respect of taxable income allocated to them and to cover our tax obligations, other than with respect to income allocated to the Series A Preferred Units, but including payments due under the Tax Receivable Agreement, (ii) additional tax distributions to us to the extent necessary to cover our tax obligations with respect to income from the Series A Preferred Units and (iii) distributions to us to pay our operating expenses and to fund any dividends, including dividends made on the Series A Preferred Stock. However, Intuitive Machines OpCo’s ability to make such distributions may be subject to various limitations and restrictions, such as restrictions on distributions that would either violate any contract or agreement to which Intuitive Machines OpCo is then a party, including debt agreements, or any applicable law, or that would have the effect of rendering Intuitive Machines OpCo insolvent. If we do not have sufficient funds to pay our tax or other liabilities or to fund our operations (including, if applicable, as a result of an acceleration of our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under the Tax Receivable Agreement), we may have to borrow funds, which could materially adversely affect our liquidity and financial condition and subject us to various restrictions imposed by any such lenders. To the extent that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a termination of the Tax Receivable Agreement and the acceleration of payments due under the Tax Receivable Agreement.</w:t>
      </w:r>
    </w:p>
    <w:p>
      <w:pPr>
        <w:spacing w:after="0" w:line="110"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Under the A&amp;R Operating Agreement, we intend to cause Intuitive Machines OpCo, from time to time, to make pro rata distributions in cash to each holder of Intuitive Machines OpCo Common Units (including us) in amounts at least sufficient to cover the taxes imposed on their allocable share of net taxable income of Intuitive Machines OpCo. As a result of (i) potential differences in the amount of net taxable income allocable to us and to Intuitive Machines OpCo’s other members, (ii) the lower tax rate applicable to corporations compared to individuals, and (iii) certain tax benefits that we anticipate from (a) future purchases or redemptions of Intuitive Machines OpCo Common Units from the Intuitive Machines Members (other than us) and (b) payments under the Tax Receivable Agreement, these cash distributions may be in amounts that exceed our actual tax liabilities with respect to the relevant taxable year, including our obligations under the Tax Receivable Agreement. Our Board will determine the appropriate uses for any such excess cash, which may include, among other uses, the payment of obligations under the Tax Receivable Agreement and the payment of other expenses. We will have no obligation to distribute such cash (or other available cash) to our stockholders. No adjustments to the exchange ratio for Intuitive Machines OpCo Common Units and corresponding shares of Class A Common Stock will be made as a result of any cash distribution by us or any retention of cash by us, and in any event the ratio will remain one-to-one. To the extent we do not distribute such excess cash as dividends on our stock, we may take other actions with respect to such excess cash, for example, holding such excess cash, or lending it (or a portion thereof) to Intuitive Machines OpCo, which may result in shares of our Class A Common Stock increasing in value relative to the value of Intuitive Machines OpCo Common Units. Following such loan or a contribution of such excess cash to Intuitive Machines OpCo, we may, but are not required to, make an adjustment to the outstanding number of Intuitive Machines OpCo Common Units held by the Intuitive Machines Members (other than us). In the absence of such adjustment, the Intuitive Machines Members may benefit from any value attributable to such cash and/or loan balances if they acquire shares of Class A Common Stock in exchange for their Intuitive Machines OpCo Common Units, notwithstanding that such holders may have participated previously as holders of Intuitive Machines OpCo Common Units in distributions that resulted in such excess cash balances.</w:t>
      </w:r>
    </w:p>
    <w:p>
      <w:pPr>
        <w:spacing w:after="0" w:line="39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the TRA Holders (as defined below) requires us to make cash payments to them in respect of certain tax benefits to which we may become entitled, and we expect that the payments we will be required to make will be substantial.</w:t>
      </w:r>
    </w:p>
    <w:p>
      <w:pPr>
        <w:spacing w:after="0" w:line="116"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the consummation of the Transactions, we entered into a Tax Receivable Agreement with Intuitive Machines OpCo and certain Intuitive Machines Members (the “TRA Holders”). Under the Tax Receivable Agreement, we are required to make cash payments to the TRA Holders equal to 85% of the amount of cash tax savings, if any, that we actually realize, or in certain circumstances are deemed to realize (calculated using certain assumptions), as a result of the Existing Basis, Basis Adjustments and Interest Deductions (each as defined below). Assuming no material changes in the relevant tax law and that we earn sufficient taxable income to realize all tax benefits that are subject to the Tax Receivable Agreement, we expect that the tax savings associated with the (i) Existing Basis, (ii) Basis Adjustments, and (iii) Interest Deductions would aggregate to approximately $170.4 million over 20 years from the Closing Date based on a $10.00 per share trading price of our Class A Common Stock, and assuming all future redemptions or exchanges would occur one year after the Closing Date at the same assumed price per share. Under such scenario, assuming future payments are made on the due date (with extension) of each relevant U.S. federal income tax return, we would be required to pay approximately 87% of such amount, or approximately $148.2 million, over the 20-year period from the Closing Date, and we would benefit from the remaining 13% of the tax benefits. We will depend on cash distributions from Intuitive Machines OpCo to make payments under the Tax Receivable Agreement. Any payments made by us to the TRA Holders under the Tax Receivable Agreement will generally reduce the amount of cash that might have otherwise been available to us. Due to the uncertainty of various factors, we cannot precisely quantify the likely tax benefits we will realize as a result of the purchase of Intuitive Machines OpCo Common Units and Intuitive Machines OpCo Common Unit exchanges, and the resulting amounts we are likely to pay out to the TRA Holders pursuant to the Tax Receivable Agreement; however, we estimate that such payments will be substantial.</w:t>
      </w:r>
    </w:p>
    <w:p>
      <w:pPr>
        <w:sectPr>
          <w:pgSz w:w="11900" w:h="16838" w:orient="portrait"/>
          <w:cols w:equalWidth="0" w:num="1">
            <w:col w:w="9019"/>
          </w:cols>
          <w:pgMar w:left="1440" w:top="274" w:right="1440"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payment obligation is an obligation of us and not of Intuitive Machines OpCo.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such payments will be deferred and will accrue interest until paid by us. Payments under the Tax Receivable Agreement are not conditioned upon one or more of the TRA Holders maintaining a continued ownership interest in Intuitive Machines OpCo or us. Furthermore, if we experience a Change of Control (as defined under the A&amp;R Operating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For more information, see “</w:t>
      </w:r>
      <w:r>
        <w:rPr>
          <w:rFonts w:ascii="Arial" w:cs="Arial" w:eastAsia="Arial" w:hAnsi="Arial"/>
          <w:sz w:val="17"/>
          <w:szCs w:val="17"/>
          <w:i w:val="1"/>
          <w:iCs w:val="1"/>
          <w:color w:val="auto"/>
        </w:rPr>
        <w:t>Certain Relationships and Related Party Transactions — Tax</w:t>
      </w:r>
      <w:r>
        <w:rPr>
          <w:rFonts w:ascii="Arial" w:cs="Arial" w:eastAsia="Arial" w:hAnsi="Arial"/>
          <w:sz w:val="17"/>
          <w:szCs w:val="17"/>
          <w:color w:val="auto"/>
        </w:rPr>
        <w:t xml:space="preserve"> </w:t>
      </w:r>
      <w:r>
        <w:rPr>
          <w:rFonts w:ascii="Arial" w:cs="Arial" w:eastAsia="Arial" w:hAnsi="Arial"/>
          <w:sz w:val="17"/>
          <w:szCs w:val="17"/>
          <w:i w:val="1"/>
          <w:iCs w:val="1"/>
          <w:color w:val="auto"/>
        </w:rPr>
        <w:t>Receivable Agreement</w:t>
      </w:r>
      <w:r>
        <w:rPr>
          <w:rFonts w:ascii="Arial" w:cs="Arial" w:eastAsia="Arial" w:hAnsi="Arial"/>
          <w:sz w:val="17"/>
          <w:szCs w:val="17"/>
          <w:color w:val="auto"/>
        </w:rPr>
        <w:t>.”</w:t>
      </w:r>
    </w:p>
    <w:p>
      <w:pPr>
        <w:spacing w:after="0" w:line="12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decisions we make in the course of running our business, such as with respect to mergers, asset sales, other forms of business combinations or other changes in control, may influence the timing and amount of payments made under the Tax Receivable Agreement. For example, the earlier disposition of assets following a redemption or exchange of Intuitive Machines OpCo Common Units may accelerate the recognition of associated tax benefits for which we would be required to make payments under the Tax Receivable Agreement and increase the present value of such payments, and the disposition of assets before a redemption or exchange of Intuitive Machines OpCo Common Units increase the tax liability of the TRA Holders (or their transferees or assignees) without giving rise to any rights to receive payments under the Tax Receivable Agreement with respect to tax attributes associated with such assets.</w:t>
      </w:r>
    </w:p>
    <w:p>
      <w:pPr>
        <w:spacing w:after="0" w:line="11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ability to generate tax assets covered by the Tax Receivable Agreement, and the actual use of any resulting tax benefits, as well as the amount and timing of any payments under the Tax Receivable Agreement, will vary depending upon a number of factors, including the timing of redemptions or exchanges of Intuitive Machines OpCo Common Units by, or purchases of Intuitive Machines OpCo Common Units from, the TRA Holders (or their transferees or other assignees), the price of our Class A Common Stock at the time of the redemption, exchange or purchase; the extent to which such redemptions, exchanges or purchases are taxable; the amount and timing of the taxable income allocated to us or otherwise generated by us in the future; the tax rates and laws then applicable and the portion of our payments under the Tax Receivable Agreement constituting imputed interest.</w:t>
      </w:r>
    </w:p>
    <w:p>
      <w:pPr>
        <w:spacing w:after="0" w:line="18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Holders may be accelerated and/or significantly exceed any actual benefits we realize in respect of the tax attributes subject to the Tax Receivable Agreement.</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Tax Receivable Agreement provides that if (i) we materially breach any of our material obligations thereunder or the Tax Receivable Agreement is rejected by operation of law, (ii) certain mergers, asset sales, other forms of business combinations or other changes of control were to occur after the Closing Date or (iii) we elect an early termination of the Tax Receivable Agreement, then our obligations, or our successor’s obligations, under the Tax Receivable Agreement to make payments would be accelerated and become immediately due and payable. The amount due and payable in those circumstances is based on the present value (at a discount rate equal to the secured overnight financing rate (“SOFR”) plus 100 basis points) of projected future tax benefits that are based on certain assumptions, including an assumption that we would have sufficient taxable income to fully use all potential future tax benefits that are subject to the Tax Receivable Agreement. Based on such assumptions, if we were to exercise our termination right, or the Tax Receivable Agreement is otherwise terminated, the aggregate amount of the termination payments would be approximately $100.4 million.</w:t>
      </w:r>
    </w:p>
    <w:p>
      <w:pPr>
        <w:spacing w:after="0" w:line="10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a result of the foregoing, we would be required to make an immediate cash payment that may be made significantly in advance of the actual realization, if any, of such future tax benefits. We could also be required to make cash payments to the TRA Holders that are greater than 85% of the actual cash tax savings we ultimately realize in respect of the tax benefits that are subject to the Tax Receivable Agreement. In these situations, our obligations under the Tax Receivable Agreement could have a substantial negative impact on our liquidity and could have the effect of deferring or preventing certain mergers, asset sales, other forms of business combinations or other changes of control.</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may need to incur debt to finance payments under the Tax Receivable Agreement to the extent our cash resources are insufficient to meet our obligations under the Tax Receivable Agreement as a result of timing discrepancies or otherwise. We may not be able to fund or finance our obligations under the Tax Receivable Agreement.</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Holders under the Tax Receivable Agreement in the event that any tax benefits are disallowed.</w:t>
      </w:r>
    </w:p>
    <w:p>
      <w:pPr>
        <w:spacing w:after="0" w:line="10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which are complex and factual in nature, and the Internal Revenue Service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rights and obligations under the Tax Receivable Agreement, then our ability to settle such challenges may be restricted by the rights of the TRA Holders pursuant to the Tax Receivable Agreement, and such restrictions apply for as long as the Tax Receivable Agreement remains in effect. In addition,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any future cash payments that we might otherwise be required to make to such TRA Holder under the terms of the Tax Receivable Agreement. However, we might not determine that we have effectively made an excess cash payment to a TRA Holder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As a result, payments could be made under the Tax Receivable Agreement significantly in excess of 85% of the actual cash tax savings that we realize in respect of the tax attributes with respect to a TRA Holder that are the subject of the Tax Receivable Agreement.</w:t>
      </w:r>
    </w:p>
    <w:p>
      <w:pPr>
        <w:spacing w:after="0" w:line="18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If Intuitive Machines OpCo were to become a publicly traded partnership taxable as a corporation for U.S. federal income tax purposes, we and Intuitive Machines OpCo might be subject to potentially significant tax inefficiencies, and we would not be able to recover payments we previously made under the Tax Receivable Agreement even if the corresponding tax benefits were subsequently determined to have been unavailable due to such status.</w:t>
      </w:r>
    </w:p>
    <w:p>
      <w:pPr>
        <w:spacing w:after="0" w:line="12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and Intuitive Machines OpCo intend to operate such that Intuitive Machines OpCo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exercises of the Intuitive Machines OpCo Options, redemptions and exchanges of Intuitive Machines OpCo Common Units pursuant to the Intuitive Machines Members’ redemption and exchange rights as described under the A&amp;R Operating Agreement or other transfers of Intuitive Machines OpCo units could cause Intuitive Machines OpCo to be treated as a publicly traded partnership. Applicable U.S. Treasury regulations provide for certain safe harbors from treatment as a publicly traded partnership, and we intend to operate so that redemptions, exchanges and other transfers of Intuitive Machines OpCo units qualify for one or more such safe harbors. For example, we intend to limit the number of unitholders of Intuitive Machines OpCo, and the A&amp;R Operating Agreement provides for limitations on the ability of unitholders of Intuitive Machines OpCo to transfer their Intuitive Machines OpCo units and will provide us, as managing member of Intuitive Machines OpCo, with the right to impose restrictions (in addition to those already in place) on the ability of owners of Intuitive Machines OpCo to redeem, exchange or otherwise transfer their Intuitive Machines OpCo units to the extent we believe it is necessary to ensure that Intuitive Machines OpCo will continue to be classified as a partnership for U.S. federal income tax purposes.</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Intuitive Machines OpCo were to become a publicly traded partnership taxable as a corporation for U.S. federal income tax purposes, significant tax inefficiencies might result for us and for Intuitive Machines OpCo, including as a result of our inability to file a consolidated U.S. federal income tax return with Intuitive Machines OpCo.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Intuitive Machines’ OpCo’s assets) were subsequently determined to have been unavailable.</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as a result of our ownership of Intuitive Machines OpCo, applicable restrictions could make it impractical for us to continue our business as contemplated and could have a material adverse effect on our business.</w:t>
      </w:r>
    </w:p>
    <w:p>
      <w:pPr>
        <w:spacing w:after="0" w:line="6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Investment Company Act.</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As the sole managing member of Intuitive Machines OpCo, we control and operate Intuitive Machines OpCo. On that basis, we believe that our interest in Intuitive Machines OpCo is not an “investment security” as that term is used in the Investment Company Act. However, if we were to cease participation in the management of Intuitive Machines OpCo, our interest in Intuitive Machines OpCo could be deemed an “investment security” for purposes of the Investment Company Act.</w:t>
      </w:r>
    </w:p>
    <w:p>
      <w:pPr>
        <w:spacing w:after="0" w:line="1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and Intuitive Machines OpCo intend to continue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 and could have a material adverse effect on our business.</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and Intuitive Machines OpCo are controlled by our Founders (as defined below), whose interests may differ from those of our public stockholders.</w:t>
      </w:r>
    </w:p>
    <w:p>
      <w:pPr>
        <w:spacing w:after="0" w:line="89"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Our Founders Dr. Kamal Ghaffarian, Stephen Altemus and Timothy Crain and their permitted transferees (collectively, the “Founders”), have control over all stockholder decisions because they control a substantial majority of the combined voting power. This may limit or preclude your ability to influence corporate matters. Our Founders collectively control approximately 83.2% of the combined voting power of our common stock, on the Closing Date, as a result of their ownership of Class C Common Stock, each share of which is entitled to three votes on all matters submitted to a vote of our stockholders.</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As a result, the Intuitive Machines Founders have the ability to control any action requiring the general approval of our stockholders, including the election and removal of directors and thereby determine corporate and management policies, including potential mergers or acquisitions, payment of dividends, asset sales, amendments to the Certificate of Incorporation and By-Laws and other significant corporate transactions for so long as they retain significant ownership of our Class C Common Stock. This concentration of ownership and voting power may also delay, defer or even prevent an acquisition by a third party or other change of control of us and may make some transactions more difficult or impossible without their support, even if such events are in the best interests of minority stockholders. This concentration of voting power may have a negative impact on the trading price of Class A Common Stock.</w:t>
      </w:r>
    </w:p>
    <w:p>
      <w:pPr>
        <w:spacing w:after="0" w:line="11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Our Founders are entitled to vote their shares, and shares over which they have voting control, in their own interests, which may not always be in the interests of our stockholders generally. Because our Founders hold their economic interest in our business through Intuitive Machines OpCo, rather than through us, they may have conflicting interests with holders of shares of Class A Common Stock. For example, our Founders may have a different tax position from us, which could influence their decisions regarding whether and when we should dispose of assets or incur new or refinance existing indebtedness, especially in light of the existence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See “</w:t>
      </w:r>
      <w:r>
        <w:rPr>
          <w:rFonts w:ascii="Arial" w:cs="Arial" w:eastAsia="Arial" w:hAnsi="Arial"/>
          <w:sz w:val="16"/>
          <w:szCs w:val="16"/>
          <w:i w:val="1"/>
          <w:iCs w:val="1"/>
          <w:color w:val="auto"/>
        </w:rPr>
        <w:t>Certain Relationships and Related Party Transactions — Tax</w:t>
      </w:r>
      <w:r>
        <w:rPr>
          <w:rFonts w:ascii="Arial" w:cs="Arial" w:eastAsia="Arial" w:hAnsi="Arial"/>
          <w:sz w:val="16"/>
          <w:szCs w:val="16"/>
          <w:color w:val="auto"/>
        </w:rPr>
        <w:t xml:space="preserve"> </w:t>
      </w:r>
      <w:r>
        <w:rPr>
          <w:rFonts w:ascii="Arial" w:cs="Arial" w:eastAsia="Arial" w:hAnsi="Arial"/>
          <w:sz w:val="16"/>
          <w:szCs w:val="16"/>
          <w:i w:val="1"/>
          <w:iCs w:val="1"/>
          <w:color w:val="auto"/>
        </w:rPr>
        <w:t>Receivable Agreement</w:t>
      </w:r>
      <w:r>
        <w:rPr>
          <w:rFonts w:ascii="Arial" w:cs="Arial" w:eastAsia="Arial" w:hAnsi="Arial"/>
          <w:sz w:val="16"/>
          <w:szCs w:val="16"/>
          <w:color w:val="auto"/>
        </w:rPr>
        <w:t>.” In addition, our Founders’ ability to effectively control us may discourage someone</w:t>
      </w:r>
      <w:r>
        <w:rPr>
          <w:rFonts w:ascii="Arial" w:cs="Arial" w:eastAsia="Arial" w:hAnsi="Arial"/>
          <w:sz w:val="16"/>
          <w:szCs w:val="16"/>
          <w:i w:val="1"/>
          <w:iCs w:val="1"/>
          <w:color w:val="auto"/>
        </w:rPr>
        <w:t xml:space="preserve"> </w:t>
      </w:r>
      <w:r>
        <w:rPr>
          <w:rFonts w:ascii="Arial" w:cs="Arial" w:eastAsia="Arial" w:hAnsi="Arial"/>
          <w:sz w:val="16"/>
          <w:szCs w:val="16"/>
          <w:color w:val="auto"/>
        </w:rPr>
        <w:t>from making a significant equity investment in us, or could discourage transactions involving a change in control, including transactions in which you as a holder of shares of Class A Common Stock might otherwise receive a premium for your shares over the then-current market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our stock price.</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cannot predict whether our multi-class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indices. FTSE Russell and Standard &amp; Poor’s does not allow most newly public companies utilizing dual or multi-class capital structure to be included in their indices. Affected indices include the Russell 2000 and the S&amp;P 500, S&amp;P MidCap 400 and S&amp;P Small Cap 600, which together make up the S&amp;P Composite 1500. Our multi-class capital structure may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8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Class A Common Stock, which could depress the trading price of our Class A Common Stock.</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Class A Common Stock.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All of the shares of Class A Common Stock, Private Placement Warrants and Public Warrants offered by the selling securityholders will be sold by them for their respective accounts. We will not receive any of the proceeds from these sales.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selling securityholders will pay any underwriting fees, discounts, selling commissions, stock transfer taxes, and certain legal expenses incurred by such selling securityholders in disposing of their shares of Class A Common Stock, Private Placement Warrants and Public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2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receive any proceeds from the exercise of the Warrants for cash, but not from the issuance of any shares of Class A Common Stock upon exchange of Intuitive Machines OpCo Common Units or the resale of the shares of Class A Common Stock issuable upon such exercise or exchange. Assuming the exercise of all outstanding Warrants for cash, we will receive an aggregate of $268,323,750.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use the proceeds received from the exercise of the Warrants, if any, for general corporate purposes, which may include capital expenditures, potential acquisitions, growth opportunities, strategic transactions, and purchases of Intuitive Machines OpCo Common Units from Intuitive Machines Members. However, we have not designated any specific uses and have no current agreement with respect to any acquisition or strategic transaction.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have no current plans to pay dividends on our Class A Common Stock. Holders of our Class B Common Stock and Class C Common Stock do not have any right to receive dividends, or to receive a distribution upon a liquidation, dissolution, or winding up of Intuitive Machines, Inc., with respect to their Class B Common Stock or Class C Common Stock. Our Series A Preferred Stock pays dividends, semi-annually at the rate of 10% of the original price per share, plus the amount of previously accrued, but unpaid dividends, compounded semi-annually, and participates with the Class A Common Stock on all other dividends. Accrued dividends may be paid (i) in cash, (ii) subject to satisfaction of certain equity conditions, in shares of Class A Common Stock or</w:t>
      </w:r>
    </w:p>
    <w:p>
      <w:pPr>
        <w:spacing w:after="0" w:line="2" w:lineRule="exact"/>
        <w:rPr>
          <w:sz w:val="20"/>
          <w:szCs w:val="20"/>
          <w:color w:val="auto"/>
        </w:rPr>
      </w:pPr>
    </w:p>
    <w:p>
      <w:pPr>
        <w:jc w:val="both"/>
        <w:ind w:left="460" w:right="459" w:hanging="6"/>
        <w:spacing w:after="0" w:line="252" w:lineRule="auto"/>
        <w:tabs>
          <w:tab w:leader="none" w:pos="7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accumulated, compounded and added to the liquidation preference. The declaration, amount, and payment of any future dividends on shares of Class A Common Stock is at the sole discretion of our Board, and we may reduce or discontinue entirely the payment of such dividends at any time. Our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w:t>
      </w:r>
    </w:p>
    <w:p>
      <w:pPr>
        <w:spacing w:after="0" w:line="12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are a holding company and have no material assets other than our ownership of Intuitive Machines OpCo Common Units. The A&amp;R Operating Agreement provides that certain distributions to cover the taxes of the holders of Intuitive Machines OpCo Common Units will be made based upon assumed tax rates and other assumptions provided in the A&amp;R Operating Agreement. See “</w:t>
      </w:r>
      <w:r>
        <w:rPr>
          <w:rFonts w:ascii="Arial" w:cs="Arial" w:eastAsia="Arial" w:hAnsi="Arial"/>
          <w:sz w:val="17"/>
          <w:szCs w:val="17"/>
          <w:i w:val="1"/>
          <w:iCs w:val="1"/>
          <w:color w:val="auto"/>
        </w:rPr>
        <w:t>Certain Relationships and Related Person</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 A&amp;R Operating Agreement.</w:t>
      </w:r>
      <w:r>
        <w:rPr>
          <w:rFonts w:ascii="Arial" w:cs="Arial" w:eastAsia="Arial" w:hAnsi="Arial"/>
          <w:sz w:val="17"/>
          <w:szCs w:val="17"/>
          <w:color w:val="auto"/>
        </w:rPr>
        <w:t>” The manager of Intuitive Machines OpCo has broad discretion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out of Intuitive Machines OpCo. In the event we declare any cash dividend, we expect that Intuitive Machines, Inc., as the manager of Intuitive Machines OpCo, would cause Intuitive Machines OpCo to make distributions to us in an amount sufficient to cover such cash dividends declared by us. If Intuitive Machines OpCo makes such distributions to us, the other holders of Intuitive Machines OpCo Common Units will also be entitled to receive the respective equivalent pro rata distributions in accordance with the percentages of their respective Intuitive Machines OpCo Common Units.</w:t>
      </w:r>
    </w:p>
    <w:p>
      <w:pPr>
        <w:spacing w:after="0" w:line="11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We anticipate that cash received by Intuitive Machines OpCo may, in certain periods, exceed its liabilities, including tax liabilities, and obligations to make payments under the Tax Receivable Agreement. We expect that we may use any such excess cash from time to time to pay dividends, which may include special dividends, on the Class A Common Stock, to fund repurchases of its Class A Common Stock, or any combination of the foregoing. Our Board, in its sole discretion, will make any determination with respect to the use of any such excess cash.</w:t>
      </w:r>
    </w:p>
    <w:p>
      <w:pPr>
        <w:spacing w:after="0" w:line="111"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also expect, if necessary, to undertake ameliorative actions, which may include pro rata or non-pro rata reclassifications, combinations, subdivisions, or adjustments of outstanding Intuitive Machines OpCo Common Units, or to declare a stock dividend on our Class A Common Stock of an aggregate number of additional newly issued shares that corresponds to the number of additional Intuitive Machines OpCo Common Units that Intuitive Machines, Inc. is acquiring , to maintain one-to-one parity between Intuitive Machines OpCo Common Units and shares of Class A Common Stock, Class B Common Stock and Class C Common Stock.</w:t>
      </w:r>
    </w:p>
    <w:p>
      <w:pPr>
        <w:spacing w:after="0" w:line="97"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Any financing arrangements that we enter into in the future may include restrictive covenants that limit our ability to pay dividends. In addition, Intuitive Machines OpCo is generally prohibited under Delaware law from making a distribution to a member to the extent that, at the time of the distribution, after giving effect to the distribution, liabilities of Intuitive Machines OpCo (with certain exceptions) exceed the fair value of its assets.</w:t>
      </w:r>
    </w:p>
    <w:p>
      <w:pPr>
        <w:spacing w:after="0" w:line="9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Since its formation in January 27, 2021, Intuitive Machines, Inc. has not paid any dividends to holders of its outstanding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Intuitive Machines, Inc. (“Intuitive Machines”, formerly Inflection Point Acquisition Corp. (“IPAX”)) is providing the following unaudited pro forma condensed combined financial information to aid you in your analysis of the financial aspects of the Transactions. The following unaudited pro forma condensed combined financial information presents the combination of the financial information of IPAX and Intuitive Machines, LLC (“Intuitive Machines OpCo”) adjusted to give effect to the Transactions. The following unaudited pro forma condensed combined financial information has been prepared in accordance with Article 11 of Regulation S-X.</w:t>
      </w:r>
    </w:p>
    <w:p>
      <w:pPr>
        <w:spacing w:after="0" w:line="127"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Immediately before the Transactions, IPAX was a blank check company incorporated on January 27, 2021 as a Cayman Islands exempted company and formed for the purpose of effecting a merger, capital stock exchange, asset acquisition, stock purchase, reorganization, or similar business combination with one or more businesses.</w:t>
      </w:r>
    </w:p>
    <w:p>
      <w:pPr>
        <w:spacing w:after="0" w:line="8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Intuitive Machines designs, manufactures, and operates space products and services. Intuitive Machines’ near-term focus is to create and operate space systems and space infrastructure on and in the vicinity of the Moon that enables scientific and human exploration and utilization of lunar resources to support sustainable human presence on the Moon and exploration to Mars and beyond. Intuitive Machines is headquartered in Houston, Texas.</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unaudited pro forma condensed combined balance sheet as of December 31, 2022 combines the historical audited balance sheet of IPAX as of December 31, 2022 with the historical audited consolidated balance sheet of Intuitive Machines OpCo as of December 31, 2022, giving effect to the Transactions as if they had been consummated on December 31, 2022.</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2022 combines the historical audited statement of operations of IPAX for the year ended December 31, 2022 with the historical audited consolidated statement of operations of Intuitive Machines OpCo for the year ended December 31, 2022, giving effect to the Transactions as if they had been consummated on January 1, 2022, the beginning of the earliest period presented.</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103" w:lineRule="exact"/>
        <w:rPr>
          <w:sz w:val="20"/>
          <w:szCs w:val="20"/>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historical audited financial statements of IPAX as of and for the year ended December 31, 2022;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Intuitive Machines OpCo as of and for the year ended December 31, 2022.</w:t>
      </w:r>
    </w:p>
    <w:p>
      <w:pPr>
        <w:spacing w:after="0" w:line="103"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Transactions, which is discussed in further detail below. The unaudited pro forma condensed combined financial statements are presented for illustrative purposes only and do not purport to represent IPAX’s consolidated results of operations or the consolidated financial position that would actually have occurred had the Transactions been consummated on the dates assumed or to project IPAX’s consolidated results of operations or consolidated financial position for any future date or period.</w:t>
      </w:r>
    </w:p>
    <w:p>
      <w:pPr>
        <w:spacing w:after="0" w:line="8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 information included elsewhere in this prospectus.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the Domestication and Transactions</w:t>
      </w:r>
    </w:p>
    <w:p>
      <w:pPr>
        <w:spacing w:after="0" w:line="16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As previously announced, Intuitive Machines, a Delaware corporation (formerly, prior to the Domestication, a Cayman Islands exempted company), previously entered into the Business Combination Agreement, dated as of September 16, 2022, by and between IPAX and Intuitive Machines OpCo.</w:t>
      </w:r>
    </w:p>
    <w:p>
      <w:pPr>
        <w:spacing w:after="0" w:line="9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February 10, 2023, as contemplated by the Business Combination Agreement, IPAX filed a notice of deregistration with the Cayman Islands Registrar of Companies, together with the necessary accompanying documents, and filed</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certificate of incorporation and a certificate of corporate domestication with the Secretary of State of the State of Delaware, pursuant to which IPAX was domesticated and continues as a Delaware corporation, changing its name to “Intuitive Machines, Inc.”</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February 13, 2023 (the “Closing Date”), as contemplated by the Business Combination Agreement, Intuitive Machines and Intuitive Machines OpCo consummated the Transactions as contemplated by the Business Combination Agreement.</w:t>
      </w:r>
    </w:p>
    <w:p>
      <w:pPr>
        <w:spacing w:after="0" w:line="116"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foregoing description of the Transactions does not purport to be complete and is qualified in its entirety by the full text of the Business Combination Agreement and the full text of the A&amp;R Operating Agreement.</w:t>
      </w:r>
    </w:p>
    <w:p>
      <w:pPr>
        <w:spacing w:after="0" w:line="65"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Upon the consummation of the Transactions, the Class A Common Stock ownership distribution of the post-combination company, excluding the dilutive effect of Intuitive Machines options, outstanding Warrants, Warrants issuable upon conversion of any working capital loans, and Preferred Investor Warrants, is as follows: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Capitalization</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260" w:type="dxa"/>
            <w:vAlign w:val="bottom"/>
          </w:tcPr>
          <w:p>
            <w:pPr>
              <w:jc w:val="right"/>
              <w:ind w:right="4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Shareholders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5,493,182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Sponsor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8,243,750</w:t>
            </w: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Intuitive Machines OpCo Members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2,066,667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Cantor</w:t>
            </w:r>
            <w:r>
              <w:rPr>
                <w:rFonts w:ascii="Arial" w:cs="Arial" w:eastAsia="Arial" w:hAnsi="Arial"/>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5,228,205</w:t>
            </w: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Shares</w:t>
            </w: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21,031,804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93" w:lineRule="auto"/>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Assumes that Intuitive Machines will exercise its right to direct CF Principal Investments LLC (“Cantor”) to make a purchase of 5.1 million shares of Class A Common Stock under the Equity Facility (as defined below) in addition to 0.1 million shares of Class A Common Stock that Intuitive Machines has agreed to issue to Cantor in connection with the Equity Facility (the “Commitment Shares”); these shares are not legally issued and outstanding as of the Closing Date. See adjustment (J) for further details related to this arrangement.</w:t>
      </w:r>
    </w:p>
    <w:p>
      <w:pPr>
        <w:spacing w:after="0" w:line="10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Upon the consummation of the Transactions, the ownership distribution of the post-combination company related to all instruments other than the Class A Common Stock is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instruments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2"/>
              </w:rPr>
              <w:t>Class/Instrument</w:t>
            </w:r>
          </w:p>
        </w:tc>
      </w:tr>
      <w:tr>
        <w:trPr>
          <w:trHeight w:val="47"/>
        </w:trPr>
        <w:tc>
          <w:tcPr>
            <w:tcW w:w="47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Investors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Preferred Shares</w:t>
            </w:r>
          </w:p>
        </w:tc>
      </w:tr>
      <w:tr>
        <w:trPr>
          <w:trHeight w:val="283"/>
        </w:trPr>
        <w:tc>
          <w:tcPr>
            <w:tcW w:w="4700" w:type="dxa"/>
            <w:vAlign w:val="bottom"/>
          </w:tcPr>
          <w:p>
            <w:pPr>
              <w:spacing w:after="0"/>
              <w:rPr>
                <w:sz w:val="20"/>
                <w:szCs w:val="20"/>
                <w:color w:val="auto"/>
              </w:rPr>
            </w:pPr>
            <w:r>
              <w:rPr>
                <w:rFonts w:ascii="Arial" w:cs="Arial" w:eastAsia="Arial" w:hAnsi="Arial"/>
                <w:sz w:val="18"/>
                <w:szCs w:val="18"/>
                <w:color w:val="auto"/>
              </w:rPr>
              <w:t>Intuitive Machines OpCo Members</w:t>
            </w:r>
            <w:r>
              <w:rPr>
                <w:rFonts w:ascii="Arial" w:cs="Arial" w:eastAsia="Arial" w:hAnsi="Arial"/>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15,015</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Class B Common Stock</w:t>
            </w:r>
          </w:p>
        </w:tc>
      </w:tr>
      <w:tr>
        <w:trPr>
          <w:trHeight w:val="28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Intuitive Machines OpCo Members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68,140,188</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Class C Common Stock</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Public Shareholders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16,487,500</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Public Warrants</w:t>
            </w:r>
          </w:p>
        </w:tc>
      </w:tr>
      <w:tr>
        <w:trPr>
          <w:trHeight w:val="40"/>
        </w:trPr>
        <w:tc>
          <w:tcPr>
            <w:tcW w:w="4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Sponsor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6,845,000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Private Warrants</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Series A Investors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541,667</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Preferred Investor Warrants</w:t>
            </w:r>
          </w:p>
        </w:tc>
      </w:tr>
      <w:tr>
        <w:trPr>
          <w:trHeight w:val="40"/>
        </w:trPr>
        <w:tc>
          <w:tcPr>
            <w:tcW w:w="4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8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Intuitive Machines OpCo Members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Earn Out Units</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79" w:hanging="426"/>
        <w:spacing w:after="0" w:line="278"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Intuitive Machines Class B Common Stock and Intuitive Machines Class C Common Stock represent noneconomic ownership in the post-combination company; however, these shares coincide with Intuitive Machines OpCo Common Units, which represent an economic interest in Intuitive Machines OpCo.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Series A Investment</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September 16, 2022, concurrently with the execution of the Business Combination Agreement, IPAX entered into the Series A Purchase Agreement with the Series A Investors, pursuant to, and on the terms and subject to the conditions of which, Intuitive Machines issued and sold to the Series A Investors (i) an aggregate of 26,000 shares of Series A Preferred Stock which will be convertible into 2,166,667 shares of Intuitive Machines Class A Common Stock and (ii) Preferred Investor Warrants to purchase 541,667 shares of Intuitive Machines Class A Common Stock at an initial exercise price of $15.00 per share, subject to adjustment. The Series A Investment was consummated following the Domestication but immediately prior to the Closing Date.</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the Transactions</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Transactions have been accounted for as a common control transaction with respect to Intuitive Machines OpCo which is akin to a reverse recapitalization. Net assets of IPAX are stated at historical cost with no goodwill or other intangible assets recorded in accordance with GAAP. The Transactions with respect to Intuitive Machines OpCo has not been treated as a change in control due primarily to one of the Intuitive Machines OpCo Members receiving the controlling voting stake in the post-combination company; their continued management of the post-combination company; and their ability to nominate a majority of the board of directors of the post-combination company. Under the guidance in ASC 805 for transactions between entities under common control, the assets, liabilities, and noncontrolling interests of Intuitive Machines OpCo and IPAX are recognized at their carrying amounts on the date of the Transactions.</w:t>
      </w:r>
    </w:p>
    <w:p>
      <w:pPr>
        <w:spacing w:after="0" w:line="11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Under a reverse recapitalization, IPAX has been treated as the “acquired” company for financial reporting purposes. Accordingly, for accounting purposes, the Transactions have been treated as the equivalent of Intuitive Machines OpCo issuing stock for the net assets of IPAX, accompanied by a recapitalization.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Receivable Agreement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the Closing Date, Intuitive Machines entered into a Tax Receivable Agreement with Intuitive Machines OpCo and the TRA Holders. Pursuant to the Tax Receivable Agreement, Intuitive Machines will generally be required to pay the TRA Holders 85% of the amount of the cash tax savings, if any, in U.S. federal, state, and local taxes that are based on, or measured with respect to, net income or profits, and any interest related thereto that Intuitive Machines (and applicable consolidated, unitary, or combined subsidiaries thereof, if any and collectively the “Tax Group”) realizes, or is deemed to realize, as a result of certain tax attributes (the “Tax Attributes”), including:</w:t>
      </w:r>
    </w:p>
    <w:p>
      <w:pPr>
        <w:spacing w:after="0" w:line="114" w:lineRule="exact"/>
        <w:rPr>
          <w:sz w:val="20"/>
          <w:szCs w:val="20"/>
          <w:color w:val="auto"/>
        </w:rPr>
      </w:pPr>
    </w:p>
    <w:p>
      <w:pPr>
        <w:jc w:val="both"/>
        <w:ind w:left="1320" w:right="459" w:hanging="434"/>
        <w:spacing w:after="0" w:line="275" w:lineRule="auto"/>
        <w:tabs>
          <w:tab w:leader="none" w:pos="1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existing tax basis in certain assets of Intuitive Machines OpCo and certain of its direct or indirect subsidiaries (including assets that will eventually be subject to depreciation or amortization once placed in service) that is obtained (i) by Intuitive Machines in connection with the Business Combination and (ii) by Intuitive Machines in connection with and is attributable to an Intuitive Machines OpCo Common Unit exchanged or redeemed by a TRA Holder;</w:t>
      </w:r>
    </w:p>
    <w:p>
      <w:pPr>
        <w:spacing w:after="0" w:line="108" w:lineRule="exact"/>
        <w:rPr>
          <w:rFonts w:ascii="Arial" w:cs="Arial" w:eastAsia="Arial" w:hAnsi="Arial"/>
          <w:sz w:val="17"/>
          <w:szCs w:val="17"/>
          <w:color w:val="auto"/>
        </w:rPr>
      </w:pPr>
    </w:p>
    <w:p>
      <w:pPr>
        <w:jc w:val="both"/>
        <w:ind w:left="1320" w:right="479" w:hanging="434"/>
        <w:spacing w:after="0" w:line="311" w:lineRule="auto"/>
        <w:tabs>
          <w:tab w:leader="none" w:pos="1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basis adjustments resulting from future redemptions or exchanges of Intuitive Machines OpCo Common Units from the TRA Holders or certain distributions (or deemed distributions) by Intuitive Machines OpCo and certain payments made under the Tax Receivable Agreement; and</w:t>
      </w:r>
    </w:p>
    <w:p>
      <w:pPr>
        <w:spacing w:after="0" w:line="81"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deductions attributable to imputed interest and other payments of interest by Intuitive Machines pursuant to the Tax Receivable Agreement.</w:t>
      </w:r>
    </w:p>
    <w:p>
      <w:pPr>
        <w:spacing w:after="0" w:line="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Upon the consummation of the Transactions, Intuitive Machines became a party to the Tax Receivable Agreement. Under the terms of the Tax Receivable Agreement, Intuitive Machines will make payments to the TRA Holders in respect of 85% of the cash tax savings resulting from the net tax benefit to Intuitive Machines of certain tax attributes (calculated using certain assumptions, and subject to the terms of the Tax Receivable Agreement). However, until a TRA Holder exchanges at least 5% of its Intuitive Machines OpCo Common Units, Intuitive Machines will hold such payments applicable to existing basis until the TRA Holder satisfies such threshold exchange. Upon the consummation of the Transactions, no TRA Holder has exchanged at least 5% of its Intuitive Machines OpCo Common Units. The tax impacts of the transaction were estimated based on the applicable law in effect on December 31, 2022.</w:t>
      </w:r>
    </w:p>
    <w:p>
      <w:pPr>
        <w:spacing w:after="0" w:line="11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Due to the uncertainty as to the amount and timing of future exchanges of Intuitive Machines OpCo Common Units by the TRA Holders and as to the price of Intuitive Machines Class A Common Stock at the time of any such exchanges, the unaudited pro forma condensed combined financial information does not assume that any existing equityholder of Intuitive Machines OpCo have exchanged Intuitive Machines OpCo Common Units that would create an obligation under the Tax Receivable Agreement. Therefore, no increases in tax basis in Intuitive Machines OpCo’s assets or other tax benefits that may be realized under the Tax Receivable Agreement have been reflected in the unaudited condensed combined pro forma financial information. Future exchanges will result in incremental tax attributes and potential cash tax savings for Intuitive Machines. Depending on Intuitive Machines’ assessment on realizability of such tax attributes, the arising Tax Receivable Agreement liability will be recorded at the exchange date against equity, or at a later point through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However, if all of the TRA Holders were to exchange or sell us all of their Intuitive Machines OpCo Common Units, we would recognize a deferred tax asset of approximately $160.9 million and a liability under the Tax Receivable Agreement of approximately $141.0 million, assuming: (i) all exchanges or purchases occurred on the same day; (ii) a price of $10 per share; (iii) a constant corporate tax rate; (iv) that we will have sufficient taxable income to fully utilize the tax benefits; and (v) no material changes in tax law. These amounts are estimates and have been prepared for illustrative purposes only. The actual amount of deferred tax assets and related liabilities that we will recognize will differ based on, among other things, the timing of the exchanges, the price per share of Intuitive Machines Class A Common Stock at the time of the exchange, and the tax rates then in effect and certain change of control or early termination events occurring.</w:t>
      </w:r>
    </w:p>
    <w:p>
      <w:pPr>
        <w:spacing w:after="0" w:line="9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If Intuitive Machines exercises its right to terminate the Tax Receivable Agreement or in the case of a change in control of Intuitive Machines or a material breach of Intuitive Machines’ obligations under the Tax Receivable Agreement, all obligations under the Tax Receivable Agreement will be accelerated and Intuitive Machines will be required to make a payment to the TRA Holders in an amount equal to the present value of future payments under the Tax Receivable Agreement. This payment would be based on certain assumptions, including that Intuitive Machines would have sufficient taxable income to fully utilize the benefits arising from the Tax Attributes subject to the Tax Receivable Agreement. If Intuitive Machines were to elect to terminate the Tax Receivable Agreement immediately after the consummation of the Transactions, assuming the market value of Intuitive Machines Class A Common Stock is equal to $10 per share, Intuitive Machines currently estimates that it would be required to pay approximately $85.1 million to satisfy its total liability.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Facility</w:t>
      </w:r>
    </w:p>
    <w:p>
      <w:pPr>
        <w:spacing w:after="0" w:line="16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On September 16, 2022, IPAX entered into the common stock purchase agreement with Cantor (“Common Stock Purchase Agreement”), for certain shares of Class A Common Stock (the “Equity Facility”). Pursuant to the terms of the Common Stock Purchase Agreement, Intuitive Machines will have the right, but not the obligation, from time to time at its sole discretion, until the first day of the month following the 18-month period from and after the Commencement, to direct Cantor to purchase up to the lesser of</w:t>
      </w:r>
    </w:p>
    <w:p>
      <w:pPr>
        <w:spacing w:after="0" w:line="3" w:lineRule="exact"/>
        <w:rPr>
          <w:sz w:val="20"/>
          <w:szCs w:val="20"/>
          <w:color w:val="auto"/>
        </w:rPr>
      </w:pPr>
    </w:p>
    <w:p>
      <w:pPr>
        <w:jc w:val="both"/>
        <w:ind w:left="460" w:right="459" w:hanging="6"/>
        <w:spacing w:after="0" w:line="253"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 million of newly issued Intuitive Machines Class A Common Stock and (ii) the Exchange Cap (as defined in the Common Stock Purchase Agreement), by delivering written notice to Cantor prior to the commencement of trading on any trading day, subject to certain customary conditions and limitations set forth in the Common Stock Purchase Agreement. In connection with the execution of the Common Stock Purchase Agreement, IPAX agreed to issue the Commitment Shares to Cantor.</w:t>
      </w:r>
    </w:p>
    <w:p>
      <w:pPr>
        <w:spacing w:after="0" w:line="110"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 xml:space="preserve">Proceeds related to the Equity Facility are fully reflected within the pro formas, as it is the intent of Intuitive Machines to exercise its right to direct Cantor to make a purchase under the Equity Facility; however, these shares were not legally outstanding at the Closing Date. The Equity Facility will be accounted for as a purchased put option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The Commitment Shares issued to Cantor in accordance with the Common Stock Purchase Agreement will be classified as equity.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Pro Forma Presentation</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historical financial information has been adjusted to give pro forma effect to the transaction accounting required for the Transactions. The adjustments in the pro forma condensed combined financial information have been identified and presented to provide relevant information necessary for an accurate understanding of the combined entity upon the consummation of the Transactions.</w:t>
      </w:r>
    </w:p>
    <w:p>
      <w:pPr>
        <w:spacing w:after="0" w:line="11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Assumptions and estimates underlying the unaudited pro forma adjustments set forth in the pro forma condensed combined financial statements are described in the accompanying notes thereto. The pro forma condensed combined financial statements have been presented for illustrative purposes only and are not necessarily indicative of the operating results and financial position that would have been achieved had the Transactions occurred on the dates indicated. Further, the pro forma condensed combined financial statements do not purport to project the future operating results or financial position of Intuitive Machines following the completion of the Transactions. The unaudited pro forma adjustments represent Intuitive Machines management’s estimates based on information available as of the date of these pro forma condensed combined financial statements and are subject to change as additional information becomes available and analyses are performed.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IPAX and Intuitive Machines OpCo have not had any historical relationship prior to the Transactions.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no pro forma adjustments were required to eliminate activities between the companies.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Intuitive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Machines</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IPAX</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Transaction</w:t>
            </w:r>
          </w:p>
        </w:tc>
        <w:tc>
          <w:tcPr>
            <w:tcW w:w="5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Historical</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Historical</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Adjustments</w:t>
            </w: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36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25,764</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29,338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26,000</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(27,919)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50,000</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(J)</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(K)</w:t>
            </w: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Contract assets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6,979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23,136</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(K)</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21,176</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334,589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(309,222)</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(K)</w:t>
            </w: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26,012</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334,589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(334,589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40" w:type="dxa"/>
            <w:vAlign w:val="bottom"/>
            <w:vMerge w:val="continue"/>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67,004</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334,940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(240,178</w:t>
            </w:r>
          </w:p>
        </w:tc>
        <w:tc>
          <w:tcPr>
            <w:tcW w:w="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161,766</w:t>
            </w:r>
          </w:p>
        </w:tc>
        <w:tc>
          <w:tcPr>
            <w:tcW w:w="0" w:type="dxa"/>
            <w:vAlign w:val="bottom"/>
          </w:tcPr>
          <w:p>
            <w:pPr>
              <w:spacing w:after="0"/>
              <w:rPr>
                <w:sz w:val="1"/>
                <w:szCs w:val="1"/>
                <w:color w:val="auto"/>
              </w:rPr>
            </w:pPr>
          </w:p>
        </w:tc>
      </w:tr>
      <w:tr>
        <w:trPr>
          <w:trHeight w:val="270"/>
        </w:trPr>
        <w:tc>
          <w:tcPr>
            <w:tcW w:w="364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SHAREHOLDERS’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Accounts payable – affiliated companies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16,098</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Contract liabilities, current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56,656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56,656</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(3,661)</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offering costs and expenses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Due to related party</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Loan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95,180</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4,433</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Contract liabilities, non-current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5,078</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Simple Agreements for Future Equity (“SAFE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(18,314)</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99,659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4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29,443</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81,345</w:t>
            </w:r>
          </w:p>
        </w:tc>
        <w:tc>
          <w:tcPr>
            <w:tcW w:w="5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110,788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124,623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4,433</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73,876</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202,932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534" w:gutter="0" w:footer="0" w:header="0"/>
        </w:sect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534" w:gutter="0" w:footer="0" w:header="0"/>
          <w:type w:val="continuous"/>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Unaudited Pro Forma Condensed Combined Balance Sheet As of December 31, 2022 — (Continued) (in thousands)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7"/>
              </w:rPr>
              <w:t>Intuitive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Machines</w:t>
            </w:r>
          </w:p>
        </w:tc>
        <w:tc>
          <w:tcPr>
            <w:tcW w:w="10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IPAX</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Transaction</w:t>
            </w:r>
          </w:p>
        </w:tc>
        <w:tc>
          <w:tcPr>
            <w:tcW w:w="52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Historical</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Historical</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Adjustments</w:t>
            </w:r>
          </w:p>
        </w:tc>
        <w:tc>
          <w:tcPr>
            <w:tcW w:w="5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36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Common stock subject to possible redemption</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320,720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(320,720)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(D)</w:t>
            </w:r>
          </w:p>
        </w:tc>
        <w:tc>
          <w:tcPr>
            <w:tcW w:w="10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Series A Preferred Stock subject to possible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25,825</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25,825</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(31,458)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(31,458)</w:t>
            </w: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Class A common stock</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(D)</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Common units</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(E)</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w:t>
            </w:r>
          </w:p>
        </w:tc>
        <w:tc>
          <w:tcPr>
            <w:tcW w:w="10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Class C common stock</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7</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(E)</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14,967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(279,884)</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41,120</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175</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320,719</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18,308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(99,659)</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(G)</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31,458</w:t>
            </w:r>
          </w:p>
        </w:tc>
        <w:tc>
          <w:tcPr>
            <w:tcW w:w="520" w:type="dxa"/>
            <w:vAlign w:val="bottom"/>
          </w:tcPr>
          <w:p>
            <w:pPr>
              <w:jc w:val="center"/>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51,000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(J)</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(72,587)</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506</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(H)</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(J)</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(3,075)</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(K)</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12,299</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67,004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334,940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(240,178</w:t>
            </w:r>
          </w:p>
        </w:tc>
        <w:tc>
          <w:tcPr>
            <w:tcW w:w="12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161,766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2022 (in thousands)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Intuitive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Machines</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IPAX</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2"/>
              </w:rPr>
              <w:t>Transaction</w:t>
            </w:r>
          </w:p>
        </w:tc>
        <w:tc>
          <w:tcPr>
            <w:tcW w:w="5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Pro Forma</w:t>
            </w:r>
          </w:p>
        </w:tc>
      </w:tr>
      <w:tr>
        <w:trPr>
          <w:trHeight w:val="210"/>
        </w:trPr>
        <w:tc>
          <w:tcPr>
            <w:tcW w:w="3460" w:type="dxa"/>
            <w:vAlign w:val="bottom"/>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Historical</w:t>
            </w:r>
          </w:p>
        </w:tc>
        <w:tc>
          <w:tcPr>
            <w:tcW w:w="10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5"/>
              </w:rPr>
              <w:t>Historical</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0"/>
              </w:rPr>
              <w:t>Adjustments</w:t>
            </w:r>
          </w:p>
        </w:tc>
        <w:tc>
          <w:tcPr>
            <w:tcW w:w="5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Combined</w:t>
            </w:r>
          </w:p>
        </w:tc>
      </w:tr>
      <w:tr>
        <w:trPr>
          <w:trHeight w:val="47"/>
        </w:trPr>
        <w:tc>
          <w:tcPr>
            <w:tcW w:w="34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85,946</w:t>
            </w:r>
          </w:p>
        </w:tc>
        <w:tc>
          <w:tcPr>
            <w:tcW w:w="1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85,946</w:t>
            </w: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3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5,024</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5,024</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Cost of services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75,513</w:t>
            </w:r>
          </w:p>
        </w:tc>
        <w:tc>
          <w:tcPr>
            <w:tcW w:w="1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75,513</w:t>
            </w: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14,868</w:t>
            </w: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Depreciation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2"/>
                <w:szCs w:val="2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r>
      <w:tr>
        <w:trPr>
          <w:trHeight w:val="27"/>
        </w:trPr>
        <w:tc>
          <w:tcPr>
            <w:tcW w:w="3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91,453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5,024</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96,477</w:t>
            </w:r>
          </w:p>
        </w:tc>
      </w:t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(10,531)</w:t>
            </w:r>
          </w:p>
        </w:tc>
        <w:tc>
          <w:tcPr>
            <w:tcW w:w="120" w:type="dxa"/>
            <w:vAlign w:val="bottom"/>
          </w:tcPr>
          <w:p>
            <w:pPr>
              <w:spacing w:after="0"/>
              <w:rPr>
                <w:sz w:val="19"/>
                <w:szCs w:val="19"/>
                <w:color w:val="auto"/>
              </w:rPr>
            </w:pPr>
          </w:p>
        </w:tc>
      </w:tr>
      <w:tr>
        <w:trPr>
          <w:trHeight w:val="36"/>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3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b w:val="1"/>
                <w:bCs w:val="1"/>
                <w:color w:val="auto"/>
              </w:rPr>
              <w:t>OTHER NONOPERATING INCOME</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Change in fair value of over-allotment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cost of over-allotment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4,834</w:t>
            </w: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(4,834)</w:t>
            </w:r>
          </w:p>
        </w:tc>
        <w:tc>
          <w:tcPr>
            <w:tcW w:w="580" w:type="dxa"/>
            <w:vAlign w:val="bottom"/>
          </w:tcPr>
          <w:p>
            <w:pPr>
              <w:ind w:left="100"/>
              <w:spacing w:after="0"/>
              <w:rPr>
                <w:sz w:val="20"/>
                <w:szCs w:val="20"/>
                <w:color w:val="auto"/>
              </w:rPr>
            </w:pPr>
            <w:r>
              <w:rPr>
                <w:rFonts w:ascii="Arial" w:cs="Arial" w:eastAsia="Arial" w:hAnsi="Arial"/>
                <w:sz w:val="18"/>
                <w:szCs w:val="18"/>
                <w:color w:val="auto"/>
              </w:rPr>
              <w:t>(AA)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SAFE agreements</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Other income, net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580" w:type="dxa"/>
            <w:vAlign w:val="bottom"/>
          </w:tcPr>
          <w:p>
            <w:pPr>
              <w:ind w:left="100"/>
              <w:spacing w:after="0"/>
              <w:rPr>
                <w:sz w:val="20"/>
                <w:szCs w:val="20"/>
                <w:color w:val="auto"/>
              </w:rPr>
            </w:pPr>
            <w:r>
              <w:rPr>
                <w:rFonts w:ascii="Arial" w:cs="Arial" w:eastAsia="Arial" w:hAnsi="Arial"/>
                <w:sz w:val="18"/>
                <w:szCs w:val="18"/>
                <w:color w:val="auto"/>
              </w:rPr>
              <w:t>(DD)</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(1,744)</w:t>
            </w:r>
          </w:p>
        </w:tc>
      </w:tr>
      <w:tr>
        <w:trPr>
          <w:trHeight w:val="40"/>
        </w:trPr>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3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(EE)</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4" w:right="1440" w:bottom="1440" w:gutter="0" w:footer="0" w:header="0"/>
        </w:sectPr>
      </w:pPr>
    </w:p>
    <w:p>
      <w:pPr>
        <w:ind w:left="460"/>
        <w:spacing w:after="0"/>
        <w:rPr>
          <w:sz w:val="20"/>
          <w:szCs w:val="20"/>
          <w:color w:val="auto"/>
        </w:rPr>
      </w:pPr>
      <w:r>
        <w:rPr>
          <w:rFonts w:ascii="Arial" w:cs="Arial" w:eastAsia="Arial" w:hAnsi="Arial"/>
          <w:sz w:val="18"/>
          <w:szCs w:val="18"/>
          <w:b w:val="1"/>
          <w:bCs w:val="1"/>
          <w:color w:val="auto"/>
        </w:rPr>
        <w:t>Total other nonoperating income</w:t>
      </w:r>
    </w:p>
    <w:p>
      <w:pPr>
        <w:spacing w:after="0" w:line="328" w:lineRule="exact"/>
        <w:rPr>
          <w:sz w:val="20"/>
          <w:szCs w:val="20"/>
          <w:color w:val="auto"/>
        </w:rPr>
      </w:pPr>
    </w:p>
    <w:p>
      <w:pPr>
        <w:ind w:left="640" w:right="300" w:hanging="179"/>
        <w:spacing w:after="0" w:line="282" w:lineRule="auto"/>
        <w:rPr>
          <w:sz w:val="20"/>
          <w:szCs w:val="20"/>
          <w:color w:val="auto"/>
        </w:rPr>
      </w:pPr>
      <w:r>
        <w:rPr>
          <w:rFonts w:ascii="Arial" w:cs="Arial" w:eastAsia="Arial" w:hAnsi="Arial"/>
          <w:sz w:val="18"/>
          <w:szCs w:val="18"/>
          <w:b w:val="1"/>
          <w:bCs w:val="1"/>
          <w:color w:val="auto"/>
        </w:rPr>
        <w:t>Net income (loss) before provision for income taxes</w:t>
      </w:r>
    </w:p>
    <w:p>
      <w:pPr>
        <w:spacing w:after="0" w:line="17" w:lineRule="exact"/>
        <w:rPr>
          <w:sz w:val="20"/>
          <w:szCs w:val="20"/>
          <w:color w:val="auto"/>
        </w:rPr>
      </w:pPr>
    </w:p>
    <w:p>
      <w:pPr>
        <w:ind w:left="460" w:right="160"/>
        <w:spacing w:after="0" w:line="313" w:lineRule="auto"/>
        <w:rPr>
          <w:sz w:val="20"/>
          <w:szCs w:val="20"/>
          <w:color w:val="auto"/>
        </w:rPr>
      </w:pPr>
      <w:r>
        <w:rPr>
          <w:rFonts w:ascii="Arial" w:cs="Arial" w:eastAsia="Arial" w:hAnsi="Arial"/>
          <w:sz w:val="18"/>
          <w:szCs w:val="18"/>
          <w:color w:val="auto"/>
        </w:rPr>
        <w:t xml:space="preserve">(Provision for)/Benefit from income taxes </w:t>
      </w:r>
      <w:r>
        <w:rPr>
          <w:rFonts w:ascii="Arial" w:cs="Arial" w:eastAsia="Arial" w:hAnsi="Arial"/>
          <w:sz w:val="18"/>
          <w:szCs w:val="18"/>
          <w:b w:val="1"/>
          <w:bCs w:val="1"/>
          <w:color w:val="auto"/>
        </w:rPr>
        <w:t>Net income (loss)</w:t>
      </w:r>
    </w:p>
    <w:p>
      <w:pPr>
        <w:ind w:left="640" w:right="480" w:hanging="179"/>
        <w:spacing w:after="0" w:line="305" w:lineRule="auto"/>
        <w:rPr>
          <w:sz w:val="20"/>
          <w:szCs w:val="20"/>
          <w:color w:val="auto"/>
        </w:rPr>
      </w:pPr>
      <w:r>
        <w:rPr>
          <w:rFonts w:ascii="Arial" w:cs="Arial" w:eastAsia="Arial" w:hAnsi="Arial"/>
          <w:sz w:val="16"/>
          <w:szCs w:val="16"/>
          <w:color w:val="auto"/>
        </w:rPr>
        <w:t>Net income (loss) attributable to non-controlling interests, net of tax</w:t>
      </w:r>
    </w:p>
    <w:p>
      <w:pPr>
        <w:spacing w:after="0" w:line="1"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Net Income (loss) attributable to Intuitive Machines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(921)</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4,834</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(6,584)</w:t>
            </w:r>
          </w:p>
        </w:tc>
        <w:tc>
          <w:tcPr>
            <w:tcW w:w="5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(2,671)</w:t>
            </w:r>
          </w:p>
        </w:tc>
        <w:tc>
          <w:tcPr>
            <w:tcW w:w="0" w:type="dxa"/>
            <w:vAlign w:val="bottom"/>
          </w:tcPr>
          <w:p>
            <w:pPr>
              <w:spacing w:after="0"/>
              <w:rPr>
                <w:sz w:val="1"/>
                <w:szCs w:val="1"/>
                <w:color w:val="auto"/>
              </w:rPr>
            </w:pPr>
          </w:p>
        </w:tc>
      </w:tr>
      <w:tr>
        <w:trPr>
          <w:trHeight w:val="765"/>
        </w:trPr>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(6,428)</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(190)</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(6,584)</w:t>
            </w:r>
          </w:p>
        </w:tc>
        <w:tc>
          <w:tcPr>
            <w:tcW w:w="5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(13,202)</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(BB)</w:t>
            </w:r>
          </w:p>
        </w:tc>
        <w:tc>
          <w:tcPr>
            <w:tcW w:w="9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560" w:type="dxa"/>
            <w:vAlign w:val="bottom"/>
            <w:vMerge w:val="continue"/>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(2,838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(9,445</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560" w:type="dxa"/>
            <w:vAlign w:val="bottom"/>
          </w:tcPr>
          <w:p>
            <w:pPr>
              <w:spacing w:after="0"/>
              <w:rPr>
                <w:sz w:val="21"/>
                <w:szCs w:val="21"/>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(16,040</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(12,257)</w:t>
            </w:r>
          </w:p>
        </w:tc>
        <w:tc>
          <w:tcPr>
            <w:tcW w:w="560" w:type="dxa"/>
            <w:vAlign w:val="bottom"/>
          </w:tcPr>
          <w:p>
            <w:pPr>
              <w:ind w:left="80"/>
              <w:spacing w:after="0"/>
              <w:rPr>
                <w:sz w:val="20"/>
                <w:szCs w:val="20"/>
                <w:color w:val="auto"/>
              </w:rPr>
            </w:pPr>
            <w:r>
              <w:rPr>
                <w:rFonts w:ascii="Arial" w:cs="Arial" w:eastAsia="Arial" w:hAnsi="Arial"/>
                <w:sz w:val="18"/>
                <w:szCs w:val="18"/>
                <w:color w:val="auto"/>
              </w:rPr>
              <w:t>(CC)</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(6,405)</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(190)</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2,812</w:t>
            </w:r>
          </w:p>
        </w:tc>
        <w:tc>
          <w:tcPr>
            <w:tcW w:w="5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(3,783)</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-1456690</wp:posOffset>
            </wp:positionV>
            <wp:extent cx="514350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-976630</wp:posOffset>
            </wp:positionV>
            <wp:extent cx="514350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-616585</wp:posOffset>
            </wp:positionV>
            <wp:extent cx="514350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40" w:space="280"/>
            <w:col w:w="509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4"/>
        </w:trPr>
        <w:tc>
          <w:tcPr>
            <w:tcW w:w="3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of</w:t>
            </w:r>
          </w:p>
        </w:tc>
        <w:tc>
          <w:tcPr>
            <w:tcW w:w="1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redeemable Class A common stock</w:t>
            </w:r>
          </w:p>
        </w:tc>
        <w:tc>
          <w:tcPr>
            <w:tcW w:w="1100" w:type="dxa"/>
            <w:vAlign w:val="bottom"/>
          </w:tcPr>
          <w:p>
            <w:pPr>
              <w:spacing w:after="0"/>
              <w:rPr>
                <w:sz w:val="20"/>
                <w:szCs w:val="20"/>
                <w:color w:val="auto"/>
              </w:rPr>
            </w:pPr>
          </w:p>
        </w:tc>
        <w:tc>
          <w:tcPr>
            <w:tcW w:w="3600" w:type="dxa"/>
            <w:vAlign w:val="bottom"/>
          </w:tcPr>
          <w:p>
            <w:pPr>
              <w:jc w:val="right"/>
              <w:ind w:right="2610"/>
              <w:spacing w:after="0"/>
              <w:rPr>
                <w:sz w:val="20"/>
                <w:szCs w:val="20"/>
                <w:color w:val="auto"/>
              </w:rPr>
            </w:pPr>
            <w:r>
              <w:rPr>
                <w:rFonts w:ascii="Arial" w:cs="Arial" w:eastAsia="Arial" w:hAnsi="Arial"/>
                <w:sz w:val="18"/>
                <w:szCs w:val="18"/>
                <w:color w:val="auto"/>
                <w:w w:val="97"/>
              </w:rPr>
              <w:t>32,975,000</w:t>
            </w:r>
          </w:p>
        </w:tc>
      </w:tr>
      <w:tr>
        <w:trPr>
          <w:trHeight w:val="40"/>
        </w:trPr>
        <w:tc>
          <w:tcPr>
            <w:tcW w:w="3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0" w:type="dxa"/>
            <w:vAlign w:val="bottom"/>
          </w:tcPr>
          <w:p>
            <w:pPr>
              <w:spacing w:after="0"/>
              <w:rPr>
                <w:sz w:val="3"/>
                <w:szCs w:val="3"/>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w:t>
            </w:r>
          </w:p>
        </w:tc>
        <w:tc>
          <w:tcPr>
            <w:tcW w:w="11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r>
        <w:trPr>
          <w:trHeight w:val="251"/>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Class A common stock</w:t>
            </w:r>
          </w:p>
        </w:tc>
        <w:tc>
          <w:tcPr>
            <w:tcW w:w="110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jc w:val="right"/>
              <w:ind w:right="2550"/>
              <w:spacing w:after="0"/>
              <w:rPr>
                <w:sz w:val="20"/>
                <w:szCs w:val="20"/>
                <w:color w:val="auto"/>
              </w:rPr>
            </w:pPr>
            <w:r>
              <w:rPr>
                <w:rFonts w:ascii="Arial" w:cs="Arial" w:eastAsia="Arial" w:hAnsi="Arial"/>
                <w:sz w:val="18"/>
                <w:szCs w:val="18"/>
                <w:color w:val="auto"/>
              </w:rPr>
              <w:t>(0.00)</w:t>
            </w:r>
          </w:p>
        </w:tc>
      </w:tr>
      <w:tr>
        <w:trPr>
          <w:trHeight w:val="283"/>
        </w:trPr>
        <w:tc>
          <w:tcPr>
            <w:tcW w:w="3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of</w:t>
            </w:r>
          </w:p>
        </w:tc>
        <w:tc>
          <w:tcPr>
            <w:tcW w:w="11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r>
        <w:trPr>
          <w:trHeight w:val="251"/>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non-redeemable common stock</w:t>
            </w:r>
          </w:p>
        </w:tc>
        <w:tc>
          <w:tcPr>
            <w:tcW w:w="110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jc w:val="right"/>
              <w:ind w:right="2610"/>
              <w:spacing w:after="0"/>
              <w:rPr>
                <w:sz w:val="20"/>
                <w:szCs w:val="20"/>
                <w:color w:val="auto"/>
              </w:rPr>
            </w:pPr>
            <w:r>
              <w:rPr>
                <w:rFonts w:ascii="Arial" w:cs="Arial" w:eastAsia="Arial" w:hAnsi="Arial"/>
                <w:sz w:val="18"/>
                <w:szCs w:val="18"/>
                <w:color w:val="auto"/>
              </w:rPr>
              <w:t>8,243,750</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4"/>
              </w:rPr>
              <w:t>Basic and diluted net loss per share, Class B</w:t>
            </w:r>
          </w:p>
        </w:tc>
        <w:tc>
          <w:tcPr>
            <w:tcW w:w="1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non-redeemable common stock</w:t>
            </w:r>
          </w:p>
        </w:tc>
        <w:tc>
          <w:tcPr>
            <w:tcW w:w="1100" w:type="dxa"/>
            <w:vAlign w:val="bottom"/>
          </w:tcPr>
          <w:p>
            <w:pPr>
              <w:spacing w:after="0"/>
              <w:rPr>
                <w:sz w:val="20"/>
                <w:szCs w:val="20"/>
                <w:color w:val="auto"/>
              </w:rPr>
            </w:pPr>
          </w:p>
        </w:tc>
        <w:tc>
          <w:tcPr>
            <w:tcW w:w="3600" w:type="dxa"/>
            <w:vAlign w:val="bottom"/>
          </w:tcPr>
          <w:p>
            <w:pPr>
              <w:jc w:val="right"/>
              <w:ind w:right="2550"/>
              <w:spacing w:after="0"/>
              <w:rPr>
                <w:sz w:val="20"/>
                <w:szCs w:val="20"/>
                <w:color w:val="auto"/>
              </w:rPr>
            </w:pPr>
            <w:r>
              <w:rPr>
                <w:rFonts w:ascii="Arial" w:cs="Arial" w:eastAsia="Arial" w:hAnsi="Arial"/>
                <w:sz w:val="18"/>
                <w:szCs w:val="18"/>
                <w:color w:val="auto"/>
              </w:rPr>
              <w:t>(0.00)</w:t>
            </w:r>
          </w:p>
        </w:tc>
      </w:tr>
      <w:tr>
        <w:trPr>
          <w:trHeight w:val="40"/>
        </w:trPr>
        <w:tc>
          <w:tcPr>
            <w:tcW w:w="3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0" w:type="dxa"/>
            <w:vAlign w:val="bottom"/>
          </w:tcPr>
          <w:p>
            <w:pPr>
              <w:spacing w:after="0"/>
              <w:rPr>
                <w:sz w:val="3"/>
                <w:szCs w:val="3"/>
                <w:color w:val="auto"/>
              </w:rPr>
            </w:pPr>
          </w:p>
        </w:tc>
      </w:tr>
      <w:tr>
        <w:trPr>
          <w:trHeight w:val="284"/>
        </w:trPr>
        <w:tc>
          <w:tcPr>
            <w:tcW w:w="3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Pro forma weighted average shares</w:t>
            </w:r>
          </w:p>
        </w:tc>
        <w:tc>
          <w:tcPr>
            <w:tcW w:w="1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outstanding of Class A common stock</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3"/>
              </w:rPr>
              <w:t>122,501,241</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21,031,804</w:t>
            </w:r>
          </w:p>
        </w:tc>
      </w:tr>
      <w:tr>
        <w:trPr>
          <w:trHeight w:val="41"/>
        </w:trPr>
        <w:tc>
          <w:tcPr>
            <w:tcW w:w="3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0" w:type="dxa"/>
            <w:vAlign w:val="bottom"/>
          </w:tcPr>
          <w:p>
            <w:pPr>
              <w:spacing w:after="0"/>
              <w:rPr>
                <w:sz w:val="3"/>
                <w:szCs w:val="3"/>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 forma basic and diluted net loss per share,</w:t>
            </w:r>
          </w:p>
        </w:tc>
        <w:tc>
          <w:tcPr>
            <w:tcW w:w="11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41"/>
        </w:trPr>
        <w:tc>
          <w:tcPr>
            <w:tcW w:w="3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pro forma adjustments have been prepared as if the Transactions had been consummated on December 31, 2022, in the case of the unaudited pro forma condensed combined balance sheet, and as if the Transactions had been consummated on January 1, 2022, in the case of the unaudited pro forma condensed combined statement of operations, as this is the beginning of the earliest period presented in the unaudited pro forma condensed combined statements of operations.</w:t>
      </w:r>
    </w:p>
    <w:p>
      <w:pPr>
        <w:spacing w:after="0" w:line="12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Transactions will be accounted for as a common control transaction, with no goodwill or other intangible assets recorded, in accordance with GAAP.</w:t>
      </w:r>
    </w:p>
    <w:p>
      <w:pPr>
        <w:spacing w:after="0" w:line="10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Under this method of accounting, IPAX will be treated as the “acquired” company for financial reporting purposes. Under the guidance in ASC 805 for transactions between entities under common control, the assets, liabilities, and noncontrolling interests of Intuitive Machines OpCo and IPAX are recognized at their carrying amounts on the date of the Transactions. Intuitive Machines OpCo has been determined to be the predecessor to the combined entity.</w:t>
      </w:r>
    </w:p>
    <w:p>
      <w:pPr>
        <w:spacing w:after="0" w:line="107"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w:t>
      </w:r>
    </w:p>
    <w:p>
      <w:pPr>
        <w:spacing w:after="0" w:line="81"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One-time direct and incremental transaction costs anticipated to be incurred prior to, or concurrent with, the consummation of the Transactions are reflected in the unaudited pro forma condensed combined balance sheet as a direct reduction to the combined entity’s additional paid-in capital and are assumed to be cash settled.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 Adjustments and Assumptions to the Unaudited Pro Forma Condensed Combined Balance Sheet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adjustments included in the unaudited pro forma condensed consolidated combined balance sheet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2022 are as follows:</w:t>
      </w:r>
    </w:p>
    <w:p>
      <w:pPr>
        <w:spacing w:after="0" w:line="130" w:lineRule="exact"/>
        <w:rPr>
          <w:sz w:val="20"/>
          <w:szCs w:val="20"/>
          <w:color w:val="auto"/>
        </w:rPr>
      </w:pPr>
    </w:p>
    <w:p>
      <w:pPr>
        <w:ind w:left="1320" w:right="479" w:hanging="434"/>
        <w:spacing w:after="0" w:line="277" w:lineRule="auto"/>
        <w:tabs>
          <w:tab w:leader="none" w:pos="12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reclassification of cash and marketable securities held in short-term investments that become available in conjunction with the Transactions, less redemptions.</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proceeds of $26.0 million from the Series A Investment and the issuance of 26,000 shares of Series A Preferred Stock and 500,000 Preferred Investor Warrants. The Series A Preferred Stock is not classified as a liability pursuant to ASC 480, due to the fact that it is not a mandatorily redeemable financial instrument, it represents an outstanding share, and it is convertible into a fixed number of shares. The Series A Preferred Stock is redeemable at the option of the holder. Therefore, the Series A Preferred Stock is required to be classified outside of permanent equity pursuant to ASC 480-10-S99. The shares of Series A Preferred Stock will be classified as temporary equity. The Preferred Investor Warrants issued with the Series A Preferred Stock are exercisable for Intuitive Machines Class A Common Stock. The Preferred Investor Warrants were evaluated and deemed not to be a liability, the Preferred Investor Warrants were determined to meet the definition of a derivative, but qualified for the scope exception for instruments in an entity’s own equity as the Preferred Investor Warrants are indexed to Intuitive Machines’ own stock and meet the criteria for equity classification.</w:t>
      </w:r>
    </w:p>
    <w:p>
      <w:pPr>
        <w:spacing w:after="0" w:line="106" w:lineRule="exact"/>
        <w:rPr>
          <w:rFonts w:ascii="Arial" w:cs="Arial" w:eastAsia="Arial" w:hAnsi="Arial"/>
          <w:sz w:val="16"/>
          <w:szCs w:val="16"/>
          <w:color w:val="auto"/>
        </w:rPr>
      </w:pPr>
    </w:p>
    <w:p>
      <w:pPr>
        <w:jc w:val="both"/>
        <w:ind w:left="1320" w:right="459" w:hanging="434"/>
        <w:spacing w:after="0" w:line="271" w:lineRule="auto"/>
        <w:tabs>
          <w:tab w:leader="none" w:pos="128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pro forma adjustment to record transaction costs of $29.6 million, which were direct and incremental to the Transactions. IPAX had incurred $3.8 million in accrued transaction costs on the balance sheet as of December 31, 2022. Intuitive Machines OpCo had incurred and accrued for $3.7 million in transaction costs on the balance sheet as of December 31, 2022, relating to legal, third-party advisory, investment banking, and other miscellaneous fees. Of this amount, $2.2 million had been paid in cash as of the balance sheet date. As the Transactions will be accounted for similar to a reverse recapitalization, these costs will be reflected as a reduction to additional paid-in-capital and cash and cash equivalents.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7" w:lineRule="auto"/>
        <w:tabs>
          <w:tab w:leader="none" w:pos="12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reclassification of IPAX’s historical Class A Ordinary Shares subject to possible redemption into permanent equity.</w:t>
      </w:r>
    </w:p>
    <w:p>
      <w:pPr>
        <w:spacing w:after="0" w:line="102" w:lineRule="exact"/>
        <w:rPr>
          <w:rFonts w:ascii="Arial" w:cs="Arial" w:eastAsia="Arial" w:hAnsi="Arial"/>
          <w:sz w:val="18"/>
          <w:szCs w:val="18"/>
          <w:color w:val="auto"/>
        </w:rPr>
      </w:pPr>
    </w:p>
    <w:p>
      <w:pPr>
        <w:jc w:val="both"/>
        <w:ind w:left="1320" w:right="459" w:hanging="434"/>
        <w:spacing w:after="0" w:line="269" w:lineRule="auto"/>
        <w:tabs>
          <w:tab w:leader="none" w:pos="13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issuance of 2.1 million shares of Intuitive Machines Class A Common Stock, 15,015 shares of noneconomic Intuitive Machines Class B Common Stock, and 68.1 million shares of noneconomic Intuitive Machines Class C Common Stock to Intuitive Machines OpCo Members. Upon the consummation of the Transactions, and as part of this issuance, Intuitive Machines OpCo’s legacy SAFE Agreements liability was eliminated and converted into approximately 2.1 million shares of Intuitive Machines Class A Common Stock. The conversion of the SAFE Agreements into Intuitive Machines Class A Common Stock represents the settlement of a liability measured at fair value for shares and results in the derecognition of liabilities of approximately $18.0 million with an offsetting entry to common stock and additional paid-in-capital for the issuance of shares. The conversion rate was determined as the purchase amount of each SAFE Agreement divided by the conversion price (equal to the Redemption Price per share), which included a 10% discount rate in some cases, as defined in the SAFE Agreements.</w:t>
      </w:r>
    </w:p>
    <w:p>
      <w:pPr>
        <w:spacing w:after="0" w:line="111" w:lineRule="exact"/>
        <w:rPr>
          <w:rFonts w:ascii="Arial" w:cs="Arial" w:eastAsia="Arial" w:hAnsi="Arial"/>
          <w:sz w:val="17"/>
          <w:szCs w:val="17"/>
          <w:color w:val="auto"/>
        </w:rPr>
      </w:pPr>
    </w:p>
    <w:p>
      <w:pPr>
        <w:ind w:left="1320" w:right="459" w:hanging="434"/>
        <w:spacing w:after="0" w:line="277" w:lineRule="auto"/>
        <w:tabs>
          <w:tab w:leader="none" w:pos="1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conversion of the Sponsor’s 8.2 million shares of IPAX Class B Ordinary Shares into IPAX Class A Ordinary Shares.</w:t>
      </w:r>
    </w:p>
    <w:p>
      <w:pPr>
        <w:spacing w:after="0" w:line="89" w:lineRule="exact"/>
        <w:rPr>
          <w:rFonts w:ascii="Arial" w:cs="Arial" w:eastAsia="Arial" w:hAnsi="Arial"/>
          <w:sz w:val="18"/>
          <w:szCs w:val="18"/>
          <w:color w:val="auto"/>
        </w:rPr>
      </w:pPr>
    </w:p>
    <w:p>
      <w:pPr>
        <w:jc w:val="both"/>
        <w:ind w:left="1320" w:right="459" w:hanging="434"/>
        <w:spacing w:after="0" w:line="284" w:lineRule="auto"/>
        <w:tabs>
          <w:tab w:leader="none" w:pos="12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estimated fair value of the units of Intuitive Machines OpCo under the A&amp;R Operating Agreement after the consummation of the Transactions (the “Earn Out Units”) issued to the Founders on the Closing Date. An analysis was performed, and it was determined that the Earn Out Units are not indexed to Intuitive Machines’ own stock and are therefore accounted for as a liability which will be remeasured to fair value at subsequent reporting dates with the change in fair value recognized as a gain or loss in the statement of operations. The pro forma value of the Earn Out Units was estimated using a Monte Carlo simulation model. The significant assumptions utilized in estimating the fair value of the Earn Out Units include the following: (i) Intuitive Machines stock price of $10.42; (ii) a dividend yield of 0.0%; (iii) a risk-free rate of 3.93%; and (iv) expected equity volatility of 100.0%. Estimates are subject to changes as additional information becomes available and additional analyses are performed and such changes could be material once the final valuation is determined at the Closing Date. Changes in these assumptions would be expected to impact the fair value of the Earn Out Units. A 10% increase or decrease in the per share market price of the Intuitive Machines Class A Common Stock would cause the fair value of the Earn Out Units to change by approximately $9.7 million and $(10.2) million, respectively. A 50-basis point increase or decrease in the risk-free rate would cause the fair value of the Earn Out Units to change by approximately $0.4 million and $(0.5) million, respectively. A 10% increase or decrease to the expected equity volatility would cause the fair value of the Earn Out Units to change by approximately $1.3 million and $(1.4) million, respectively. The achievement of certain contractual terms would also impact the fair value of the Earn Out Units; for example, Triggering Event I occurs if Intuitive Machines is awarded the OMES III Contract by NASA.</w:t>
      </w:r>
    </w:p>
    <w:p>
      <w:pPr>
        <w:spacing w:after="0" w:line="330" w:lineRule="exact"/>
        <w:rPr>
          <w:rFonts w:ascii="Arial" w:cs="Arial" w:eastAsia="Arial" w:hAnsi="Arial"/>
          <w:sz w:val="16"/>
          <w:szCs w:val="16"/>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elimination of IPAX’s historical retained earnings at the Closing Date.</w:t>
      </w:r>
    </w:p>
    <w:p>
      <w:pPr>
        <w:spacing w:after="0" w:line="157" w:lineRule="exact"/>
        <w:rPr>
          <w:rFonts w:ascii="Arial" w:cs="Arial" w:eastAsia="Arial" w:hAnsi="Arial"/>
          <w:sz w:val="18"/>
          <w:szCs w:val="18"/>
          <w:color w:val="auto"/>
        </w:rPr>
      </w:pPr>
    </w:p>
    <w:p>
      <w:pPr>
        <w:jc w:val="both"/>
        <w:ind w:left="1320" w:right="459" w:hanging="434"/>
        <w:spacing w:after="0" w:line="279" w:lineRule="auto"/>
        <w:tabs>
          <w:tab w:leader="none" w:pos="130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Immediately following the consummation of the Transactions, the economic interests held by the noncontrolling interest (comprising Intuitive Machines OpCo Common Units issued at the Closing Date) were approximately 76.4%. The following table shows the economic interest of Intuitive Machines OpCo immediately following the consummation of the Transactions: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Intuitive Machines OpCo Common Units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6"/>
                <w:szCs w:val="16"/>
                <w:b w:val="1"/>
                <w:bCs w:val="1"/>
                <w:color w:val="auto"/>
              </w:rPr>
              <w:t>Units</w:t>
            </w: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Intuitive Machines</w:t>
            </w:r>
          </w:p>
        </w:tc>
        <w:tc>
          <w:tcPr>
            <w:tcW w:w="2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21,031,804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Arial" w:cs="Arial" w:eastAsia="Arial" w:hAnsi="Arial"/>
                <w:sz w:val="18"/>
                <w:szCs w:val="18"/>
                <w:color w:val="auto"/>
              </w:rPr>
              <w:t>Intuitive Machines OpCo Members</w:t>
            </w:r>
          </w:p>
        </w:tc>
        <w:tc>
          <w:tcPr>
            <w:tcW w:w="3560" w:type="dxa"/>
            <w:vAlign w:val="bottom"/>
            <w:gridSpan w:val="3"/>
          </w:tcPr>
          <w:p>
            <w:pPr>
              <w:jc w:val="right"/>
              <w:ind w:right="100"/>
              <w:spacing w:after="0"/>
              <w:rPr>
                <w:sz w:val="20"/>
                <w:szCs w:val="20"/>
                <w:color w:val="auto"/>
              </w:rPr>
            </w:pPr>
            <w:r>
              <w:rPr>
                <w:rFonts w:ascii="Arial" w:cs="Arial" w:eastAsia="Arial" w:hAnsi="Arial"/>
                <w:sz w:val="18"/>
                <w:szCs w:val="18"/>
                <w:color w:val="auto"/>
              </w:rPr>
              <w:t>68,155,203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Common Units</w:t>
            </w:r>
          </w:p>
        </w:tc>
        <w:tc>
          <w:tcPr>
            <w:tcW w:w="3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89,187,007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350"/>
              <w:spacing w:after="0"/>
              <w:rPr>
                <w:sz w:val="20"/>
                <w:szCs w:val="20"/>
                <w:color w:val="auto"/>
              </w:rPr>
            </w:pPr>
            <w:r>
              <w:rPr>
                <w:rFonts w:ascii="Arial" w:cs="Arial" w:eastAsia="Arial" w:hAnsi="Arial"/>
                <w:sz w:val="18"/>
                <w:szCs w:val="18"/>
                <w:color w:val="auto"/>
              </w:rPr>
              <w:t>44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273" w:lineRule="auto"/>
        <w:rPr>
          <w:sz w:val="20"/>
          <w:szCs w:val="20"/>
          <w:color w:val="auto"/>
        </w:rPr>
      </w:pPr>
      <w:r>
        <w:rPr>
          <w:rFonts w:ascii="Arial" w:cs="Arial" w:eastAsia="Arial" w:hAnsi="Arial"/>
          <w:sz w:val="17"/>
          <w:szCs w:val="17"/>
          <w:color w:val="auto"/>
        </w:rPr>
        <w:t>The percentage representing the noncontrolling interest was calculated as Intuitive Machines OpCo Common Units issued at the Closing Date of 68,155,203 (including 4,449 Intuitive Machines OpCo Common Units issued to certain non-Accredited investors) divided by 89,187,007, which is the sum of shares of Intuitive Machines Class A Common Stock and Intuitive Machines OpCo Common Units that were outstanding following the consummation of the Transactions, inclusive of the shares that will be issued under the Equity Facility.</w:t>
      </w:r>
    </w:p>
    <w:p>
      <w:pPr>
        <w:spacing w:after="0" w:line="110"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color w:val="auto"/>
        </w:rPr>
        <w:t>Net assets attributable to the noncontrolling interest is ($31.5) million (i.e., 76.4% of net assets of ($41.2) million).</w:t>
      </w:r>
    </w:p>
    <w:p>
      <w:pPr>
        <w:spacing w:after="0" w:line="103" w:lineRule="exact"/>
        <w:rPr>
          <w:sz w:val="20"/>
          <w:szCs w:val="20"/>
          <w:color w:val="auto"/>
        </w:rPr>
      </w:pPr>
    </w:p>
    <w:p>
      <w:pPr>
        <w:jc w:val="both"/>
        <w:ind w:left="1320" w:right="459" w:hanging="434"/>
        <w:spacing w:after="0" w:line="286" w:lineRule="auto"/>
        <w:tabs>
          <w:tab w:leader="none" w:pos="13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issuance of approximately 5.2 million shares of Intuitive Machines Class A Common Stock to Cantor and proceeds of $50.0 million related to the Equity Facility. While Intuitive Machines has no obligation under the Equity Facility, their intent is to fully exercise their right under the agreement to maintain at least $105.0 million in cash coming into the business as a result of the consummation of the Transactions. There are no conditions or circumstances under which the additional 5.1 million shares would not be issued. These shares will be issued at a price of 97.5% of VWAP. The 5.1 million shares related to the Equity Facility will not be considered outstanding for legal purposes because they will not be issued concurrently with the consummation of the Transactions. However, because the intent is to issue the shares and as the executed agreement is in place, it was determined to be appropriate to reflect the expected issuance of these shares for accounting purposes as part of the unaudited pro forma financial information. Intuitive Machines will also issue 0.1 million shares of Intuitive Machines Class A Common Stock to Cantor for the Commitment Shares and recorded a nonrecurring expense in the amount of $1.0 million related to this issuance. Prior to and at the time of the issuance of any such shares, Intuitive Machines will need to comply with the conditions set forth in the Common Stock Purchase Agreement.</w:t>
      </w:r>
    </w:p>
    <w:p>
      <w:pPr>
        <w:spacing w:after="0" w:line="86" w:lineRule="exact"/>
        <w:rPr>
          <w:rFonts w:ascii="Arial" w:cs="Arial" w:eastAsia="Arial" w:hAnsi="Arial"/>
          <w:sz w:val="16"/>
          <w:szCs w:val="16"/>
          <w:color w:val="auto"/>
        </w:rPr>
      </w:pPr>
    </w:p>
    <w:p>
      <w:pPr>
        <w:jc w:val="both"/>
        <w:ind w:left="1320" w:right="459" w:hanging="434"/>
        <w:spacing w:after="0" w:line="286" w:lineRule="auto"/>
        <w:tabs>
          <w:tab w:leader="none" w:pos="129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recognition of a prepaid forward instrument and the cash paid to counterparties for the prepayment associated with the instrument, which includes a non-recurring transaction fee for the instrument of $0.8 million. The agreements associated with this instrument are provided as an exhibit to this prospectus. The counterparties own 2.5 million shares at the Closing Date that are subject to the contract and which will not be redeemed. Intuitive Machines will provide $10.48 per share to the counterparties in the form of a prepayment, which is comprised of $10.18 per share paid at the Closing Date directly from the trust account and an additional $0.30 per share paid by Intuitive Machines for the transaction fee paid to the counterparties. The contracts with the counterparties are currently being assessed pursuant to ASC 815-40 to determine if they meet the conditions for equity classification. For purposes of the pro formas we have treated the prepaid forward as a financial instrument classified outside of equity, which will be recorded at fair value and remeasured at each reporting period. The prepaid forward was valued using the Black-Scholes method, resulting in a valuation of $23.1 million, and the remaining $2.3 million has been recorded as a loss on the contract. The transaction fee to the counterparties was recorded as an expense.</w:t>
      </w:r>
    </w:p>
    <w:p>
      <w:pPr>
        <w:spacing w:after="0" w:line="167" w:lineRule="exact"/>
        <w:rPr>
          <w:sz w:val="20"/>
          <w:szCs w:val="20"/>
          <w:color w:val="auto"/>
        </w:rPr>
      </w:pPr>
    </w:p>
    <w:p>
      <w:pPr>
        <w:ind w:left="460" w:right="479" w:hanging="6"/>
        <w:spacing w:after="0" w:line="282" w:lineRule="auto"/>
        <w:tabs>
          <w:tab w:leader="none" w:pos="68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and Assumptions to the Unaudited Pro Forma Condensed Combined Statement of Operations</w:t>
      </w:r>
    </w:p>
    <w:p>
      <w:pPr>
        <w:spacing w:after="0" w:line="9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year ended December 31, 2022 are as follows:</w:t>
      </w:r>
    </w:p>
    <w:p>
      <w:pPr>
        <w:spacing w:after="0" w:line="103" w:lineRule="exact"/>
        <w:rPr>
          <w:sz w:val="20"/>
          <w:szCs w:val="20"/>
          <w:color w:val="auto"/>
        </w:rPr>
      </w:pPr>
    </w:p>
    <w:p>
      <w:pPr>
        <w:ind w:left="1280" w:hanging="39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elimination of interest income earned on the trust account</w:t>
      </w:r>
    </w:p>
    <w:p>
      <w:pPr>
        <w:spacing w:after="0" w:line="144" w:lineRule="exact"/>
        <w:rPr>
          <w:rFonts w:ascii="Arial" w:cs="Arial" w:eastAsia="Arial" w:hAnsi="Arial"/>
          <w:sz w:val="18"/>
          <w:szCs w:val="18"/>
          <w:color w:val="auto"/>
        </w:rPr>
      </w:pPr>
    </w:p>
    <w:p>
      <w:pPr>
        <w:jc w:val="both"/>
        <w:ind w:left="1320" w:right="459" w:hanging="434"/>
        <w:spacing w:after="0" w:line="269" w:lineRule="auto"/>
        <w:tabs>
          <w:tab w:leader="none" w:pos="13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estimated tax impact from adjustments related to the Transactions. Following the consummation of the Transactions, Intuitive Machines OpCo will continue to be treated as a partnership for U.S. federal and state income tax purposes. Thus, its income and loss will flow through to its partners, including Intuitive Machines and will generally be taxable at the partner level. The adjustment is based on current tax expense and is computed as estimated pro forma taxable income of Intuitive Machines times the controlling interest ownership percentage which is then multiplied by the pro forma tax rate. The pro forma tax rates equals the U.S. federal statutory rate and an apportioned state tax rate. No deferred taxes are included in the pro forma tax provision because Intuitive Machines is not more likely than not to benefit from the related deferred tax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72" w:lineRule="auto"/>
        <w:tabs>
          <w:tab w:leader="none" w:pos="13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Immediately following the consummation of the Transactions, the economic interests held by the noncontrolling interest (comprising Intuitive Machines OpCo Common Units at the Closing Date) were approximately 76.4%. The percentage representing the noncontrolling interest was calculated as Intuitive Machines OpCo Common Units issued at the Closing Date of 68,155,203 divided by 89,187,007, which is the sum of shares of Intuitive Machines Class A Common Stock and Intuitive Machines OpCo Common Units that were outstanding following the consummation of the Transactions, inclusive of the shares that will be issued under the Equity Facility.</w:t>
      </w:r>
    </w:p>
    <w:p>
      <w:pPr>
        <w:spacing w:after="0" w:line="109" w:lineRule="exact"/>
        <w:rPr>
          <w:rFonts w:ascii="Arial" w:cs="Arial" w:eastAsia="Arial" w:hAnsi="Arial"/>
          <w:sz w:val="17"/>
          <w:szCs w:val="17"/>
          <w:color w:val="auto"/>
        </w:rPr>
      </w:pPr>
    </w:p>
    <w:p>
      <w:pPr>
        <w:ind w:left="1320" w:right="479"/>
        <w:spacing w:after="0" w:line="277" w:lineRule="auto"/>
        <w:rPr>
          <w:rFonts w:ascii="Arial" w:cs="Arial" w:eastAsia="Arial" w:hAnsi="Arial"/>
          <w:sz w:val="17"/>
          <w:szCs w:val="17"/>
          <w:color w:val="auto"/>
        </w:rPr>
      </w:pPr>
      <w:r>
        <w:rPr>
          <w:rFonts w:ascii="Arial" w:cs="Arial" w:eastAsia="Arial" w:hAnsi="Arial"/>
          <w:sz w:val="18"/>
          <w:szCs w:val="18"/>
          <w:color w:val="auto"/>
        </w:rPr>
        <w:t>For the year ended December 31, 2022, net losses attributable to the noncontrolling interest will be $12.3 million (i.e., 76.4% of net losses of $15.4 million).</w:t>
      </w:r>
    </w:p>
    <w:p>
      <w:pPr>
        <w:spacing w:after="0" w:line="102" w:lineRule="exact"/>
        <w:rPr>
          <w:rFonts w:ascii="Arial" w:cs="Arial" w:eastAsia="Arial" w:hAnsi="Arial"/>
          <w:sz w:val="17"/>
          <w:szCs w:val="17"/>
          <w:color w:val="auto"/>
        </w:rPr>
      </w:pPr>
    </w:p>
    <w:p>
      <w:pPr>
        <w:ind w:left="1320" w:right="479" w:hanging="434"/>
        <w:spacing w:after="0" w:line="277" w:lineRule="auto"/>
        <w:tabs>
          <w:tab w:leader="none" w:pos="1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nonrecurring expense associated with issuance of equity to Cantor; the balance sheet impact related to this expense is reflected at adjustment (J).</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nonrecurring expense associated with recognition of the prepaid forward; the balance sheet impact related to this expense is reflected at adjustment (K).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Loss per Share</w:t>
      </w:r>
    </w:p>
    <w:p>
      <w:pPr>
        <w:spacing w:after="0" w:line="16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consummation of the Transactions, assuming the shares were outstanding since January 1, 2022. As the Transactions are being reflected as if they had occurred at the beginning of the periods presented, the calculation of weighted average shares outstanding for basic and diluted net loss per share assumes that the shares issuable relating to the Transactions have been outstanding for the entire periods presented.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2022</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attributable to shareholders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r>
      <w:tr>
        <w:trPr>
          <w:trHeight w:val="284"/>
        </w:trPr>
        <w:tc>
          <w:tcPr>
            <w:tcW w:w="6860" w:type="dxa"/>
            <w:vAlign w:val="bottom"/>
            <w:gridSpan w:val="2"/>
          </w:tcPr>
          <w:p>
            <w:pPr>
              <w:spacing w:after="0"/>
              <w:rPr>
                <w:sz w:val="20"/>
                <w:szCs w:val="20"/>
                <w:color w:val="auto"/>
              </w:rPr>
            </w:pPr>
            <w:r>
              <w:rPr>
                <w:rFonts w:ascii="Arial" w:cs="Arial" w:eastAsia="Arial" w:hAnsi="Arial"/>
                <w:sz w:val="18"/>
                <w:szCs w:val="18"/>
                <w:color w:val="auto"/>
                <w:w w:val="96"/>
              </w:rPr>
              <w:t>Pro forma weighted average Class A Common Stock outstanding – basic and diluted</w:t>
            </w:r>
            <w:r>
              <w:rPr>
                <w:rFonts w:ascii="Arial" w:cs="Arial" w:eastAsia="Arial" w:hAnsi="Arial"/>
                <w:sz w:val="20"/>
                <w:szCs w:val="20"/>
                <w:color w:val="auto"/>
                <w:w w:val="96"/>
                <w:vertAlign w:val="superscript"/>
              </w:rPr>
              <w:t>(1)(2)</w:t>
            </w:r>
          </w:p>
        </w:tc>
        <w:tc>
          <w:tcPr>
            <w:tcW w:w="12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21,031,804</w:t>
            </w:r>
          </w:p>
        </w:tc>
      </w:tr>
      <w:tr>
        <w:trPr>
          <w:trHeight w:val="283"/>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Class A Common Stock loss per share</w:t>
            </w:r>
            <w:r>
              <w:rPr>
                <w:rFonts w:ascii="Arial" w:cs="Arial" w:eastAsia="Arial" w:hAnsi="Arial"/>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91"/>
        </w:trPr>
        <w:tc>
          <w:tcPr>
            <w:tcW w:w="6860" w:type="dxa"/>
            <w:vAlign w:val="bottom"/>
            <w:gridSpan w:val="2"/>
          </w:tcPr>
          <w:p>
            <w:pPr>
              <w:spacing w:after="0"/>
              <w:rPr>
                <w:sz w:val="20"/>
                <w:szCs w:val="20"/>
                <w:color w:val="auto"/>
              </w:rPr>
            </w:pPr>
            <w:r>
              <w:rPr>
                <w:rFonts w:ascii="Arial" w:cs="Arial" w:eastAsia="Arial" w:hAnsi="Arial"/>
                <w:sz w:val="18"/>
                <w:szCs w:val="18"/>
                <w:color w:val="auto"/>
              </w:rPr>
              <w:t>Pro forma weighted average preferred shares outstanding</w:t>
            </w:r>
            <w:r>
              <w:rPr>
                <w:rFonts w:ascii="Arial" w:cs="Arial" w:eastAsia="Arial" w:hAnsi="Arial"/>
                <w:sz w:val="20"/>
                <w:szCs w:val="20"/>
                <w:color w:val="auto"/>
                <w:vertAlign w:val="superscript"/>
              </w:rPr>
              <w:t>(3)</w:t>
            </w:r>
          </w:p>
        </w:tc>
        <w:tc>
          <w:tcPr>
            <w:tcW w:w="12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26,000</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Excludes IPAX’s 16,487,500 Public Warrants and 6,845,000 Private Placement Warrants from the computation of diluted net loss per share attributable to common shareholders for the periods indicated because including them would have had an antidilutive effect.</w:t>
      </w:r>
    </w:p>
    <w:p>
      <w:pPr>
        <w:spacing w:after="0" w:line="1" w:lineRule="exact"/>
        <w:rPr>
          <w:rFonts w:ascii="Arial" w:cs="Arial" w:eastAsia="Arial" w:hAnsi="Arial"/>
          <w:sz w:val="16"/>
          <w:szCs w:val="16"/>
          <w:color w:val="auto"/>
        </w:rPr>
      </w:pPr>
    </w:p>
    <w:p>
      <w:pPr>
        <w:ind w:left="880" w:right="459" w:hanging="426"/>
        <w:spacing w:after="0" w:line="264"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5.1 million shares to be issued to Cantor, which are not legally issued and outstanding as of the Closing Date. See adjustment (J) for further details related to this arrangement.</w:t>
      </w:r>
    </w:p>
    <w:p>
      <w:pPr>
        <w:ind w:left="880" w:right="479" w:hanging="426"/>
        <w:spacing w:after="0" w:line="288"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preferred shares are participating securities; however, the preferred shares do not share in losses. As the company is in a loss position, no loss was allocated to these shares.</w:t>
      </w:r>
    </w:p>
    <w:p>
      <w:pPr>
        <w:spacing w:after="0" w:line="10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following table includes all potentially dilutive securities that are excluded from pro forma net losses for the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Potentially dilutive securities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Intuitive Machines OpCo Members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68,140,188</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Other Intuitive Machines OpCo</w:t>
            </w:r>
          </w:p>
        </w:tc>
        <w:tc>
          <w:tcPr>
            <w:tcW w:w="1260" w:type="dxa"/>
            <w:vAlign w:val="bottom"/>
          </w:tcPr>
          <w:p>
            <w:pPr>
              <w:jc w:val="right"/>
              <w:spacing w:after="0"/>
              <w:rPr>
                <w:sz w:val="20"/>
                <w:szCs w:val="20"/>
                <w:color w:val="auto"/>
              </w:rPr>
            </w:pPr>
            <w:r>
              <w:rPr>
                <w:rFonts w:ascii="Arial" w:cs="Arial" w:eastAsia="Arial" w:hAnsi="Arial"/>
                <w:sz w:val="18"/>
                <w:szCs w:val="18"/>
                <w:color w:val="auto"/>
              </w:rPr>
              <w:t>1,844,719</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Loan Warrantholders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Public Warrantholders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16,487,500</w:t>
            </w:r>
          </w:p>
        </w:tc>
      </w:tr>
      <w:tr>
        <w:trPr>
          <w:trHeight w:val="41"/>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Warrantholders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6,845,000</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Series A Investors</w:t>
            </w:r>
          </w:p>
        </w:tc>
        <w:tc>
          <w:tcPr>
            <w:tcW w:w="1260" w:type="dxa"/>
            <w:vAlign w:val="bottom"/>
          </w:tcPr>
          <w:p>
            <w:pPr>
              <w:jc w:val="right"/>
              <w:spacing w:after="0"/>
              <w:rPr>
                <w:sz w:val="20"/>
                <w:szCs w:val="20"/>
                <w:color w:val="auto"/>
              </w:rPr>
            </w:pPr>
            <w:r>
              <w:rPr>
                <w:rFonts w:ascii="Arial" w:cs="Arial" w:eastAsia="Arial" w:hAnsi="Arial"/>
                <w:sz w:val="18"/>
                <w:szCs w:val="18"/>
                <w:color w:val="auto"/>
              </w:rPr>
              <w:t>2,166,667</w:t>
            </w:r>
          </w:p>
        </w:tc>
      </w:tr>
      <w:tr>
        <w:trPr>
          <w:trHeight w:val="41"/>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Warrants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541,667</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Earnout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Intuitive Machines’ financial condition and results of operations together with Intuitive Machines’ audited consolidated financial statements and notes thereto and consolidated financial statements and notes thereto included elsewhere in this prospectus. Certain of the information contained in this discussion and analysis or set forth elsewhere in this prospectus, including information with respect to plans and strategy for Intuitive Machines’ business, includes forward-looking statements that involve risks and uncertainties. As a result of many factors, including those factors set forth in the section “Risk Factors”, Intuitive Machines’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Intuitive Machines’ forward-looking statements. Please also see the section entitled “Cautionary Statement Regarding Forward-Looking Statements.”</w:t>
      </w:r>
    </w:p>
    <w:p>
      <w:pPr>
        <w:spacing w:after="0" w:line="10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i w:val="1"/>
          <w:iCs w:val="1"/>
          <w:color w:val="auto"/>
        </w:rPr>
        <w:t>Unless otherwise indicated for the context otherwise requires, references in this section to the “Company,” “we,” “us,”, “IM,” “Intuitive Machines,” or “our” refer to the business of the Intuitive Machines LLC and its subsidiaries.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are a diversified space company initially focused on establishing the lunar infrastructure and basis for commerce to inform and sustain human presence off Earth. We believe our business is well positioned for continued growth and expansion:</w:t>
      </w:r>
    </w:p>
    <w:p>
      <w:pPr>
        <w:spacing w:after="0" w:line="103" w:lineRule="exact"/>
        <w:rPr>
          <w:sz w:val="20"/>
          <w:szCs w:val="20"/>
          <w:color w:val="auto"/>
        </w:rPr>
      </w:pPr>
    </w:p>
    <w:p>
      <w:pPr>
        <w:jc w:val="both"/>
        <w:ind w:left="1320" w:right="459" w:hanging="434"/>
        <w:spacing w:after="0" w:line="263" w:lineRule="auto"/>
        <w:tabs>
          <w:tab w:leader="none" w:pos="127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 Now</w:t>
      </w:r>
      <w:r>
        <w:rPr>
          <w:rFonts w:ascii="Arial" w:cs="Arial" w:eastAsia="Arial" w:hAnsi="Arial"/>
          <w:sz w:val="18"/>
          <w:szCs w:val="18"/>
          <w:color w:val="auto"/>
        </w:rPr>
        <w:t>: Servicing NASA and a worldwide set of commercial payload customers, working to provide access to the lunar surface, cislunar space and data transmission for science, technology, and infrastructure.</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27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Tomorrow</w:t>
      </w:r>
      <w:r>
        <w:rPr>
          <w:rFonts w:ascii="Arial" w:cs="Arial" w:eastAsia="Arial" w:hAnsi="Arial"/>
          <w:sz w:val="18"/>
          <w:szCs w:val="18"/>
          <w:color w:val="auto"/>
        </w:rPr>
        <w:t>: Working to provide a thriving, diverse lunar economy, creating new opportunities and markets to enable on-orbit applications, a permanent presence on the Moon, and expand the commercial space exploration marketplace.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working to provide access to the lunar surface and collect and transmit cislunar data for science, technology, and infrastructure. As of December 31, 2022, we are one of a select few companies servicing NASA and a worldwide set of commercial payload customers. We believe we have a strong position with a first mover advantage, as evidenced by three CLPS awards to date, more than any of our competitors, as of December 31, 2022. Intuitive Machines’ Nova-C lander is intended to become the first U.S. vehicle to softly land on the lunar surface since 1972 and will become the first object to land at the lunar South pole in human history. The lander is capable of carrying 130 kilograms of cargo and is designed to execute numerous experiments and technology demonstrations to the lunar surface in 2023 under the IM-1 missions. Our goal is for these missions to be followed up by IM-2, which will continue to execute experiments and technology demonstrations, and IM-3, our third CLPS award which will land at Reiner Gamma. These missions, along with additional expeditions, are in partnership with NASA, Nokia Corporation, SpaceFlight, Inc., Columbia Sportswear Company, Aegis Aerospace, Inc. and other commercial players.</w:t>
      </w:r>
    </w:p>
    <w:p>
      <w:pPr>
        <w:spacing w:after="0" w:line="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Intuitive Machines offers its customers the flexibility needed to pioneer a thriving, diverse lunar economy and to enable a permanent presence on the Moon.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Model</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primarily generate revenues through our contracts with customers of our lunar access services and by collecting and transmitting cislunar data for science, technology and infrastructure in our Space Products and infrastructure services. We are a provider and supplier of space products/infrastructure and services that enable sustained robotic and human exploration in lunar orbit and on the Moon’s surface.</w:t>
      </w:r>
    </w:p>
    <w:p>
      <w:pPr>
        <w:spacing w:after="0" w:line="10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employ a “land-and-expand” go-to-market strategy with the goal to deliver increasing value and repetitive revenues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sectPr>
          <w:pgSz w:w="11900" w:h="16838" w:orient="portrait"/>
          <w:cols w:equalWidth="0" w:num="1">
            <w:col w:w="9019"/>
          </w:cols>
          <w:pgMar w:left="1440" w:top="274"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products and services are offered through our four business units: Lunar Access Services, Orbital Services, Lunar Data Services and Space Products and Infrastructure. Under ASC 280 “Segment Reporting” we concluded that our business units operate as one reportable segment.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Lunar Access Services</w:t>
      </w:r>
    </w:p>
    <w:p>
      <w:pPr>
        <w:spacing w:after="0" w:line="15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Our Lunar Access Services business unit is focused on using our proprietary lunar lander vehicles to service CLPS contracts to fly NASA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cargo loads, ferrying numerous experiments to the lunar surface, deploying the first drill to test for water ice on the Moon and deploying drones to test Long Term Evolution networks.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Orbital Services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Orbital Services business unit is focused on servicing missions and developing technologies that enable services such as satellite delivery/ride-share, satellite servicing and refueling, space station servicing, satellite repositioning, and orbital debris removal. We leverage the synergies from our trans-lunar injection launches for lunar access services to provide unique orbital trajectories to our ride-share customers, differentiated from competitive offerings. Our Orbital Services business unit mainly supports satellites and stations in Earth’s and the Moon’s orbit.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Lunar Data Services</w:t>
      </w:r>
    </w:p>
    <w:p>
      <w:pPr>
        <w:spacing w:after="0" w:line="15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Our Lunar Data Services business unit leverages our six strategically positioned ground stations across Earth to offer continuous lunar coverage, facilitating secure lunar communications, navigation, and imagery. It will be further enhanced with the deployment of our lunar communications relay, beginning in 2023. Providing lunar data services allows us to provide lunar network services to NASA and Space Force, which we believe will be an increasingly important priority given China’s recent declaration that they intend to build their own lunar satellite network and manned lunar habitat.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Space Products and Infrastructure</w:t>
      </w:r>
    </w:p>
    <w:p>
      <w:pPr>
        <w:spacing w:after="0" w:line="15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Our Space Products and Infrastructure business unit is focused on developing and commercializing propulsion systems, navigation systems, lunar mobility vehicles such as rovers and drones, power infrastructure, and human habitation systems. 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We also serve as the prime contractor and partner on NASA center support contracts that expand our relationship with NASA and emphasizes our capabilities in key technology focus areas. Additionally, we believe this business unit allows us to expand into prime positions on payload contracts with NASA and other customers.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Inflation</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Although inflation in the United States has been relatively low in recent years, it rose significantly in the second half of 2021 and continued to rise in 2022, as a result of the economic impact from the COVID-19 pandemic, including the global supply chain disruptions, government stimulus packages, rising costs of commodities and geopolitical conflicts. In addition, global and industry-wide supply chain disruptions caused by the COVID-19 pandemic have resulted in shortages in labor, materials and services. Such shortages have resulted in inflationary cost increases for labor, materials and services and could continue to cause costs to increase, as well as a scarcity of certain products and raw materials. While rising costs and other inflationary pressures have not had a material impact on our business to date, we are monitoring the situation and assessing its impact on our business, including to our partners and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believe that our future success and financial performance depend on several factors that present significant opportunities for our business, but also pose risks and challenges, including those discussed below and in the section of this prospectus titled “Risk Factors.”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commence and expand spaceflight mission operations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success will depend in large part on our ability to commence and expand our lunar mission operations in 2023 and beyond. We are on track to complete our first two missions in 2023 with a goal of establishing a regular cadence of multiple missions per year of increasing size and complexity by 2025. This will provide our customers with proven and reliable cislunar access, with which to plan their future manifest. With binding agreements for 3 launches as of December 31, 2022, we have $201.9 million in backlog, and we are in active discussions with numerous potential customers, including government agencies and private companies, to potentially add to our contracted revenues.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Prior to commencing missions, we must complete internal integration activities as well as launch vehicle integration with our launch provider, SpaceX. Any delays in commencing our missions, including due to delays or cost overruns in obtaining FCC licenses or other regulatory approvals,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expand our product and services offerings</w:t>
      </w:r>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spacing w:after="0" w:line="90"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if customers do not adopt our products and services, or if our competitors are able to develop technology or products and services that are superior to ours, our business, prospects, financial condition and operating results could be adversely affected.</w:t>
      </w:r>
    </w:p>
    <w:p>
      <w:pPr>
        <w:spacing w:after="0" w:line="9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expect to make significant investments in our lunar and data programs in the short term. Although we believe that our financial resources, including the proceeds of the Business Combination and the related private placement, will be sufficient to meet our capital needs,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improve profit margins and scale our business</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Ability to continue to capitalize on government expenditures and private enterprise investment in the space economy</w:t>
      </w:r>
    </w:p>
    <w:p>
      <w:pPr>
        <w:spacing w:after="0" w:line="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future growth is largely dependent on our ability to continue to capitalize on increased government spending and private investment in the space economy. From 2019 to 2022, the U.S. government increased its space exploration and development budget by approximately 11.7%, or $2.5 billion. Government expenditures and private enterprise investment has fueled our growth in recent years, as it has resulted in our continued ability to secure increasingly valuable contracts for products and services. We expect the continued availability and growth of government expenditures and private investment in the space economy will continue to result in increased purchases of our products and services.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continue to innovate</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expenditures to continue to grow on an absolute basis, but remain consistent or decrease as a percent of our total revenues as we expand our service offerings.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of COVID-19</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coronavirus (COVID-19) pandemic has not materially affected our future growth outlook. Our main source of revenue during the COVID-19 pandemic was NASA contracts, which were not materially affected by the pandemic. The extent of the impact of the COVID-19 pandemic on our operational and financial performance will depend on various future developments, including the duration and spread of any new outbreak on our suppliers and employees, all of which is uncertain at this time.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4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We monitor the following key business metrics and non-GAAP financial measures that assist us in evaluating our business, measuring our performance, identifying trends and making strategic decisions.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Backlog</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define backlog as our total estimate of the revenues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revenues in backlog when a contract is 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revenues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revenues recognized in our financial statements.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backlog as of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6"/>
              <w:spacing w:after="0"/>
              <w:rPr>
                <w:sz w:val="20"/>
                <w:szCs w:val="20"/>
                <w:color w:val="auto"/>
              </w:rPr>
            </w:pPr>
            <w:r>
              <w:rPr>
                <w:rFonts w:ascii="Arial" w:cs="Arial" w:eastAsia="Arial" w:hAnsi="Arial"/>
                <w:sz w:val="16"/>
                <w:szCs w:val="16"/>
                <w:b w:val="1"/>
                <w:bCs w:val="1"/>
                <w:color w:val="auto"/>
              </w:rPr>
              <w:t>2021</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4"/>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180,787</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Orders comprising backlog as of a given balance sheet date are typically invoiced in subsequent periods. As of December 31, 2022, we expect to recognize approximately 71% of our backlog over the next 12 months, approximately 5% over the subsequent twelve months and the remaining 24% thereafter. Our backlog could experience volatility</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between periods, including as a result of customer order volumes and the speed of our fulfilment, which in turn may be impacted by the nature of products and services ordered, the amount of inventory on hand to satisfy orders and the necessary development and manufacturing lead time required to satisfy certain orders.</w:t>
      </w:r>
    </w:p>
    <w:p>
      <w:pPr>
        <w:spacing w:after="0" w:line="8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Backlog increased by $21.2 million as of December 31, 2022 compared to December 31, 2021, primarily due to new awards totaling $106.7 million for various lunar payload and engineering services contracts during the period. The increase was partially offset by continued performance on existing contracts.</w:t>
      </w:r>
    </w:p>
    <w:p>
      <w:pPr>
        <w:spacing w:after="0" w:line="9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As of December 31, 2022, our backlog of $201.9 million exceeded our remaining performance obligations of $101.4 million as reported in Note 3 — Revenue to our consolidated financial statements as of and for twelve months ended December 31, 2022. The difference of $100.5 million was primarily related to $45.5 million of variable consideration associated with constrained revenue as well as $55.0 million in backlog related to the funded value of certain time and materials service contracts where revenue is recognized when services are performed and contractually billable and therefore not included in remaining performance obligations. As of December 31, 2021, our backlog of $180.8 million exceeded our remaining performance obligations of $140.8 million as reported in Note 3 — Revenue to our audited consolidated financial statements for the year ended December 31, 2021. The difference of $40.0 million was primarily related to $28.4 million of variable consideration associated with constrained revenue as well as $11.6 million in backlog related to the funded value of certain time and materials service contracts where revenue is recognized when services are performed and contractually billable and therefore not included in remaining performance obligations.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EBITDA</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 based compensation, change in fair value instruments, depreciation, and provision for income taxes.</w:t>
      </w:r>
    </w:p>
    <w:p>
      <w:pPr>
        <w:spacing w:after="0" w:line="10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present Adjusted EBITDA because we believe it is helpful in highlighting trends in our operating results and because it is frequently used by analysts, investors, and other interested parties to evaluate companies in our industry.</w:t>
      </w:r>
    </w:p>
    <w:p>
      <w:pPr>
        <w:spacing w:after="0" w:line="11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89" w:lineRule="exact"/>
        <w:rPr>
          <w:sz w:val="20"/>
          <w:szCs w:val="20"/>
          <w:color w:val="auto"/>
        </w:rPr>
      </w:pPr>
    </w:p>
    <w:p>
      <w:pPr>
        <w:ind w:left="1320" w:right="479" w:hanging="434"/>
        <w:spacing w:after="0" w:line="277" w:lineRule="auto"/>
        <w:tabs>
          <w:tab w:leader="none" w:pos="12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reflect interest income, interest expense or other non-operating gains and losses, which may represent an increase to or reduction in cash available to us;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2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consider the impact of share-based compensation expense, which is expected to continue to be part of our compensation strategy;</w:t>
      </w:r>
    </w:p>
    <w:p>
      <w:pPr>
        <w:spacing w:after="0" w:line="103" w:lineRule="exact"/>
        <w:rPr>
          <w:sz w:val="20"/>
          <w:szCs w:val="20"/>
          <w:color w:val="auto"/>
        </w:rPr>
      </w:pPr>
    </w:p>
    <w:p>
      <w:pPr>
        <w:jc w:val="both"/>
        <w:ind w:left="1320" w:right="479" w:hanging="8"/>
        <w:spacing w:after="0" w:line="263" w:lineRule="auto"/>
        <w:rPr>
          <w:sz w:val="20"/>
          <w:szCs w:val="20"/>
          <w:color w:val="auto"/>
        </w:rPr>
      </w:pPr>
      <w:r>
        <w:rPr>
          <w:rFonts w:ascii="Arial" w:cs="Arial" w:eastAsia="Arial" w:hAnsi="Arial"/>
          <w:sz w:val="18"/>
          <w:szCs w:val="18"/>
          <w:color w:val="auto"/>
        </w:rPr>
        <w:t>Adjusted EBITDA does not consider the impact of gain on extinguishing debt or change in fair value of SAFE Agreements that we do not consider to be routine in nature for the ongoing financial performance of our business;</w:t>
      </w:r>
    </w:p>
    <w:p>
      <w:pPr>
        <w:spacing w:after="0" w:line="103" w:lineRule="exact"/>
        <w:rPr>
          <w:sz w:val="20"/>
          <w:szCs w:val="20"/>
          <w:color w:val="auto"/>
        </w:rPr>
      </w:pPr>
    </w:p>
    <w:p>
      <w:pPr>
        <w:jc w:val="both"/>
        <w:ind w:left="1320" w:right="479" w:hanging="434"/>
        <w:spacing w:after="0" w:line="259" w:lineRule="auto"/>
        <w:tabs>
          <w:tab w:leader="none" w:pos="12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2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does not reflect provisions for income taxes, which may represent a reduction in cash available to us.</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financial measure presented in accordance with GAAP, to Adjusted EBITDA.</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7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Adjusted to exclude the following:</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Change in fair-value of SAFE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(36,730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10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103" w:lineRule="exact"/>
        <w:rPr>
          <w:sz w:val="20"/>
          <w:szCs w:val="20"/>
          <w:color w:val="auto"/>
        </w:rPr>
      </w:pPr>
    </w:p>
    <w:p>
      <w:pPr>
        <w:ind w:left="1320" w:right="479" w:hanging="434"/>
        <w:spacing w:after="0" w:line="342" w:lineRule="auto"/>
        <w:tabs>
          <w:tab w:leader="none" w:pos="13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Free Cash Flow is not a measure calculated in accordance with GAAP and should not be considered in isolation from, or as a substitute for financial information prepared in accordance with GAAP.</w:t>
      </w:r>
    </w:p>
    <w:p>
      <w:pPr>
        <w:spacing w:after="0" w:line="56"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Free Cash Flow may not be comparable to similarly titled metrics of other companies due to differences among methods of calculation.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table presents a reconciliation of net cash (used in) provided by operating activities, the most directly comparable financial measure presented in accordance with GAAP, to free cash flow: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r>
      <w:tr>
        <w:trPr>
          <w:trHeight w:val="46"/>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780" w:type="dxa"/>
            <w:vAlign w:val="bottom"/>
          </w:tcPr>
          <w:p>
            <w:pPr>
              <w:jc w:val="right"/>
              <w:ind w:right="174"/>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by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(16,568)</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(3,176)</w:t>
            </w:r>
          </w:p>
        </w:tc>
      </w:tr>
      <w:tr>
        <w:trPr>
          <w:trHeight w:val="53"/>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r>
      <w:tr>
        <w:trPr>
          <w:trHeight w:val="25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06"/>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780" w:type="dxa"/>
            <w:vAlign w:val="bottom"/>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56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r>
      <w:tr>
        <w:trPr>
          <w:trHeight w:val="244"/>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8,150</w:t>
            </w: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22"/>
                <w:szCs w:val="22"/>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(2,554)</w:t>
            </w: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5,596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Most of our revenues are derived from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an organic and integrated capability to provide lunar access on a commercial services basis. Individual contracts are aggregated by mission (e.g., IM-1, IM-2, IM-3) for management purposes. Revenue is measured based on the amount of consideration specified in a contract with the customer.</w:t>
      </w:r>
    </w:p>
    <w:p>
      <w:pPr>
        <w:spacing w:after="0" w:line="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spacing w:after="0" w:line="12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Revenues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revenues (approximately 10% of the contract price) contains variable considerations which is constrained to nil for accounting purposes as it is dependent on a successful mission landing. This may cause fluctuations in future revenues, profits and cash flows.</w:t>
      </w:r>
    </w:p>
    <w:p>
      <w:pPr>
        <w:spacing w:after="0" w:line="8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 Critical Accounting Policies and Estimates — Revenue Recognition”. A small portion of our revenues are generated from engineering services which are time-and-material type contracts. Going forward, cost-reimbursable contracts may constitute a material portion of our revenues.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(excluding depreciation)</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Cost of revenues (excluding depreciation) consists primarily of direct material and labor costs, launch costs, manufacturing overhead, other personnel-related expenses, which include salaries, bonuses, benefits and stock-based compensation expense and freight expense. Cost of revenues also includes charges to write-down the carrying value of inventory when it exceeds its estimated net realizable value, including on-hand inventory that is either obsolete or in excess of forecasted demand. We expect our cost of revenues to increase in absolute dollars in future periods as we sell more products and services. As we grow into our current capacity and execute on cost-optimization initiatives, we expect our cost of revenues as a percentage of revenues to decrease over time.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w:t>
      </w:r>
    </w:p>
    <w:p>
      <w:pPr>
        <w:spacing w:after="0" w:line="158"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Depreciation consists of the depreciation of tangible fixed assets for the relevant period based on the straight-line method over the useful life of the assets. Tangible fixed assets include property and equipment.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 (excluding depreciation)</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Interest income (expense), net consists of interest income earned on cash and cash equivalents and short-term investment balances held by us in interest bearing time deposit accounts. Interest expense is incurred on long-term debt.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Gain on extinguishing of debt consists of forgiveness of a loan from the U.S. Treasury Department’s Small Business Administration under their Payroll Protection Plan (the “PPP Loan”).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SAFE Agreements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As of December 31, 2022, we had received $17.3 million in cash related to SAFE Agreements. The SAFE Agreements were executed from September 2021 through February 2022. One SAFE Agreement was executed in December 2021 with minority shareholders in Intuitive Aviation in a non-cash exchange for their 10% noncontrolling interest in that entity with a fair value of $1.5 million. Proceeds from the SAFE Agreements were used to fund operations and purchase the initial cislunar communications satellite.</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As of December 31, 2022, the agreements had not yet converted as a qualifying financing event under the SAFE Agreements had not yet occurred. Pursuant to the guidance under ASC 480, we determined that the SAFE Agreements should be recorded as liabilities on our balance sheet and should be initially and subsequently measured at fair value with the changes in fair value recognized in earnings.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net consists of miscellaneous income sources such as insurance proceeds from stolen equipment.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have elected to be treated as a partnership for income tax purposes. Partnerships are not subject to U.S. federal income taxes. Rather, the partnership’s taxable income flows through to the owners, who are responsible for paying the applicable income taxes on the income allocated to them. Accordingly, no provision for federal income taxes has been recorded for the Company. However, the Company is subject to Texas Margin Taxes.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expresses the relationship of certain line items as a percentage of revenues for those periods. The period-period comparison of financial results is not necessarily indicative of future results: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our historical results for the periods indicated, and the changes between periods: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5"/>
          </w:tcPr>
          <w:p>
            <w:pPr>
              <w:jc w:val="right"/>
              <w:ind w:right="401"/>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5"/>
          </w:tcPr>
          <w:p>
            <w:pPr>
              <w:jc w:val="right"/>
              <w:ind w:right="341"/>
              <w:spacing w:after="0"/>
              <w:rPr>
                <w:sz w:val="20"/>
                <w:szCs w:val="20"/>
                <w:color w:val="auto"/>
              </w:rPr>
            </w:pPr>
            <w:r>
              <w:rPr>
                <w:rFonts w:ascii="Arial" w:cs="Arial" w:eastAsia="Arial" w:hAnsi="Arial"/>
                <w:sz w:val="16"/>
                <w:szCs w:val="16"/>
                <w:b w:val="1"/>
                <w:bCs w:val="1"/>
                <w:color w:val="auto"/>
              </w:rPr>
              <w:t>December 31,</w:t>
            </w:r>
          </w:p>
        </w:tc>
        <w:tc>
          <w:tcPr>
            <w:tcW w:w="800" w:type="dxa"/>
            <w:vAlign w:val="bottom"/>
            <w:gridSpan w:val="2"/>
            <w:vMerge w:val="restart"/>
          </w:tcPr>
          <w:p>
            <w:pPr>
              <w:jc w:val="right"/>
              <w:ind w:right="17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78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14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  85,946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  72,550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  13,396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(excluding depreciation)</w:t>
            </w:r>
          </w:p>
        </w:tc>
        <w:tc>
          <w:tcPr>
            <w:tcW w:w="92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75,513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100,307</w:t>
            </w:r>
          </w:p>
        </w:tc>
        <w:tc>
          <w:tcPr>
            <w:tcW w:w="94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(24,794)</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Depreciation</w:t>
            </w: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840</w:t>
            </w:r>
          </w:p>
        </w:tc>
        <w:tc>
          <w:tcPr>
            <w:tcW w:w="940" w:type="dxa"/>
            <w:vAlign w:val="bottom"/>
            <w:gridSpan w:val="3"/>
          </w:tcPr>
          <w:p>
            <w:pPr>
              <w:jc w:val="right"/>
              <w:ind w:right="61"/>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 expense (excluding</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9,291</w:t>
            </w:r>
          </w:p>
        </w:tc>
        <w:tc>
          <w:tcPr>
            <w:tcW w:w="9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5,577</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91,453</w:t>
            </w:r>
          </w:p>
        </w:tc>
        <w:tc>
          <w:tcPr>
            <w:tcW w:w="10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110,438</w:t>
            </w:r>
          </w:p>
        </w:tc>
        <w:tc>
          <w:tcPr>
            <w:tcW w:w="1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(18,985</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(224)</w:t>
            </w:r>
          </w:p>
        </w:tc>
        <w:tc>
          <w:tcPr>
            <w:tcW w:w="94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1,806</w:t>
            </w:r>
          </w:p>
        </w:tc>
        <w:tc>
          <w:tcPr>
            <w:tcW w:w="940" w:type="dxa"/>
            <w:vAlign w:val="bottom"/>
            <w:gridSpan w:val="3"/>
          </w:tcPr>
          <w:p>
            <w:pPr>
              <w:jc w:val="right"/>
              <w:ind w:right="1"/>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SAFE Agreements</w:t>
            </w:r>
          </w:p>
        </w:tc>
        <w:tc>
          <w:tcPr>
            <w:tcW w:w="9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527</w:t>
            </w:r>
          </w:p>
        </w:tc>
        <w:tc>
          <w:tcPr>
            <w:tcW w:w="94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4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133</w:t>
            </w:r>
          </w:p>
        </w:tc>
        <w:tc>
          <w:tcPr>
            <w:tcW w:w="940" w:type="dxa"/>
            <w:vAlign w:val="bottom"/>
            <w:gridSpan w:val="3"/>
          </w:tcPr>
          <w:p>
            <w:pPr>
              <w:jc w:val="right"/>
              <w:ind w:right="1"/>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2"/>
                <w:szCs w:val="22"/>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 net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gridSpan w:val="2"/>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not meaningful</w:t>
      </w:r>
    </w:p>
    <w:p>
      <w:pPr>
        <w:sectPr>
          <w:pgSz w:w="11900" w:h="16838" w:orient="portrait"/>
          <w:cols w:equalWidth="0" w:num="1">
            <w:col w:w="9019"/>
          </w:cols>
          <w:pgMar w:left="1440" w:top="274"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Revenues for the years ended December 31, 2022 and 2021 were primarily impacted by NASA and other commercial payload contracts associated with the IM-1, IM-2 and IM-3 missions. The following provides a summary of the material contracts and estimated launch dates for each mission impacting our results of operations (contract revenues exclude variable consideration that is constrained):</w:t>
      </w:r>
    </w:p>
    <w:p>
      <w:pPr>
        <w:spacing w:after="0" w:line="11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NASA payload contract for the IM-1 mission was awarded in June 2019 with an initial targeted mission launch date in March 2022. Total IM-1 mission estimated revenues under NASA and other commercial fixed-priced contracts increased to $117.9 million as of December 31, 2022 as a result of contract modifications. Two new commercial payload contracts totaling $2.0 million were awarded in late 2021 bringing the total mission estimated revenues to $94.8 million as of December 31, 2021. During the fourth quarter of fiscal year 2021, the targeted mission launch date was revised to December 2022. During the third quarter of 2022, the targeted mission launch date was further revised to March 2023. During the fourth quarter of 2022, we received a modification on the IM-1 NASA payload contract selecting the lunar South Pole as the new target landing site which resulted in an increase in IM-1 mission estimated revenues of approximately $23.1 million.</w:t>
      </w:r>
    </w:p>
    <w:p>
      <w:pPr>
        <w:spacing w:after="0" w:line="9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NASA payload contract for the IM-2 mission was awarded in October 2020 with a targeted mission launch date in December 2022. Total IM-2 mission estimated revenues under NASA and other commercial fixed-priced contracts increased to $106.0 million as of December 31, 2022 as a result of two new commercial payload contracts awarded in the third quarter of 2022. The targeted mission launch date for the IM-2 mission was revised from December 2022 to October 2023 to accommodate the delays in the IM-1 mission launch date noted above.</w:t>
      </w:r>
    </w:p>
    <w:p>
      <w:pPr>
        <w:spacing w:after="0" w:line="11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initial NASA payload contract for the IM-3 mission was awarded in November 2021 with an initial targeted mission launch date in April 2024. During the fourth quarter of 2022, the targeted mission launch date was revised to May 2024. Total IM-3 mission estimated revenues under fixed-priced contracts is $78.8 million as of December 31, 2022.</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Revenues increased by $13.4 million, or 18%, for the year ended December 31, 2022 compared to the same period in 2021. Revenues on the IM-1 mission increased approximately $10.1 million from $24.9 million in 2021 to $35.0 million for the year ended December 31, 2022. Revenue increased in 2022 primarily due to the increase in estimated revenues resulting from the change in the IM-1 target landing site to the lunar South Pole partially offset by lower progress towards completion in 2022 as well as the delay of the targeted launch date from December 2022 to March 2023. Revenues on the IM-2 mission decreased approximately $15.3 million from $41.0 million for the year ended 2021 to $25.7 million in 2022. The revenue decrease on the IM-2 mission was primarily due to lower progress towards completion during the year ended 2022 as compared to 2021. As of December 31, 2022, the IM-1 and IM-2 missions were approximately 96% and 70% complete, respectively. Revenues from the IM-3 mission increased approximately $16.9 million from $2.9 million in 2021 to $19.8 million for the year ended December 31, 2022 due to progress towards completion. The IM-3 mission was awarded in the fourth quarter of 2021 and was approximately 33% complete as of December 31, 2022.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 (excluding depreciation)</w:t>
      </w:r>
    </w:p>
    <w:p>
      <w:pPr>
        <w:spacing w:after="0" w:line="158"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Cost of revenues decreased by $24.8 million, or 25%, for the year ended December 31, 2022 compared to the same period in 2021. Cost of revenues on the IM-1 mission declined by $11.1 million due to lower production activity as a result of the change in estimated launch date from December 2022 to March 2023. On the IM-2 mission, cost of revenues were approximately $6.7 million lower during the year ended December 31, 2022 due to overall lower production activity as compared to the prior year as a result of the change in estimated launch date from December 2022 to October 2023. IM-3 mission cost of revenues increased approximately $20.0 million primarily related to launch service costs given that the IM-3 mission was awarded in the fourth quarter of 2021.</w:t>
      </w:r>
    </w:p>
    <w:p>
      <w:pPr>
        <w:spacing w:after="0" w:line="11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As of December 31, 2022, all three of our lunar missions are in loss positions. The IM-1 became a loss contract in 2019 primarily as a result of constrained variable consideration. For the years ended December 31, 2022 and 2021, IM-1 mission accrued losses decreased by $11.3 million and increased by $12.2 million, respectively. The modification to the IM-1 NASA payload contract associated with the new lunar South Pole targeted landing site resulted in a $20.7 million favorable change in 2022 to the previously accrued loss and was partially offset by $9.4 million unfavorable changes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to the previously accrued loss due to increases in labor and material costs during the construction of our proprietary lunar lander. The unfavorable change in 2022 was primarily associated with certain elements of our fuel systems and avionics and were also the primary drivers of the unfavorable changes in accrued losses in 2021. Additionally, we have included additional labor costs and estimated penalties from our mission launch service provider in our cost estimates at completion as a result of extending the mission launch date to March 2023. We recognized a contract loss during the year ended December 31, 2022 on the IM-2 missions as a result of increasing our estimated costs associated with fuel systems and avionics based on our evaluation and consideration of issues encountered on the IM-1 mission. Additionally, our estimated costs for penalties from our launch service provider were increased due to the change in mission launch date to October 2023. Favorable contract changes on the IM-3 mission resulted in a reversal of approximately $4.7 million in previous losses accrued on our IM-3 mission as a result of reductions to estimated labor and materials. The IM-3 estimated cost reductions were largely driven based on our successful resolution to challenges on the other missions and alignment of our cost estimates to a more predictable production model.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 (excluding depreciation)</w:t>
      </w:r>
    </w:p>
    <w:p>
      <w:pPr>
        <w:spacing w:after="0" w:line="15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General and administrative expense (excluding depreciation) increased by $5.6 million, or 60%, for the year ended December 31, 2022 compared to the same period in 2021 primarily due to an increase in expenditures related to an increase in headcount to support various corporate functions at a cost of $1.9 million. There was also an increase in expense related to bids &amp; proposals of $0.5 million and the allowance for expected credit losses of $0.8 million. Increase in other expenses of $2.4 million were related to software licenses, professional fees, unit-based compensation and other miscellaneous administrative costs.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Depreciation increased by $0.2 million, or 28%, for the year ended December 31, 2022 compared to the same period in 2021 primarily due to an increase in depreciation charges related to computer and office equipment and building and leasehold improvements.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4"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Other income, net decreased by $3.2 million, or 141% for the year ended December 31, 2022 compared to the same period in 2021. The decrease was primarily due to a $1.8 million gain on extinguishment of debt that occurred in 2021 and reflects forgiveness by the U.S. Treasury Department’s Small Business Administration under their Payroll Protection Plan for the PPP Loan we incurred in 2020. Other (expense) income, net also decreased due to interest expense of $0.8 million on the Credit Mobilization Credit Facility Line of Credit (“Credit Mobilization Facility”) in 2022 as compared to $0.2 million in 2021.</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Since inception, we have funded our operations through internally generated cash on hand, proceeds from sales of our capital stock including the execution of SAFE Agreements,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spacing w:after="0" w:line="113"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As of December 31, 2022, the Company had cash and cash equivalents of $25.8 million and a working capital deficit of $53.5 million. The Company has historically funded its operations through internally generated cash on hand, proceeds from sales of our capital stock including the execution of SAFE agreements, and proceeds from the issuance of bank debt.</w:t>
      </w:r>
    </w:p>
    <w:p>
      <w:pPr>
        <w:spacing w:after="0" w:line="10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further described in Note 17 of our audited consolidated financial statements elsewhere in this Current Report on Form 8-K, on February 13, 2023, as contemplated by the business combination agreement entered into as of September 16, 2022, the Company and Intuitive Machines, Inc. (formerly Inflection Point Acquisition Corp. or “IPAX”) consummated the business combination to effect the merger of the Company and IPAX. Upon the close of the business combination, the Company received approximately $34.1 million of gross proceeds to fund operations.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Additionally, as a result of the close, the Company entered into a common stock purchase agreement relating to an equity facility under which the Company may direct the counterparty to purchase up to $50 million of newly issued common stock subject to certain requirements and limitations.</w:t>
      </w:r>
    </w:p>
    <w:p>
      <w:pPr>
        <w:spacing w:after="0" w:line="116"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Management believes that the cash available from the consummation of the business combination and related transactions will be sufficient to fund the short-term liquidity needs and the execution of the business plan through at least the twelve-month period from the date the financial statements are issued.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Live Oak Credit Mobilization Credit Facility and Line of Credit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the line of credit thereunder initially bore interest, payable monthly, at a rate per annum equal to 6.0%. The Credit Mobilization Facility and the line of credit thereunder are secured by substantially all of our assets.</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December 8, 2020, we entered into a Loan Modification Agreement with Live Oak Banking Company which amended the terms of the line of credit under the Credit Mobilization Facility, including decreasing the maximum principal from $1.0 million to $400 thousand, extending the maturity date from December 12, 2020 to December 10, 2021, and changing the interest rate from 6.0% to a variable interest rate at the prime rate, as published in the Wall Street Journal, plus 2.0%.</w:t>
      </w:r>
    </w:p>
    <w:p>
      <w:pPr>
        <w:spacing w:after="0" w:line="12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On April 30, 2021, we entered into a commitment with Live Oak Banking Company which provided a $12.0 million contract mobilization credit facility with a loan maturity of November 15, 2022 (the “New Credit Mobilization Facility”), which superseded the existing Credit Mobilization Facility. The New Credit Mobilization Facility bears interest (payable monthly) at a rate per annum equal to 5.25%, adjusted quarterly based on the prime rate, as published in the Wall Street Journal, plus 2.0%. On December 10, 2021, the line of credit expired. We had no balance outstanding at that time and did not renew the line of credit.</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July 14, 2022, we entered into the Second Amended and Restated Loan Agreement with Live Oak Banking Company which provided an $8.0 million mobilization credit facility with a loan maturity of July 14, 2024 and extended the maturity date of our existing $12.0 million mobilization credit facility to November 14, 2023. The mobilization credit facilities bear interest (payable monthly) at a rate per annum equal to the greater of (a) the prime rate, as published in the Wall Street Journal, plus 2% and (b) 5%. The mobilization credit facilities require the Company to meet certain financial and other covenants and are secured by substantially all of the assets of the Company.</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New Credit Mobilization Facility requires compliance with various covenants customary for agreements of this type, including those restricting our ability to incur debt, incur liens and undergo certain fundamental changes. The New Credit Mobilization Facility also includes events of default customary for agreements of this type. As of December 31, 2022, we were in compliance with all covenants under the New Credit Mobilization Facility.</w:t>
      </w:r>
    </w:p>
    <w:p>
      <w:pPr>
        <w:spacing w:after="0" w:line="12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was $20 million outstanding under the New Credit Mobilization Facility as of December 31, 2022 and $12 million outstanding as of December 31, 2021. See Note 6 — Debt to our audited consolidated financial statements included elsewhere in this prospectus for additional information related to the New Credit Mobilization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April 7, 2020, we received PPP Loan proceeds of $1.8 million pursuant to the Paycheck Protection Program (“PPP”) under the Coronavirus Aid, Relief, and Economic Security Act (“CARES Act”). The PPP Loan, which was in the form of a promissory note, dated April 7, 2020, between us and Live Oak Banking Company, as the lender, originally matured on April 7, 2022. Under the terms of the PPP, some or all of the PPP Loan amount may be forgiven if the PPP Loan proceeds are used for qualifying expenses as described in the CARES Act, such as payroll costs, benefits, rent, and utilities. The Company applied for forgiveness to the Small Business Association on December 14, 2021. On April 4, 2021, the Company was notified that the PPP Loan was forgiven and recorded a $1.8 million gain on extinguishment of debt.</w:t>
      </w:r>
    </w:p>
    <w:p>
      <w:pPr>
        <w:spacing w:after="0" w:line="9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See Note 6 — Debt to our audited consolidated financial statements included elsewhere in this prospectus for additional information related to the PPP Loan.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Insurance Funding Loans</w:t>
      </w:r>
    </w:p>
    <w:p>
      <w:pPr>
        <w:spacing w:after="0" w:line="144"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On August 24, 2021, we entered into a loan agreement with First Insurance Funding that provided $0.1 million in credit to be used to purchase certain insurance policies with a due date of May 21, 2022 (the “First FIF Loan”). On December 3, 2021, we entered into a second loan agreement with First Insurance Funding that provided an additional $0.1 million in credit to be used to purchase certain insurance policies with a due date of May 21, 2022 (the “Second FIF Loan” and, together with the First FIF Loan, the “FIF Loans”). The FIF Loans bear interest, payable monthly, at a rate per annum equal to 5.9%.</w:t>
      </w:r>
    </w:p>
    <w:p>
      <w:pPr>
        <w:spacing w:after="0" w:line="11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There was zero and $0.1 million outstanding under the FIF Loans as of December 31, 2022 and December 31, 2021,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 Split</w:t>
      </w:r>
    </w:p>
    <w:p>
      <w:pPr>
        <w:spacing w:after="0" w:line="158"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On May 25, 2021, in accordance with the amended and restated LLC agreement, Class A Unit Interests increased by a multiple of one hundred thousand (100,000) or 1 to 100,000 unit (the “Unit Split”). The Class A members and their respective unit interests uniformly increased. Unless otherwise indicated, all unit and per unit amounts presented in this prospectus have been retroactively adjusted to reflect the impact of the Unit Split.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5600" w:type="dxa"/>
            <w:vAlign w:val="bottom"/>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(16,568)</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(3,176)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12,096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25,107</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for the Year Ended December 31, 2022 and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During the year ended December 31, 2022, our operating activities used $0.8 million of net cash as compared to $16.6 million during the year ended December 31, 2021. The decrease in net cash used in operating activities during 2022 compared to 2021 was primarily due to progress payments made to our mission launch provider and other mission costs that were lower in 2022 than in 2021 primarily on the IM-1 and IM-2 missions both of which have targeted launch dates scheduled in fiscal year 2022. The lower cash payments for mission costs were partially offset by higher operating expenses in 2022 including salaries and wages, contract proposal costs, and audit and tax professional fees.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During the year ended December 31, 2022, investing activities used $16.4 million of net cash as compared to $3.2 million during the year ended December 31, 2021. The increase in net cash used in investing activities during 2022 compared to 2021 was primarily due to capital expenditures associated with construction in progress on equipment to be used for future mission and for our lunar operations center as well as expenditures for computers and equipment associated with a newly leased facility.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During the year ended December 31, 2022, financing activities provided $12.1 million of net cash as compared to $25.1 million during the year ended December 31, 2021. The decrease was primarily associated with $8.8 million lower cash proceeds from the execution of SAFE Agreements and $4.2 million lower net borrowings from our New Credit Mobilization Facility in fiscal year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Commitments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We lease real estate for office space and for administrative, research, marketing and light manufacturing operations. These leases are classified as operating leases with various expiration dates through 2027. See Note 5 — Leases to our audited consolidated financial statements included elsewhere in this prospectus for more information regarding our lease commitments.</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signed a ground lease agreement for the development of a lunar operations center that will serve as a production and testing facility of lunar lander components and other aerospace related operations. The facility is currently under construction, and the lessor will reimburse up to $40 million for certain design, construction, and development costs. We are accounting for the construction of the facility as a financing arrangement. As of December 31, 2022, we capitalized $10.3 million of construction in progress and a corresponding financing obligation of $9.1 million. During the fourth quarter of 2022, construction was completed for a portion of the lunar operations center, and the Company took possession of the completed facility. Upon commencement of the lease, the Company determined that the facility qualified for sale accounting, with the leaseback being classified as an operating lease. The Company recorded right-of-use assets and corresponding lease liabilities of approximately $3.1 million. No gain or loss was recognized or deferred on the sale of the facility, as the fair value upon completion was determined to be equal to the carrying value.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Commitments</w:t>
      </w:r>
    </w:p>
    <w:p>
      <w:pPr>
        <w:spacing w:after="0" w:line="15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From time-to-time, we enter into long-term commitments with vendors to purchase launch services and for the development of certain components in conjunction with our obligations under revenue contracts with our customers. As of December 31, 2022, we had remaining purchase obligations under non-cancelable commitments with two vendors totaling $45.3 million of which $42.6 million is due within the next twelve months and the remaining $2.7 million is due in the subsequent twelve-month period.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believe that the following accounting policies involve a high degree of judgement and complexity. Accordingly, these are the policies we believe are the most critical to aid in fully understanding and evaluating our consolidated financial condition and results of our operations. See Note 2 — Summary of Significant Accounting Policies to our audited consolidated financial statements appearing elsewhere in this prospectus for a description of our other significant accounting policies.</w:t>
      </w:r>
    </w:p>
    <w:p>
      <w:pPr>
        <w:spacing w:after="0" w:line="120"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spacing w:after="0" w:line="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10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revenues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spacing w:after="0" w:line="12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8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When changes are required for the estimated total revenues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SAFE Agreements</w:t>
      </w:r>
    </w:p>
    <w:p>
      <w:pPr>
        <w:spacing w:after="0" w:line="15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We signed SAFE Agreements with investors to fund our ongoing operations. The SAFE Agreements are recorded as liabilities at fair value on our balance sheet. Certain events, including an (i) equity financing transaction, (ii) liquidity event, or (iii) a dissolution before the termination of the SAFE Agreements trigger conversion or result in the holders of the SAFE Agreements receiving consideration. See Note 8 — SAFE Agreements to our audited consolidated financial statements of Intuitive Machines LLC.</w:t>
      </w:r>
    </w:p>
    <w:p>
      <w:pPr>
        <w:spacing w:after="0" w:line="10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SAFE Agreements are valued as Level 3 investments which are measured at fair value. The fair value equals the weighted average value based on the estimated probability and future value of an (i) equity financing transaction, (ii) liquidity event, or (iii) a dissolution before the termination of the SAFE Agreement. The future values under these scenarios are present valued using a discount rate determined based on a calibration analysis using the transaction price of the SAFE Agreement on November 4, 2021 adjusted for changes in yield data since the calibration date.</w:t>
      </w:r>
    </w:p>
    <w:p>
      <w:pPr>
        <w:spacing w:after="0" w:line="111"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The unobservable inputs we use in the fair value measurements are the probabilities of future scenarios, future values based on Monte Carlo simulations, and discount rate. The assumptions used in calculating the fair value of the SAFE Agreements represent our best estimates, however, these estimates involve inherent uncertainties and the application of judgment. As a result, if factors change or we use different assumptions, the value of the SAFE Agreements could be materially different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have operations only within the United States and as such are exposed to certain market risks in the ordinary course of our business. Market risk represents the risk that market prices, such as foreign exchange rates, interest rates and other market changes that affect market risk-sensitive instruments, will fluctuate. Information related to quantitative and qualitative disclosure about this market risk is set forth below.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exposure to interest rate risk is influenced primarily by changes in interest rates on interest payment related to our New Credit Mobilization Facility entered into commitment in April 2021 and the Second Amended and Restated Loan Agreement entered into on July 14, 2022. We had $20 million outstanding under the New Credit Mobilization Facility as of December 31, 2022 and $12 million outstanding as of December 31, 2021. See Note 6 — Debt of our audited consolidated financial statements and consolidated financial statements for more information.</w:t>
      </w:r>
    </w:p>
    <w:p>
      <w:pPr>
        <w:spacing w:after="0" w:line="1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table below shows the sensitivity analysis of a change in interest expense by 1% change in interest rate: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right"/>
              <w:ind w:right="107"/>
              <w:spacing w:after="0"/>
              <w:rPr>
                <w:sz w:val="20"/>
                <w:szCs w:val="20"/>
                <w:color w:val="auto"/>
              </w:rPr>
            </w:pPr>
            <w:r>
              <w:rPr>
                <w:rFonts w:ascii="Arial" w:cs="Arial" w:eastAsia="Arial" w:hAnsi="Arial"/>
                <w:sz w:val="16"/>
                <w:szCs w:val="16"/>
                <w:b w:val="1"/>
                <w:bCs w:val="1"/>
                <w:color w:val="auto"/>
                <w:w w:val="90"/>
              </w:rPr>
              <w:t>As of December 31, 2022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460" w:type="dxa"/>
            <w:vAlign w:val="bottom"/>
            <w:tcBorders>
              <w:bottom w:val="single" w:sz="8" w:color="CCEEFF"/>
            </w:tcBorders>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Interest rate</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3"/>
          </w:tcPr>
          <w:p>
            <w:pPr>
              <w:jc w:val="right"/>
              <w:ind w:right="15"/>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r>
      <w:tr>
        <w:trPr>
          <w:trHeight w:val="27"/>
        </w:trPr>
        <w:tc>
          <w:tcPr>
            <w:tcW w:w="4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9"/>
                <w:szCs w:val="19"/>
                <w:color w:val="auto"/>
              </w:rPr>
            </w:pPr>
          </w:p>
        </w:tc>
      </w:tr>
      <w:tr>
        <w:trPr>
          <w:trHeight w:val="40"/>
        </w:trPr>
        <w:tc>
          <w:tcPr>
            <w:tcW w:w="4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As per the analysis above, a hypothetical 1% change in interest rates would not have had a material impact on our consolidated financial statements as of December 31, 2022.</w:t>
      </w:r>
    </w:p>
    <w:p>
      <w:pPr>
        <w:spacing w:after="0" w:line="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had cash and cash equivalents of $25.8 million as of December 31, 2022. Cash and cash equivalents consist of cash in banks and time deposits purchased with an initial maturity of three months or less. Our cash and cash equivalents are held for working capital purposes.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Due to the short-term nature of these instruments, a hypothetical 1% change in interest rates during any of the periods presented would not have had a material impact on our consolidated financial statements as of December 31, 2022.</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Risk</w:t>
      </w:r>
    </w:p>
    <w:p>
      <w:pPr>
        <w:spacing w:after="0" w:line="15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Credit risk arises from primarily from receivables from the US Government. Credit risk is managed through periodic assessment of the financial reliability of customers, taking into account the financial condition, current economic trends, analysis of historical bad debts and aging of accounts receivables. The maximum exposure to credit risk at the reporting date is primarily from accounts receivables and contract assets (unbilled revenues) which amounted to $9.1 million and $5.2 million, respectively as of December 31, 2022 and 2021.</w:t>
      </w:r>
    </w:p>
    <w:p>
      <w:pPr>
        <w:spacing w:after="0" w:line="9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provides loss allowance using the expected credit loss model on account receivables and Contract assets (unbilled revenue).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Emerging Growth Company Status</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retain our emerging growth company status until the earliest of:</w:t>
      </w:r>
    </w:p>
    <w:p>
      <w:pPr>
        <w:spacing w:after="0" w:line="158" w:lineRule="exact"/>
        <w:rPr>
          <w:sz w:val="20"/>
          <w:szCs w:val="20"/>
          <w:color w:val="auto"/>
        </w:rPr>
      </w:pPr>
    </w:p>
    <w:p>
      <w:pPr>
        <w:ind w:left="1320" w:hanging="43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end of the fiscal year in which our annual revenues exceed $1.2 billion;</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end of the fiscal year in which the fifth anniversary of our public company registration has occurred;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three-year period;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qualify as a large accelerated filer.</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u w:val="single" w:color="auto"/>
          <w:color w:val="auto"/>
        </w:rPr>
        <w:t>Our Vision:</w:t>
      </w:r>
      <w:r>
        <w:rPr>
          <w:rFonts w:ascii="Arial" w:cs="Arial" w:eastAsia="Arial" w:hAnsi="Arial"/>
          <w:sz w:val="18"/>
          <w:szCs w:val="18"/>
          <w:color w:val="auto"/>
        </w:rPr>
        <w:t xml:space="preserve"> A diversified space company initially focused on establishing the lunar infrastructure and basis for commerce to inform and sustain human presence off Earth.</w:t>
      </w:r>
    </w:p>
    <w:p>
      <w:pPr>
        <w:spacing w:after="0" w:line="103"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u w:val="single" w:color="auto"/>
          <w:color w:val="auto"/>
        </w:rPr>
        <w:t>Right Now:</w:t>
      </w:r>
      <w:r>
        <w:rPr>
          <w:rFonts w:ascii="Arial" w:cs="Arial" w:eastAsia="Arial" w:hAnsi="Arial"/>
          <w:sz w:val="16"/>
          <w:szCs w:val="16"/>
          <w:color w:val="auto"/>
        </w:rPr>
        <w:t xml:space="preserve"> Servicing NASA and a worldwide set of commercial payload customers, working to provide access to the lunar surface, cislunar space and data transmission for science, technology, and infrastructure.</w:t>
      </w:r>
    </w:p>
    <w:p>
      <w:pPr>
        <w:spacing w:after="0" w:line="4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u w:val="single" w:color="auto"/>
          <w:color w:val="auto"/>
        </w:rPr>
        <w:t>Tomorrow:</w:t>
      </w:r>
      <w:r>
        <w:rPr>
          <w:rFonts w:ascii="Arial" w:cs="Arial" w:eastAsia="Arial" w:hAnsi="Arial"/>
          <w:sz w:val="18"/>
          <w:szCs w:val="18"/>
          <w:color w:val="auto"/>
        </w:rPr>
        <w:t xml:space="preserve"> Working to provide a thriving, diverse lunar economy, creating new opportunities and markets to enable on-orbit applications, a permanent presence on the Moon, and expand the commercial space exploration marketplace.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working to provide access to the lunar surface and collect and transmit cislunar data for science, technology, and infrastructure purposes. As of December 31, 2022 we are one of a select few companies servicing NASA and a worldwide set of commercial payload customers. We believe we have a strong position with a first mover advantage, as evidenced by three CLPS awards to date, more than any of our competitors as of December 31, 2022. Our Nova-C lander is intended to become the first U.S. vehicle to softly land on the lunar surface since 1972 and will become the first object to land at the lunar South pole in human history. The lander is capable of carrying up to 130 kilograms of cargo and is designed to execute numerous experiments and technology demonstrations to the lunar surface in 2023 under the IM-1 missions. Our goal is for these missions to be followed up by IM-2, which will continue to execute experiments and technology demonstrations, and IM-3, our third CLPS award which will land at Reiner Gamma. These missions, along with additional expeditions, are in partnership with NASA, Nokia Corporation, SpaceFlight Inc., Columbia Sportswear Company, Aegis Aerospace, Inc. and other commercial players.</w:t>
      </w:r>
    </w:p>
    <w:p>
      <w:pPr>
        <w:spacing w:after="0" w:line="10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offer our customers the flexibility needed to pioneer a thriving and diverse lunar economy designed to enable a permanent presence in lunar orbit and on the lunar surface.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Industry</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believe the commercial lunar economy is poised for growth given a number of key factors, including reduced barriers to entry in space, rising geopolitical tensions, and growing demand and program funding from the U.S. government.</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i w:val="1"/>
          <w:iCs w:val="1"/>
          <w:color w:val="auto"/>
        </w:rPr>
        <w:t xml:space="preserve">Reduced Barriers to Entry: </w:t>
      </w:r>
      <w:r>
        <w:rPr>
          <w:rFonts w:ascii="Arial" w:cs="Arial" w:eastAsia="Arial" w:hAnsi="Arial"/>
          <w:sz w:val="18"/>
          <w:szCs w:val="18"/>
          <w:color w:val="auto"/>
        </w:rPr>
        <w:t>The barriers to entry of the lunar economy have diminished significantly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decade. In particular, the costs of launch and lunar exploration have decreased meaningfully since the Apollo missions of the 1960s and early 1970s. NASA currently estimates that the upcoming Artemis I mission will cost approximately $28 billion to fund. Further, public-private partnerships, such as NASA’s commercial lunar payload contract program, are helping private companies pursue innovation and make lunar exploration more affordable than in past decades.</w:t>
      </w:r>
    </w:p>
    <w:p>
      <w:pPr>
        <w:spacing w:after="0" w:line="125"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7"/>
          <w:szCs w:val="17"/>
          <w:b w:val="1"/>
          <w:bCs w:val="1"/>
          <w:i w:val="1"/>
          <w:iCs w:val="1"/>
          <w:color w:val="auto"/>
        </w:rPr>
        <w:t xml:space="preserve">Rising Geopolitical Tensions: </w:t>
      </w:r>
      <w:r>
        <w:rPr>
          <w:rFonts w:ascii="Arial" w:cs="Arial" w:eastAsia="Arial" w:hAnsi="Arial"/>
          <w:sz w:val="17"/>
          <w:szCs w:val="17"/>
          <w:color w:val="auto"/>
        </w:rPr>
        <w:t>Additionally, there is geopolitical and policy alignment with the return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Moon. As described in the 2022 Defense Intelligence Agency report titled </w:t>
      </w:r>
      <w:r>
        <w:rPr>
          <w:rFonts w:ascii="Arial" w:cs="Arial" w:eastAsia="Arial" w:hAnsi="Arial"/>
          <w:sz w:val="17"/>
          <w:szCs w:val="17"/>
          <w:i w:val="1"/>
          <w:iCs w:val="1"/>
          <w:color w:val="auto"/>
        </w:rPr>
        <w:t>Challenges to Security in Space</w:t>
      </w:r>
      <w:r>
        <w:rPr>
          <w:rFonts w:ascii="Arial" w:cs="Arial" w:eastAsia="Arial" w:hAnsi="Arial"/>
          <w:sz w:val="17"/>
          <w:szCs w:val="17"/>
          <w:color w:val="auto"/>
        </w:rPr>
        <w:t>, “China and Russia value superiority in space. As a result, we expect them to seek ways to strengthen their space and counterspace programs, and determine ways to better integrate them into their respective militaries.” Specifically, the Chinese Lunar Exploration Program is already well underway. In 2020, Chang’e 5 successfully returned samples from the Moon. Over the next five years, three more Chang’e 5 missions are planned with the aim of generating products using lunar materials, a practice called in-situ resource utilization. The success of China and the values placed on superiority in space by other countries, such as Russia, has ignited a 21</w:t>
      </w:r>
      <w:r>
        <w:rPr>
          <w:rFonts w:ascii="Arial" w:cs="Arial" w:eastAsia="Arial" w:hAnsi="Arial"/>
          <w:sz w:val="19"/>
          <w:szCs w:val="19"/>
          <w:color w:val="auto"/>
          <w:vertAlign w:val="superscript"/>
        </w:rPr>
        <w:t>st</w:t>
      </w:r>
      <w:r>
        <w:rPr>
          <w:rFonts w:ascii="Arial" w:cs="Arial" w:eastAsia="Arial" w:hAnsi="Arial"/>
          <w:sz w:val="17"/>
          <w:szCs w:val="17"/>
          <w:color w:val="auto"/>
        </w:rPr>
        <w:t>-century space race that is well underway.</w:t>
      </w:r>
    </w:p>
    <w:p>
      <w:pPr>
        <w:spacing w:after="0" w:line="10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i w:val="1"/>
          <w:iCs w:val="1"/>
          <w:color w:val="auto"/>
        </w:rPr>
        <w:t xml:space="preserve">Market Push: </w:t>
      </w:r>
      <w:r>
        <w:rPr>
          <w:rFonts w:ascii="Arial" w:cs="Arial" w:eastAsia="Arial" w:hAnsi="Arial"/>
          <w:sz w:val="17"/>
          <w:szCs w:val="17"/>
          <w:color w:val="auto"/>
        </w:rPr>
        <w:t>As a result of the aforementioned factors, government funding for lunar missions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significantly grown as evidenced by the Artemis program. The Artemis program is a bipartisan initiative to return humans to the Moon and eventually achieve human exploration of Mars. Unlike the Apollo program, the Artemis program is relying heavily upon partnership with the private sector in order to accomplish its goals in the most cost-effective manner. Total NASA spending on the Artemis program is expected to reach $93 billion by 2025, according to a recent audit by the NASA Office of Inspector General. The program aims to conduct its first human landing in 2025 and achieve a sustainable human presence on the Moon with a powered habitable base camp by the late 2020s. The $2.6 billion CLPS program that we lead was created to deliver scientific instruments to the Moon to gather data in preparation for the human landing and eventually to deliver support equipment for human presence. Beyond Artemis and CLPS, the Lunar Gateway and Tipping Point contracts (with an approximately value of over $1.0 billion) are incremental evidence of the significant traction in the lunar market. Lunar Gateway is a series of three elements that will create a space station in lunar orbit scheduled to launch in 2024. Tipping Point is a NASA program that seeks industry-developed space technologies that can foster the development of commercial space capabilities and benefit future NASA missions.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Opportunity</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believe we are well-positioned to help ignite the cislunar economy by reducing cost of access while providing reliable missions on a defined schedule. We intend to accomplish this goal by integrating proven commercial technologies where they exist and solving the hardest problems in a vertically integrated manner. We believe we have already demonstrated success in this approach with our propulsion and Guidance, Navigation and Control (“GN&amp;C”) systems, both of which were designed and are produced in-house. We believe that space is the next economic frontier and the increased demand from governments, intelligence agencies, commercial industries, and private individuals has created multiple avenues for long-term growth. We are strongly positioned to exploit this growing market and become a leader with its proprietary technology and active backlog of customers.</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end markets that we address represent over $175.0 billion in annual spending and include Space Exploration (estimated NASA spending of $25.0 billion in 2022), National Security Space (estimated Space Force, SDA and MDA spending of $30.0 billion in 2022) and Commercial Satellite Services (estimated spending of $123.0 billion in 2022). Within these markets, Lunar Services and Earth Orbital Services are the primary addressable markets for us and each represent a more than $100.0 billion opportunity over the next decade.</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Lunar Services (estimated market size to be approximately $105.0 billion from 2021-2030): </w:t>
      </w:r>
      <w:r>
        <w:rPr>
          <w:rFonts w:ascii="Arial" w:cs="Arial" w:eastAsia="Arial" w:hAnsi="Arial"/>
          <w:sz w:val="18"/>
          <w:szCs w:val="18"/>
          <w:color w:val="auto"/>
        </w:rPr>
        <w:t>We expect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crewed missions, infrastructure, transportation, robotics, communication, and science and technology as significant market drivers. Through our Lunar Access Services and Lunar Data Services business units, we believe we are well positioned to be able to grow our business through our lunar landers and market leading capabilities.</w:t>
      </w:r>
    </w:p>
    <w:p>
      <w:pPr>
        <w:spacing w:after="0" w:line="10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 xml:space="preserve">Orbital Services (estimated market size to be approximately $14.0 billion from 2022-2031): </w:t>
      </w:r>
      <w:r>
        <w:rPr>
          <w:rFonts w:ascii="Arial" w:cs="Arial" w:eastAsia="Arial" w:hAnsi="Arial"/>
          <w:sz w:val="17"/>
          <w:szCs w:val="17"/>
          <w:color w:val="auto"/>
        </w:rPr>
        <w:t>We believe there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broad opportunities within the orbital services market segment, including life extension, robotics, salvage, Space Situational Awareness (SSA), de-orbiting, and relocation. Our Orbital Services business unit is being built to promote ancillary services, including satellite servicing and refueling, space station servicing, satellite repositioning, and orbital debris removal. We believe that deploying and supporting satellites in certain unique Earth orbits will allow us to optimize this market.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Units, Products and Services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are a premier provider and supplier of space products and services that we believe will enable sustained robotic and human exploration to the Moon, Mars, and beyond. Our core technologies underpin our capabilities in four business units: Lunar Access Services, Orbital Services, Lunar Data Services and Space Products and Infrastructure.</w:t>
      </w:r>
    </w:p>
    <w:p>
      <w:pPr>
        <w:spacing w:after="0" w:line="11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expect to achieve leading time to market across these business lines driven by our short design to manufacture process, enabled through vertical integration and rapidly iterative testing. This has been demonstrated with our GN&amp;C and propulsion systems, which have passed multiple validation tests in preparation for our first lunar mission as well as our operational lunar data network. These technologies can be leveraged to capture orbital services and we expect successful lunar landings will demonstrate our capability as an agile space company, supporting our continued expansion into Space Products and Infrastructure.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Lunar Access Services</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intend to utilize our proprietarily developed lunar lander vehicles to service CLPS contracts to fly NASA scientific equipment and commercial cargo to the lunar surface and support experiments.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Nova-C lander flying on IM-1 is designed to be the first U.S. vehicle to softly land on the lunar surface since 1972. Powered by our VR900 engine, and replete with innovative avionics for advanced guidance, navigation and control, IM-1 is capable of carrying up to 130 kilograms of cargo, and is intended to ferry numerous experiments to the lunar surface in 2023 under the IM-1 missions. IM-2 is intended to succeed IM-1 as our second flight, as we attempt to make it the first object in human history to land at the South Pole of the Moon and deploy the Moon’s first drill to test for water ice, while also deploying our micro-Nova “hopper” — a drone to test the Nokia LTE network in space. The workhorse of the Nova-C lander is the VR900 LOX/Methane engine, which is a fully additively manufactured (3D printed) rocket engine, which we designed and manufacture in-house. Building off the solid framework of our Nova-C lander systems and structures, we have designed a scalable path for the development and construction of additional vehicles. Nova-D, thanks to its two VR900 engines and stretched tanks, will have a projected payload capacity of 500-750 kilograms and has completed System Definition Review (SDR). Our largest lander, the Nova-M,</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will rely on its two VR3500 engines to carry approximately 5,000-7,500 kilograms of payload to the lunar surface. Nova-M is a future development effort. These options are designed to afford flexibility for our customers as we pioneer a thriving, diverse lunar economy and enable a permanent presence on the Moon. Importantly, they are also all based on the same LOX/Methane engine, which is designed and manufactured in-house.</w:t>
      </w:r>
    </w:p>
    <w:p>
      <w:pPr>
        <w:spacing w:after="0" w:line="120"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also offer lunar surface mobility through the µNova. The µNova is a small robotic, deployable spacecraft that is designed to provide a novel type of mobility to reach extreme lunar environments, such as pits and craters. Acting as a payload on a lander like the Nova-C, µNova deploys once on the lunar surface and uses its own propulsion system to autonomously fly, or “hop,” between locations of interest. Capable of traveling up to 25 kilometers from its host lander with a payload of 5 kilograms, µNova enables a number of mission types, including regional surveys, prospecting of multiple dispersed sites, and accessing hard-to-reach locations like permanently shadowed regions, lunar pits, and craters. The technology is also designed to be scalable to provide similar access for larger payloads over a longer distance. The first µNova is intended to fly to the Moon on IM-2 and perform a demonstration mission at the lunar South Pole for the NASA Tipping Point program.</w:t>
      </w:r>
    </w:p>
    <w:p>
      <w:pPr>
        <w:spacing w:after="0" w:line="9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As of December 31, 2022, the contracted value of our Lunar Access Services business unit includes $289.0 million of NASA CLPS and Tipping Point contracts and $56.8 million of commercial payloads contracted on IM-1, IM-2, and IM-3. In addition, as of December 31, 2022, we have $1.6 million in commercial sponsorships and content sales, which provides us with another source of revenue outside of our core operations. Our three lunar missions are contracted to fly on SpaceX’s Falcon 9. This mission profile primes the market to expect an annual cadence of lunar access missions so customers can begin to prepare their payloads and business cases now for future missions.</w:t>
      </w:r>
    </w:p>
    <w:p>
      <w:pPr>
        <w:spacing w:after="0" w:line="11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Revenue streams from lunar access are expected to include a lunar rocket-fueled drone (µNova), lunar surface rover services, fixed lunar surface services, lunar orbit delivery services, rideshare delivery services to lunar orbit, and content sales and marketing sponsorships.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Orbital Services</w:t>
      </w:r>
    </w:p>
    <w:p>
      <w:pPr>
        <w:spacing w:after="0" w:line="15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We will be operating missions and are currently developing technologies that are designed to enable services including satellite delivery and rideshare, satellite servicing and refueling, space station servicing, satellite repositioning, and orbital debris removal. Our Orbital Services segment is designed to mainly support satellites and stations in Earth and lunar orbits.</w:t>
      </w:r>
    </w:p>
    <w:p>
      <w:pPr>
        <w:spacing w:after="0" w:line="11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Orbital Services consists of leveraging our technologies and government funds to establish a foothold in capturing the growing orbital services market. The technologies we are working to leverage include mechanism and robotics capabilities, propulsion, Nova-C optical navigation, and rendezvous and proximity operations, and satellite capture.</w:t>
      </w:r>
    </w:p>
    <w:p>
      <w:pPr>
        <w:spacing w:after="0" w:line="106"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made significant progress to date in orbital services through four major milestones. First, we on-boarded a satellite services team in order to add a world-class mechanisms/robotics team onto our Rendezvous Proximity Operations and Capture (“RPOC”). We also signed a $6.0 million Commercial RPOC contract with Axiom Space. Third, we have actively engaged in policy development for Active Debris Removal Funding and license two NASA Active Debris Removal patents pursuant to the In-License Agreement. Lastly, we have three rideshare contracts across IM-2 and IM-3 collectively worth $18.45 million, with several others in discussion.</w:t>
      </w:r>
    </w:p>
    <w:p>
      <w:pPr>
        <w:spacing w:after="0" w:line="9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are also pursuing two main strategic pursuits. We are pursuing a $720.0 million prime engineering contract to lead the NASA Landsat Servicing mission as well as a pursuit to work with National Security Space in order to leverage domain expertise for demonstrations of orbital servicing, debris removal, rideshares, and Space Domain Awareness.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Lunar Data Services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leverage our six strategically positioned ground stations across Earth to offer continuous lunar coverage, facilitating secure lunar communications, navigation, and imagery. Providing Lunar Data Services is designed to allow us to provide lunar network services to NASA, the U.S. Space Force and commercial clients, which we believe will be an increasingly important priority given China’s recent declaration that they intend to build their own lunar satellite network.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that we are one of the few companies capable of providing a commercial lunar communication network as an alternative to NASA’s aging and overtasked Deep Space Network (DSN) assets, which we believe will allow connectivity with the far side of the Moon and support robotic and human missions to the South Pole of the Moon. We are designing and building the required critical infrastructure and has existing agreements with global ground stations to provide coverage of the Moon. We believe that our Lunar Data Services offering is made up of a validated and complete lunar communications solution. Our network consists of our Nova Control Lunar Operations Center, our global collection of dishes called the Lunar Telemetry, Tracking and Communications Network (“LTN”), and the Cislunar Relay Constellation (Khon Satellites comprising our Khonstellation). Our network is secured by IronNet cybersecurity. In addition to our own LTN, we have our own world-class control center located at our headquarters in Houston, Texas. Built from the ground up by our highly experienced team, Nova Control enables collaboration, innovation and seamless operations, in this 24-hour facility that was designed to provide tracking, telemetry and communications support for cislunar space and the surface of the Moon.</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lunar network can provide line of sight communication and will provide lunar South Pole and far-side coverage, lunar positioning services (GPS for the Moon), data relay, and data storage/caching.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Space Products and Infrastructure</w:t>
      </w:r>
    </w:p>
    <w:p>
      <w:pPr>
        <w:spacing w:after="0" w:line="158"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This segment includes propulsion systems, navigation systems, engineering services contracts, lunar mobility vehicles (rovers and drones), power infrastructure (Fission Surface Power), and human habitation systems.</w:t>
      </w:r>
    </w:p>
    <w:p>
      <w:pPr>
        <w:spacing w:after="0" w:line="4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With extensive manufacturing capabilities, an in-house composites shop, and robust machine shop, we are able to find solutions for the prototyping or production challenges our customers face. Our manufacturing facility currently houses two EOS M290 manufacturing machines capable of creating manufactured parts in several characterized materials, including Inconel (IN625) and Titanium (Ti64). Our facility also houses the IM 3D design studio and post processing facilities that enhance development of in-house, manufactured parts. With these capabilities, we are positioning ourselves to rapidly manufacture on-demand prototypes, development parts, flight units and spares with a focus on producing small series and high-quality serial productions of metal manufactured components.</w:t>
      </w:r>
    </w:p>
    <w:p>
      <w:pPr>
        <w:spacing w:after="0" w:line="12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also have rich experience and unique capabilities with engines, ignitors, controllers, encoders, gimbals, and diverse test facilities that allow us to rapidly develop propulsion systems. In a recent example, in February 2020, we successfully test-fired our VR3500 Moon lander engine for over 600 seconds, breaking the continuous test duration record on Marshall Space Flight Center’s Test Stand 115 — within four months from contract award. Our LOX/Methane engines are unique for in-space propulsion, in that they have demonstrated safety in handling and testing here on the ground, as well as reliable performance in space, and will enable our vehicles to fly more direct trajectories to the Moon. This is important because higher performance allows us to transit the Van Allen belt once compared to lower thrust systems which require several transits, which greatly reduces the risk of damage to our vehicle avionics due to high energy particles (radiation). The workhorse of our engine fleet is the 900lbf thrust class VR900. This engine has undergone hundreds of hours of testing and design, and will be used in our Nova-C lander as it returns the United States to the lunar surface. We also have engineered the VR3500 Engine. The VR3500 development and testing was performed on contract for Boeing’s Human Landing System (HLS) NextSTEP-2 in support of NASA’s Artemis program to return humans to the lunar surface. Our team designed, developed, built, and tested the engine within four months of contract award. This is an example of how our team combines innovation and experience to rapidly deliver results.</w:t>
      </w:r>
    </w:p>
    <w:p>
      <w:pPr>
        <w:spacing w:after="0" w:line="10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broad experience in automated systems includes avionics, communications, navigation, guidance and control systems, rendezvous and proximity operations, synthetic perception technology and human-machine interfaces. Specifically, our team brings extensive experience from NASA’s Morpheus and ALHAT (Autonomous Landing and Hazard Avoidance Technology) projects and the efforts of the Precision Landing and Hazard Avoidance (PLHA) community. We helped validate the Natural Feature Tracking (NFT) system for the OSIRIS-REx mission, which enabled precision landing on the asteroid Bennu. We have developed a PLHA system with Terrain Relative Navigation (TRN) using optical and laser measurements for precise and safe landing on a celestial body. We continue to mature our PLHA technology with the support of a nationwide academic network for incorporation into our Nova-C missions to the lunar surface in 2023 under the IM-1 missions.</w:t>
      </w:r>
    </w:p>
    <w:p>
      <w:pPr>
        <w:spacing w:after="0" w:line="11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employ some of the industry’s most advanced software tools and processes to rapidly evolve and meet the complex and dynamic demands of our customers, and to build robust software solutions to ensure mission success. Concepts such as Agile software development, DevOps, and Digital Twins allows us to efficiently adapt our software to what is needed. From Low Earth Orbit to the lunar surface, we are capable of delivering complete mission solutions.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 and Partners</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are an integral partner to its customers and partners. We execute on our commitments and develop solutions for our customers’ toughest challenges. Our customers include, but are not limited to: NASA, Nokia Corporation, Columbia Sportswear Company, Aegis Aerospace, Inc., SpaceFlight Inc., KBR, Inc., Boeing Airplane &amp; Transport Corporation, AstroForge and others. We execute on our commitments and develop solutions for our customers’ toughest challenges. We also have premiere partners in the industry including:</w:t>
      </w:r>
    </w:p>
    <w:p>
      <w:pPr>
        <w:spacing w:after="0" w:line="90" w:lineRule="exact"/>
        <w:rPr>
          <w:sz w:val="20"/>
          <w:szCs w:val="20"/>
          <w:color w:val="auto"/>
        </w:rPr>
      </w:pPr>
    </w:p>
    <w:p>
      <w:pPr>
        <w:jc w:val="both"/>
        <w:ind w:left="1320" w:right="459" w:hanging="434"/>
        <w:spacing w:after="0" w:line="272" w:lineRule="auto"/>
        <w:tabs>
          <w:tab w:leader="none" w:pos="131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X-energy. </w:t>
      </w:r>
      <w:r>
        <w:rPr>
          <w:rFonts w:ascii="Arial" w:cs="Arial" w:eastAsia="Arial" w:hAnsi="Arial"/>
          <w:sz w:val="17"/>
          <w:szCs w:val="17"/>
          <w:color w:val="auto"/>
        </w:rPr>
        <w:t>X-energy is a nuclear reactor and fuel design engineering company,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Generation IV high-temperature gas cooled nuclear reactors and TRISO-X fuel to power them. We are partnered with them in a joint venture in the pursuit of nuclear space propulsion and surface power systems in support of future exploration goals, and has received one of three awards from NASA to design a 40kW fission surface power system for the lunar surface. We and X-energy are currently executing the fission surface power design contract through a joint venture called IX, LLC. Dr. Kamal Ghaffarian, the co-founder and executive chairman of our Board, is a co-founder and current member of management of X-energy.</w:t>
      </w:r>
    </w:p>
    <w:p>
      <w:pPr>
        <w:spacing w:after="0" w:line="104" w:lineRule="exact"/>
        <w:rPr>
          <w:rFonts w:ascii="Arial" w:cs="Arial" w:eastAsia="Arial" w:hAnsi="Arial"/>
          <w:sz w:val="17"/>
          <w:szCs w:val="17"/>
          <w:color w:val="auto"/>
        </w:rPr>
      </w:pPr>
    </w:p>
    <w:p>
      <w:pPr>
        <w:jc w:val="both"/>
        <w:ind w:left="1320" w:right="479" w:hanging="434"/>
        <w:spacing w:after="0" w:line="277" w:lineRule="auto"/>
        <w:tabs>
          <w:tab w:leader="none" w:pos="131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Axiom Space. </w:t>
      </w:r>
      <w:r>
        <w:rPr>
          <w:rFonts w:ascii="Arial" w:cs="Arial" w:eastAsia="Arial" w:hAnsi="Arial"/>
          <w:sz w:val="17"/>
          <w:szCs w:val="17"/>
          <w:color w:val="auto"/>
        </w:rPr>
        <w:t>We are partnered with Axiom Space to provide guidance, navigation and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rendezvous and proximity operations expertise for their space station. We are also partnered to support their development of the next generation spacesuit under the xEVAS program. Axiom Space is our customer. Dr. Kamal Ghaffarian, the co-founder and executive chairman of our Board, is a co-founder and current member of management of Axiom Space.</w:t>
      </w:r>
    </w:p>
    <w:p>
      <w:pPr>
        <w:spacing w:after="0" w:line="86" w:lineRule="exact"/>
        <w:rPr>
          <w:rFonts w:ascii="Arial" w:cs="Arial" w:eastAsia="Arial" w:hAnsi="Arial"/>
          <w:sz w:val="17"/>
          <w:szCs w:val="17"/>
          <w:color w:val="auto"/>
        </w:rPr>
      </w:pPr>
    </w:p>
    <w:p>
      <w:pPr>
        <w:jc w:val="both"/>
        <w:ind w:left="1320" w:right="459" w:hanging="434"/>
        <w:spacing w:after="0" w:line="258" w:lineRule="auto"/>
        <w:tabs>
          <w:tab w:leader="none" w:pos="131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NASA. </w:t>
      </w:r>
      <w:r>
        <w:rPr>
          <w:rFonts w:ascii="Arial" w:cs="Arial" w:eastAsia="Arial" w:hAnsi="Arial"/>
          <w:sz w:val="18"/>
          <w:szCs w:val="18"/>
          <w:color w:val="auto"/>
        </w:rPr>
        <w:t>We are partnered with NASA and service NASA through three missions to date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their CLPS contract program. We work to provide NASA with access to the lunar surface as well as cislunar data for science, technology, and infrastructure. The IM-2 mission is also contracted by NASA and will be the first spacecraft to drill for lunar ice. The mission will also be a part of NASA’s Tipping Point with the µNova Hopper.</w:t>
      </w:r>
    </w:p>
    <w:p>
      <w:pPr>
        <w:spacing w:after="0" w:line="115" w:lineRule="exact"/>
        <w:rPr>
          <w:rFonts w:ascii="Arial" w:cs="Arial" w:eastAsia="Arial" w:hAnsi="Arial"/>
          <w:sz w:val="18"/>
          <w:szCs w:val="18"/>
          <w:color w:val="auto"/>
        </w:rPr>
      </w:pPr>
    </w:p>
    <w:p>
      <w:pPr>
        <w:jc w:val="both"/>
        <w:ind w:left="1320" w:right="479" w:hanging="434"/>
        <w:spacing w:after="0" w:line="281" w:lineRule="auto"/>
        <w:tabs>
          <w:tab w:leader="none" w:pos="131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KBR. </w:t>
      </w:r>
      <w:r>
        <w:rPr>
          <w:rFonts w:ascii="Arial" w:cs="Arial" w:eastAsia="Arial" w:hAnsi="Arial"/>
          <w:sz w:val="17"/>
          <w:szCs w:val="17"/>
          <w:color w:val="auto"/>
        </w:rPr>
        <w:t>KBR, Inc. (“KBR”) is a U.S.-based science, technology and engineering firm.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course of business, we regularly provide engineering services to KBR. KBR also owns a 10% interest in Space Network Solutions (“SNS”), one of our operating subsidiaries. The SNS joint venture is pursuing the OMES contract to conduct servicing of NASA’s LandSat-7.</w:t>
      </w:r>
    </w:p>
    <w:p>
      <w:pPr>
        <w:spacing w:after="0" w:line="97" w:lineRule="exact"/>
        <w:rPr>
          <w:rFonts w:ascii="Arial" w:cs="Arial" w:eastAsia="Arial" w:hAnsi="Arial"/>
          <w:sz w:val="17"/>
          <w:szCs w:val="17"/>
          <w:color w:val="auto"/>
        </w:rPr>
      </w:pPr>
    </w:p>
    <w:p>
      <w:pPr>
        <w:jc w:val="both"/>
        <w:ind w:left="1320" w:right="459" w:hanging="434"/>
        <w:spacing w:after="0" w:line="258" w:lineRule="auto"/>
        <w:tabs>
          <w:tab w:leader="none" w:pos="131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Jacobs. </w:t>
      </w:r>
      <w:r>
        <w:rPr>
          <w:rFonts w:ascii="Arial" w:cs="Arial" w:eastAsia="Arial" w:hAnsi="Arial"/>
          <w:sz w:val="18"/>
          <w:szCs w:val="18"/>
          <w:color w:val="auto"/>
        </w:rPr>
        <w:t>Jacobs Engineering Group Inc. (“Jacobs”) is a U.S.-based technical, engineering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firm that provides services for a broad range of clients globally including companies, organizations, and government agencies. We are partnered with Jacobs under a teaming agreement and subcontract for NASA’s JSC Engineering, Technology, and Science program (“JETS Program”).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Position</w:t>
      </w:r>
    </w:p>
    <w:p>
      <w:pPr>
        <w:spacing w:after="0" w:line="14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We believe we are well positioned to become a leading player in a fast growing market. Our competitive strengths include:</w:t>
      </w:r>
    </w:p>
    <w:p>
      <w:pPr>
        <w:spacing w:after="0" w:line="99" w:lineRule="exact"/>
        <w:rPr>
          <w:sz w:val="20"/>
          <w:szCs w:val="20"/>
          <w:color w:val="auto"/>
        </w:rPr>
      </w:pPr>
    </w:p>
    <w:p>
      <w:pPr>
        <w:jc w:val="both"/>
        <w:ind w:left="1320" w:right="459" w:hanging="434"/>
        <w:spacing w:after="0" w:line="273" w:lineRule="auto"/>
        <w:tabs>
          <w:tab w:leader="none" w:pos="1315"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First Mover Advantage: </w:t>
      </w:r>
      <w:r>
        <w:rPr>
          <w:rFonts w:ascii="Arial" w:cs="Arial" w:eastAsia="Arial" w:hAnsi="Arial"/>
          <w:sz w:val="17"/>
          <w:szCs w:val="17"/>
          <w:color w:val="auto"/>
        </w:rPr>
        <w:t>We are a first mover in a new category with an untapped addressable</w:t>
      </w:r>
      <w:r>
        <w:rPr>
          <w:rFonts w:ascii="Arial" w:cs="Arial" w:eastAsia="Arial" w:hAnsi="Arial"/>
          <w:sz w:val="17"/>
          <w:szCs w:val="17"/>
          <w:b w:val="1"/>
          <w:bCs w:val="1"/>
          <w:color w:val="auto"/>
        </w:rPr>
        <w:t xml:space="preserve"> </w:t>
      </w:r>
      <w:r>
        <w:rPr>
          <w:rFonts w:ascii="Arial" w:cs="Arial" w:eastAsia="Arial" w:hAnsi="Arial"/>
          <w:sz w:val="17"/>
          <w:szCs w:val="17"/>
          <w:color w:val="auto"/>
        </w:rPr>
        <w:t>market of $119 billion, according to Northern Sky Research’s 2022 Moon Markets and Earth Orbital Services Market Analysis reports. We are a nine-year-old lunar services company and is in the leading position in NASA’s return to the Moon with over $86.6 million in 2021 fiscal year revenues. We believe we are also a first mover in lunar transport and communications systems. We also believe that we have an established, highly defensible, and scalable technology position providing lunar transport, landing, and data relay services.</w:t>
      </w:r>
    </w:p>
    <w:p>
      <w:pPr>
        <w:spacing w:after="0" w:line="104" w:lineRule="exact"/>
        <w:rPr>
          <w:rFonts w:ascii="Arial" w:cs="Arial" w:eastAsia="Arial" w:hAnsi="Arial"/>
          <w:sz w:val="17"/>
          <w:szCs w:val="17"/>
          <w:color w:val="auto"/>
        </w:rPr>
      </w:pPr>
    </w:p>
    <w:p>
      <w:pPr>
        <w:jc w:val="both"/>
        <w:ind w:left="1320" w:right="459" w:hanging="434"/>
        <w:spacing w:after="0" w:line="255" w:lineRule="auto"/>
        <w:tabs>
          <w:tab w:leader="none" w:pos="131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Contracting TAM Well Beyond NASA: </w:t>
      </w:r>
      <w:r>
        <w:rPr>
          <w:rFonts w:ascii="Arial" w:cs="Arial" w:eastAsia="Arial" w:hAnsi="Arial"/>
          <w:sz w:val="18"/>
          <w:szCs w:val="18"/>
          <w:color w:val="auto"/>
        </w:rPr>
        <w:t>The accessible total addressable market for us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$120.0 billion over the next decade. Our total addressable market includes Department of Defense and Space Force spending, along with spending by the U.S. intelligence community, which have prioritized the Moon via strong bipartisan support, especially given recent geopolitical developments and the race to space from Russia and China. Our total addressable market is underpinned by large end markets, including space exploration, national security space, and commercial satellite services.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1320" w:hanging="434"/>
        <w:spacing w:after="0"/>
        <w:tabs>
          <w:tab w:leader="none" w:pos="13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Differentiated Technology Offering:  </w:t>
      </w:r>
      <w:r>
        <w:rPr>
          <w:rFonts w:ascii="Arial" w:cs="Arial" w:eastAsia="Arial" w:hAnsi="Arial"/>
          <w:sz w:val="16"/>
          <w:szCs w:val="16"/>
          <w:color w:val="auto"/>
        </w:rPr>
        <w:t>We have innovated key technology and lunar features and</w:t>
      </w:r>
    </w:p>
    <w:p>
      <w:pPr>
        <w:spacing w:after="0" w:line="50" w:lineRule="exact"/>
        <w:rPr>
          <w:rFonts w:ascii="Arial" w:cs="Arial" w:eastAsia="Arial" w:hAnsi="Arial"/>
          <w:sz w:val="16"/>
          <w:szCs w:val="16"/>
          <w:b w:val="1"/>
          <w:bCs w:val="1"/>
          <w:color w:val="auto"/>
        </w:rPr>
      </w:pPr>
    </w:p>
    <w:p>
      <w:pPr>
        <w:ind w:left="1320" w:right="479"/>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capabilities, including: LOX and Methane Propulsion, Optical NAV System, Lunar Communications, RE-Entry and Landing, RPO and Capture and Extreme Surface Mobility.</w:t>
      </w:r>
    </w:p>
    <w:p>
      <w:pPr>
        <w:spacing w:after="0" w:line="113" w:lineRule="exact"/>
        <w:rPr>
          <w:rFonts w:ascii="Arial" w:cs="Arial" w:eastAsia="Arial" w:hAnsi="Arial"/>
          <w:sz w:val="16"/>
          <w:szCs w:val="16"/>
          <w:b w:val="1"/>
          <w:bCs w:val="1"/>
          <w:color w:val="auto"/>
        </w:rPr>
      </w:pPr>
    </w:p>
    <w:p>
      <w:pPr>
        <w:jc w:val="both"/>
        <w:ind w:left="1320" w:right="459" w:hanging="434"/>
        <w:spacing w:after="0" w:line="254" w:lineRule="auto"/>
        <w:tabs>
          <w:tab w:leader="none" w:pos="131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High Quality Business Model: </w:t>
      </w:r>
      <w:r>
        <w:rPr>
          <w:rFonts w:ascii="Arial" w:cs="Arial" w:eastAsia="Arial" w:hAnsi="Arial"/>
          <w:sz w:val="18"/>
          <w:szCs w:val="18"/>
          <w:color w:val="auto"/>
        </w:rPr>
        <w:t>We have significant intellectual property assets and high return</w:t>
      </w:r>
      <w:r>
        <w:rPr>
          <w:rFonts w:ascii="Arial" w:cs="Arial" w:eastAsia="Arial" w:hAnsi="Arial"/>
          <w:sz w:val="18"/>
          <w:szCs w:val="18"/>
          <w:b w:val="1"/>
          <w:bCs w:val="1"/>
          <w:color w:val="auto"/>
        </w:rPr>
        <w:t xml:space="preserve"> </w:t>
      </w:r>
      <w:r>
        <w:rPr>
          <w:rFonts w:ascii="Arial" w:cs="Arial" w:eastAsia="Arial" w:hAnsi="Arial"/>
          <w:sz w:val="18"/>
          <w:szCs w:val="18"/>
          <w:color w:val="auto"/>
        </w:rPr>
        <w:t>on invested capital at scale with a durable growth trajectory and margin expansion in a non-cyclical sector. We are growing rapidly from $8 million in revenue in 2018 to $86.6 million in revenue in 2022, and with approximately $142.1 million in 2023 revenues already contracted, with the expectation and belief that we will continue to secure sizeable near-term awards in the near future. Our revenue is expected to transition from government contracts to commercial services sales through successful missions showcasing capabilities as the cislunar economy develops and as we mature as a company.</w:t>
      </w:r>
    </w:p>
    <w:p>
      <w:pPr>
        <w:spacing w:after="0" w:line="124" w:lineRule="exact"/>
        <w:rPr>
          <w:rFonts w:ascii="Arial" w:cs="Arial" w:eastAsia="Arial" w:hAnsi="Arial"/>
          <w:sz w:val="18"/>
          <w:szCs w:val="18"/>
          <w:color w:val="auto"/>
        </w:rPr>
      </w:pPr>
    </w:p>
    <w:p>
      <w:pPr>
        <w:jc w:val="both"/>
        <w:ind w:left="1320" w:right="479" w:hanging="434"/>
        <w:spacing w:after="0" w:line="314" w:lineRule="auto"/>
        <w:tabs>
          <w:tab w:leader="none" w:pos="1315"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World-class Management Team: </w:t>
      </w:r>
      <w:r>
        <w:rPr>
          <w:rFonts w:ascii="Arial" w:cs="Arial" w:eastAsia="Arial" w:hAnsi="Arial"/>
          <w:sz w:val="16"/>
          <w:szCs w:val="16"/>
          <w:color w:val="auto"/>
        </w:rPr>
        <w:t>Our management team possesses a valuable combination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vision. In addition to their technical knowledge, our team has extensive experience operating and leading companies and a strong track-record of building market making businesses.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pursuing the following growth strategies:</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b w:val="1"/>
          <w:bCs w:val="1"/>
          <w:i w:val="1"/>
          <w:iCs w:val="1"/>
          <w:color w:val="auto"/>
        </w:rPr>
        <w:t xml:space="preserve">Continuing to build on first mover advantage in lunar transport: </w:t>
      </w:r>
      <w:r>
        <w:rPr>
          <w:rFonts w:ascii="Arial" w:cs="Arial" w:eastAsia="Arial" w:hAnsi="Arial"/>
          <w:sz w:val="18"/>
          <w:szCs w:val="18"/>
          <w:color w:val="auto"/>
        </w:rPr>
        <w:t>We are a company of firsts. Our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mission is IM-1, which is intended to be the first commercial lander on the Moon and the first U.S. lander on the Moon since the Apollo 17 mission in 1972. Our second mission for IM-2 is also being designed to achieve a multitude of firsts: first lander on the lunar south pole, first to drill for water ice on the Moon, first to develop and operate a lunar hopper in history, and first to deploy a data relay satellite in lunar orbit. Some of our other firsts from missions and accomplishments include: first to work with a commercial partner to deliver lunar payloads, first to establish a commercial lunar and deep space communications network, and first to partner with JSC Astro-Materials Curations Office to certify lunar material. We also intend to continue to build on our first mover advantage gained through these accomplishments and leverage them into positions on new contracts in the future.</w:t>
      </w:r>
    </w:p>
    <w:p>
      <w:pPr>
        <w:spacing w:after="0" w:line="12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 xml:space="preserve">Building out capabilities and pursuing opportunities in adjacent lunar markets: </w:t>
      </w:r>
      <w:r>
        <w:rPr>
          <w:rFonts w:ascii="Arial" w:cs="Arial" w:eastAsia="Arial" w:hAnsi="Arial"/>
          <w:sz w:val="17"/>
          <w:szCs w:val="17"/>
          <w:color w:val="auto"/>
        </w:rPr>
        <w:t>We intend to scale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our existing capabilities in order to provide a complete suite of lunar economy services. This offering is designed to include products and services critical to Commercial Landers, Lunar Data Services, Crewed Lunar Missions, Lunar Transportation Services, Lunar Power Services, and Lunar Habitats.</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Pursuing orbital services opportunities: </w:t>
      </w:r>
      <w:r>
        <w:rPr>
          <w:rFonts w:ascii="Arial" w:cs="Arial" w:eastAsia="Arial" w:hAnsi="Arial"/>
          <w:sz w:val="18"/>
          <w:szCs w:val="18"/>
          <w:color w:val="auto"/>
        </w:rPr>
        <w:t>We intend to leverage our technologies and government funds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a foothold in the orbital services market. Some of our key technologies, such as robotics, Nova-C optical navigation and RPOC, and satellite capture, have enabled key progress towards this aim to date. This progress includes a commercial space station contract in-hand with Axiom Space, rideshare contracts in hand for IM-2, and two licensed NASA active debris removal patents. Going forward, we intend to pursue the $720.0 million Prime Engineering Contract to lead the NASA mission to service LandSat-7 as well as other national security-related contracts.</w:t>
      </w:r>
    </w:p>
    <w:p>
      <w:pPr>
        <w:spacing w:after="0" w:line="12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 xml:space="preserve">Leveraging capabilities in commercial lunar and satellite services market: </w:t>
      </w:r>
      <w:r>
        <w:rPr>
          <w:rFonts w:ascii="Arial" w:cs="Arial" w:eastAsia="Arial" w:hAnsi="Arial"/>
          <w:sz w:val="17"/>
          <w:szCs w:val="17"/>
          <w:color w:val="auto"/>
        </w:rPr>
        <w:t>We plan to leverage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success to build a commercial customer base and develop the industry partnerships required for our next phase of growth. Leveraging these government contracts as well as our differentiated capabilities will allow us to establish a foothold in the emerging satellite servicing market.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Competition</w:t>
      </w:r>
    </w:p>
    <w:p>
      <w:pPr>
        <w:spacing w:after="0" w:line="162"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Competition in our addressable market is mainly divided between incumbents, such as Northrop Grumman and Lockheed Martin who pursue larger, more complex contracts such as manned lunar missions, and next generation players, including our competitors on the CLPS contract such as Astrobotic and Firefly Aerospace.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Our sales organization operates directly and via our extensive customer and partner network,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spans across North America, Europe, Asia, the Middle East, and Australia. Our partner network consists of our rideshare delivery providers, lunar surface mobility providers, payload providers, communication satellite provider, and ground segment providers.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main responsibilities for our sales organization include ensuring contract renewals, maintaining relationships and expanding business with existing customers and partners, and acquiring new customers. We have deep expertise in capture efforts with the government customers, and have established processes to succeed with such customers. We leverage extensive existing relationships as well as our partner network and direct sales efforts to continue to win and grow business with commercial customers.</w:t>
      </w:r>
    </w:p>
    <w:p>
      <w:pPr>
        <w:spacing w:after="0" w:line="10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work closely with our customers and partners to enable their success. Deeper adoption from our customers comes in many forms, including delivery of payloads to lunar orbit and the lunar surface, data and data relay services for users in the lunar vicinity, orbital services, lunar surface infrastructure, and space products and services.</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(“R&amp;D”) team is integrated across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organization to leverage the best engineers within each discipline and prevent stovepipes within our technology, yielding fully integrated systems that reduce time to market. Our R&amp;D scope includes company rollover, acquisition, optimizing capital structure, and general corporate purposes. Our R&amp;D team is also responsible for developing and innovating our proprietary technology platform.</w:t>
      </w:r>
    </w:p>
    <w:p>
      <w:pPr>
        <w:spacing w:after="0" w:line="10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continue to invest in R&amp;D, particularly as it relates to “survive the night” and our larger lander design to make our platform more accessible to a wider range of customers, as well as innovating our space technology to capture various types of data efficiently.</w:t>
      </w:r>
    </w:p>
    <w:p>
      <w:pPr>
        <w:spacing w:after="0" w:line="11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Our marketing team utilizes a multi-channel approach to develop and increase our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position and communicate the value of our differentiated offering, and develop engaging outbound demand-generation campaigns.</w:t>
      </w:r>
    </w:p>
    <w:p>
      <w:pPr>
        <w:spacing w:after="0" w:line="11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team drives our overall market positioning and messaging across our key audiences and vertical markets, as well as provides strategic go-to-market assessments of use cases that emerge from new product capabilities and the market landscape. Our communications team works with targeted industry influencers and media outlets to drive interest through media channels, including blogs, social media, and video. This approach is important for our strategy to capture the entire market opportunity encompassing not only NASA and Department of Defense, but also commercial aerospace and non-traditional customer segments engaged in partnership and content activity, who value brand activation from these engagements.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48"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Our ability to manufacture and operate our spacecraft is dependent upon sufficient availability of raw materials and supplied components including avionics, flight computers, radios and electrical power systems.</w:t>
      </w:r>
    </w:p>
    <w:p>
      <w:pPr>
        <w:spacing w:after="0" w:line="5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obtain raw materials and components from suppliers that we believe to be reputable and reliable. We have established and follow internal quality control processes to source suppliers, considering quality, cost, delivery and lead-time. We instill responsibility for quality at the lead level to ensure our suppliers and internally built hardware meet the required quality standards. While we largely source raw materials and components from multiple sources, in some cases raw materials and components are sourced from a limited number of suppliers. In these situations, as we endeavor to diversify our supply chain, we manage this risk through using material requirements planning, including material forecasting and planning, safety stock, and bulk and advance buying with focused efforts on long-lead items.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 Assembly and Operations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have an integrated manufacturing facility in Houston, TX and are constructing a state of the art, built to spec manufacturing and operations center on Spaceport Houston for occupancy in the third quarter of 2023. The current manufacturing capability supports R&amp;D, rapid prototyping and flight level hardware in an integrated and disciplined manner applying the correct level of rigor to the appropriate process. We leverage a strong culture of personal accountability to ensure efficiency and world class results of operations within our operations group. We are ASC 9100 certified and adhere to the appropriate quality and process controls on a continuous basis. See “</w:t>
      </w:r>
      <w:r>
        <w:rPr>
          <w:rFonts w:ascii="Arial" w:cs="Arial" w:eastAsia="Arial" w:hAnsi="Arial"/>
          <w:sz w:val="16"/>
          <w:szCs w:val="16"/>
          <w:i w:val="1"/>
          <w:iCs w:val="1"/>
          <w:color w:val="auto"/>
        </w:rPr>
        <w:t>Facilities</w:t>
      </w:r>
      <w:r>
        <w:rPr>
          <w:rFonts w:ascii="Arial" w:cs="Arial" w:eastAsia="Arial" w:hAnsi="Arial"/>
          <w:sz w:val="16"/>
          <w:szCs w:val="16"/>
          <w:color w:val="auto"/>
        </w:rPr>
        <w:t>” for further discussion of our new facilities under construction.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December 31, 2022, we had 163 employees throughout our operations. We value technical expertise, original thinking, adaptability, and a willingness to collaborate with our excellent team. While our original workforce is rooted in aerospace, we welcome new perspectives and technology expertise as we grow.</w:t>
      </w:r>
    </w:p>
    <w:p>
      <w:pPr>
        <w:spacing w:after="0" w:line="9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of December 31, 2022, our team has over 25 years average aeronautics and design experience and over 100 years cumulative NASA experience. Additionally, over 60% of our employees have advanced degrees, which we define as degrees obtained beyond an undergraduate level.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protection of our technology and intellectual property is an important aspect of our business. We rely upon a combination of trademarks, trade secrets, copyrights, license agreements, confidentiality procedures, contractual commitments and other legal rights to establish and protect our intellectual property. We enter into confidentiality agreements and invention or work product assignment agreements with our employees and consultants to control access to, and clarify ownership of, our proprietary information.</w:t>
      </w:r>
    </w:p>
    <w:p>
      <w:pPr>
        <w:spacing w:after="0" w:line="8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December 31, 2022, we license two U.S. patents from Aerospace Corporation. As of December 31, 2022, we hold one registered trademark in the United States. We continually review our development efforts to assess the existence and patentability of new intellectual property. We intend to file patent applications with respect to our technology.</w:t>
      </w:r>
    </w:p>
    <w:p>
      <w:pPr>
        <w:spacing w:after="0" w:line="11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i w:val="1"/>
          <w:iCs w:val="1"/>
          <w:color w:val="auto"/>
        </w:rPr>
        <w:t xml:space="preserve">Material In-License Agreement: </w:t>
      </w:r>
      <w:r>
        <w:rPr>
          <w:rFonts w:ascii="Arial" w:cs="Arial" w:eastAsia="Arial" w:hAnsi="Arial"/>
          <w:sz w:val="16"/>
          <w:szCs w:val="16"/>
          <w:color w:val="auto"/>
        </w:rPr>
        <w:t>In July 2018, we entered into a Patent and Know-How License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Purpose Agreement with Aerospace Corporation to in-license, on a non-exclusive basis, two U.S. patents that are jointly held by Aerospace Corporation, NASA and the U.S. Air Force Research Laboratory (such agreement, the “In-License Agreement”). The patents licensed under the In-License Agreement are entitled “Method for Active Debris Removal Using a Spacecraft with a Capture Device” and “System, Apparatus, and Method for Active Debris Removal.” We license the patents for building and operating an active orbital debris removal system using a spacecraft with a capture device (the “Government Purpose”). Under the In-License Agreement, Aerospace Corporation shall receive copies of any products, data results of testing, observations, and/or evaluations derived from our use of the licensed patents and associated know-how and to any ancillary systems into which the licensed patents and associated know-how may be integrated for the Government Purpose. In addition, Aerospace Corporation, we and any other applicable licensees share the United States Patent and Trademark Office maintenance fees for each licensed patent. The approximate maintenance fee for each licensed patent was $1,600 for the first four licensing years starting from November 2018, $3,600 for the eighth licensing year, and $7,200 for the twelfth licensing year. The In-License Agreement remains in effect until the expiration date of the last patent to expire or the completion of the Government Purpose, whichever occurs first. The estimated expiration date of the licensed patents are October 12, 2032 and April 6, 2033, respectively. Either party may terminate the In-License Agreement at any time without cause upon 30 days’ written notice to the other party.</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principal facility is currently based on Houston, Texas; however, we are currently transitioning to a new lunar production and operations center at the Houston Spaceport at Ellington Airport. The center is designed to span across about 12.5 acres of real estate and to have more than 100,000 square feet of office and advanced production space. Other features are being designed to include tiered storage, an advanced loading dock, and a production area with 45-foot ceilings and crane that will be capable of handling all Nova Lunar Lander designs. The facility will host the first commercial use SCIF in Houston with a plan to include office tenant space for Department of Defense units and innovation accelerators.</w:t>
      </w:r>
    </w:p>
    <w:p>
      <w:pPr>
        <w:spacing w:after="0" w:line="9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new lunar production and operations center and corporate offices under construction at the Houston Spaceport are expected to be completed in the third quarter of 2023, and are estimated to cost approximately $40 million to complete, subject to future design or development changes. We expect to fund the new facilities’ construction costs as they are incurred using cash on hand and in reliance upon a build-to-suit lease arrangement whereby the lessor is expected to reimburse up to $40 million for certain costs incurred by us for design, construction, and development. Upon completion of the construction project, the lunar production and operations center will serve as our principal facility under a ground lease agreement with an initial term of 20 years with four optional renewal periods of 5 years each.</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w:t>
      </w:r>
    </w:p>
    <w:p>
      <w:pPr>
        <w:spacing w:after="0" w:line="14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Compliance with various governmental regulations has an impact on our business, including our capital expenditures, earnings and competitive position, which can be material. We incur or will incur costs to monitor and take actions to comply with governmental regulations that are or will be applicable to our business, which include, among others, federal securities laws and regulations, applicable stock exchange requirements, export and import control, economic sanctions and trade embargo laws and restrictions and regulations of the U.S. Department of Transportation, FAA, FCC and other government agencies in the United States.</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Further, our business is subject to, and we must comply with, stringent U.S. import and export control laws, including the ITAR and EAR. See “</w:t>
      </w:r>
      <w:r>
        <w:rPr>
          <w:rFonts w:ascii="Arial" w:cs="Arial" w:eastAsia="Arial" w:hAnsi="Arial"/>
          <w:sz w:val="18"/>
          <w:szCs w:val="18"/>
          <w:i w:val="1"/>
          <w:iCs w:val="1"/>
          <w:color w:val="auto"/>
        </w:rPr>
        <w:t>Risk Factors — Risks Relating to Our Business</w:t>
      </w:r>
      <w:r>
        <w:rPr>
          <w:rFonts w:ascii="Arial" w:cs="Arial" w:eastAsia="Arial" w:hAnsi="Arial"/>
          <w:sz w:val="18"/>
          <w:szCs w:val="18"/>
          <w:color w:val="auto"/>
        </w:rPr>
        <w:t>” for a discussion of material risks to us, including, to the extent material, to our competitive position, relating to governmental regulations, and see “</w:t>
      </w:r>
      <w:r>
        <w:rPr>
          <w:rFonts w:ascii="Arial" w:cs="Arial" w:eastAsia="Arial" w:hAnsi="Arial"/>
          <w:sz w:val="18"/>
          <w:szCs w:val="18"/>
          <w:i w:val="1"/>
          <w:iCs w:val="1"/>
          <w:color w:val="auto"/>
        </w:rPr>
        <w:t>Management’s Discussion and Analysis of Financial Condition and Results of Operation</w:t>
      </w:r>
      <w:r>
        <w:rPr>
          <w:rFonts w:ascii="Arial" w:cs="Arial" w:eastAsia="Arial" w:hAnsi="Arial"/>
          <w:sz w:val="18"/>
          <w:szCs w:val="18"/>
          <w:color w:val="auto"/>
        </w:rPr>
        <w:t>”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460" w:right="479"/>
        <w:spacing w:after="0" w:line="308" w:lineRule="auto"/>
        <w:rPr>
          <w:sz w:val="20"/>
          <w:szCs w:val="20"/>
          <w:color w:val="auto"/>
        </w:rPr>
      </w:pPr>
      <w:r>
        <w:rPr>
          <w:rFonts w:ascii="Arial" w:cs="Arial" w:eastAsia="Arial" w:hAnsi="Arial"/>
          <w:sz w:val="17"/>
          <w:szCs w:val="17"/>
          <w:color w:val="auto"/>
        </w:rPr>
        <w:t>The following table sets forth certain information, as of the date of this prospectus, concerning the names, ages and positions of the individuals who currently serve as our executive officers and directors: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00" w:type="dxa"/>
            <w:vAlign w:val="bottom"/>
            <w:gridSpan w:val="4"/>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80" w:type="dxa"/>
            <w:vAlign w:val="bottom"/>
          </w:tcPr>
          <w:p>
            <w:pPr>
              <w:spacing w:after="0"/>
              <w:rPr>
                <w:sz w:val="18"/>
                <w:szCs w:val="18"/>
                <w:color w:val="auto"/>
              </w:rPr>
            </w:pPr>
          </w:p>
        </w:tc>
        <w:tc>
          <w:tcPr>
            <w:tcW w:w="4700" w:type="dxa"/>
            <w:vAlign w:val="bottom"/>
          </w:tcPr>
          <w:p>
            <w:pPr>
              <w:ind w:left="208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r>
      <w:tr>
        <w:trPr>
          <w:trHeight w:val="169"/>
        </w:trPr>
        <w:tc>
          <w:tcPr>
            <w:tcW w:w="272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Executive Officers: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14"/>
                <w:szCs w:val="14"/>
                <w:color w:val="auto"/>
              </w:rPr>
            </w:pPr>
          </w:p>
        </w:tc>
      </w:tr>
      <w:tr>
        <w:trPr>
          <w:trHeight w:val="88"/>
        </w:trPr>
        <w:tc>
          <w:tcPr>
            <w:tcW w:w="7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700" w:type="dxa"/>
            <w:vAlign w:val="bottom"/>
            <w:tcBorders>
              <w:top w:val="single" w:sz="8" w:color="CCEEFF"/>
            </w:tcBorders>
            <w:shd w:val="clear" w:color="auto" w:fill="CCEEFF"/>
          </w:tcPr>
          <w:p>
            <w:pPr>
              <w:spacing w:after="0"/>
              <w:rPr>
                <w:sz w:val="7"/>
                <w:szCs w:val="7"/>
                <w:color w:val="auto"/>
              </w:rPr>
            </w:pPr>
          </w:p>
        </w:tc>
      </w:tr>
      <w:tr>
        <w:trPr>
          <w:trHeight w:val="277"/>
        </w:trPr>
        <w:tc>
          <w:tcPr>
            <w:tcW w:w="2800" w:type="dxa"/>
            <w:vAlign w:val="bottom"/>
            <w:gridSpan w:val="4"/>
          </w:tcPr>
          <w:p>
            <w:pPr>
              <w:spacing w:after="0"/>
              <w:rPr>
                <w:sz w:val="20"/>
                <w:szCs w:val="20"/>
                <w:color w:val="auto"/>
              </w:rPr>
            </w:pPr>
            <w:r>
              <w:rPr>
                <w:rFonts w:ascii="Arial" w:cs="Arial" w:eastAsia="Arial" w:hAnsi="Arial"/>
                <w:sz w:val="18"/>
                <w:szCs w:val="18"/>
                <w:color w:val="auto"/>
              </w:rPr>
              <w:t>Stephen Altemus</w:t>
            </w:r>
            <w:r>
              <w:rPr>
                <w:rFonts w:ascii="Arial" w:cs="Arial" w:eastAsia="Arial" w:hAnsi="Arial"/>
                <w:sz w:val="20"/>
                <w:szCs w:val="20"/>
                <w:color w:val="auto"/>
                <w:vertAlign w:val="superscript"/>
              </w:rPr>
              <w:t>(3)</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Erik Sallee</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2800" w:type="dxa"/>
            <w:vAlign w:val="bottom"/>
            <w:gridSpan w:val="4"/>
          </w:tcPr>
          <w:p>
            <w:pPr>
              <w:spacing w:after="0"/>
              <w:rPr>
                <w:sz w:val="20"/>
                <w:szCs w:val="20"/>
                <w:color w:val="auto"/>
              </w:rPr>
            </w:pPr>
            <w:r>
              <w:rPr>
                <w:rFonts w:ascii="Arial" w:cs="Arial" w:eastAsia="Arial" w:hAnsi="Arial"/>
                <w:sz w:val="18"/>
                <w:szCs w:val="18"/>
                <w:color w:val="auto"/>
              </w:rPr>
              <w:t>Timothy Crain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Chief Technology Officer</w:t>
            </w:r>
          </w:p>
        </w:tc>
      </w:tr>
      <w:tr>
        <w:trPr>
          <w:trHeight w:val="53"/>
        </w:trPr>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175"/>
        </w:trPr>
        <w:tc>
          <w:tcPr>
            <w:tcW w:w="28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Directors: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r>
      <w:tr>
        <w:trPr>
          <w:trHeight w:val="88"/>
        </w:trPr>
        <w:tc>
          <w:tcPr>
            <w:tcW w:w="7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700" w:type="dxa"/>
            <w:vAlign w:val="bottom"/>
            <w:tcBorders>
              <w:top w:val="single" w:sz="8" w:color="CCEEFF"/>
            </w:tcBorders>
            <w:shd w:val="clear" w:color="auto" w:fill="CCEEFF"/>
          </w:tcPr>
          <w:p>
            <w:pPr>
              <w:spacing w:after="0"/>
              <w:rPr>
                <w:sz w:val="7"/>
                <w:szCs w:val="7"/>
                <w:color w:val="auto"/>
              </w:rPr>
            </w:pPr>
          </w:p>
        </w:tc>
      </w:tr>
      <w:tr>
        <w:trPr>
          <w:trHeight w:val="277"/>
        </w:trPr>
        <w:tc>
          <w:tcPr>
            <w:tcW w:w="2800" w:type="dxa"/>
            <w:vAlign w:val="bottom"/>
            <w:gridSpan w:val="4"/>
          </w:tcPr>
          <w:p>
            <w:pPr>
              <w:spacing w:after="0"/>
              <w:rPr>
                <w:sz w:val="20"/>
                <w:szCs w:val="20"/>
                <w:color w:val="auto"/>
              </w:rPr>
            </w:pPr>
            <w:r>
              <w:rPr>
                <w:rFonts w:ascii="Arial" w:cs="Arial" w:eastAsia="Arial" w:hAnsi="Arial"/>
                <w:sz w:val="18"/>
                <w:szCs w:val="18"/>
                <w:color w:val="auto"/>
              </w:rPr>
              <w:t>Dr. Kamal Ghaffarian</w:t>
            </w:r>
            <w:r>
              <w:rPr>
                <w:rFonts w:ascii="Arial" w:cs="Arial" w:eastAsia="Arial" w:hAnsi="Arial"/>
                <w:sz w:val="20"/>
                <w:szCs w:val="20"/>
                <w:color w:val="auto"/>
                <w:vertAlign w:val="superscript"/>
              </w:rPr>
              <w:t>(3)</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Chairman</w:t>
            </w:r>
          </w:p>
        </w:tc>
      </w:tr>
      <w:tr>
        <w:trPr>
          <w:trHeight w:val="290"/>
        </w:trPr>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Blitzer</w:t>
            </w:r>
            <w:r>
              <w:rPr>
                <w:rFonts w:ascii="Arial" w:cs="Arial" w:eastAsia="Arial" w:hAnsi="Arial"/>
                <w:sz w:val="20"/>
                <w:szCs w:val="20"/>
                <w:color w:val="auto"/>
                <w:vertAlign w:val="superscript"/>
              </w:rPr>
              <w:t>(1)(2)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77"/>
        </w:trPr>
        <w:tc>
          <w:tcPr>
            <w:tcW w:w="2800" w:type="dxa"/>
            <w:vAlign w:val="bottom"/>
            <w:gridSpan w:val="4"/>
          </w:tcPr>
          <w:p>
            <w:pPr>
              <w:spacing w:after="0"/>
              <w:rPr>
                <w:sz w:val="20"/>
                <w:szCs w:val="20"/>
                <w:color w:val="auto"/>
              </w:rPr>
            </w:pPr>
            <w:r>
              <w:rPr>
                <w:rFonts w:ascii="Arial" w:cs="Arial" w:eastAsia="Arial" w:hAnsi="Arial"/>
                <w:sz w:val="18"/>
                <w:szCs w:val="18"/>
                <w:color w:val="auto"/>
                <w:w w:val="95"/>
              </w:rPr>
              <w:t>Lieutenant General William Liquori</w:t>
            </w:r>
            <w:r>
              <w:rPr>
                <w:rFonts w:ascii="Arial" w:cs="Arial" w:eastAsia="Arial" w:hAnsi="Arial"/>
                <w:sz w:val="20"/>
                <w:szCs w:val="20"/>
                <w:color w:val="auto"/>
                <w:w w:val="95"/>
                <w:vertAlign w:val="superscript"/>
              </w:rPr>
              <w:t>(1)</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90"/>
        </w:trPr>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Masson</w:t>
            </w:r>
            <w:r>
              <w:rPr>
                <w:rFonts w:ascii="Arial" w:cs="Arial" w:eastAsia="Arial" w:hAnsi="Arial"/>
                <w:sz w:val="20"/>
                <w:szCs w:val="20"/>
                <w:color w:val="auto"/>
                <w:vertAlign w:val="superscript"/>
              </w:rPr>
              <w:t>(1)(2)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880" w:hanging="426"/>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5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officers are well qualified as leaders. In their prior positions they have gained experience in core management skills, such as strategic and financial planning, financial reporting, compliance, risk management, and leadership development. Several of our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and managing and investing in assets.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Stephen Altemus. </w:t>
      </w:r>
      <w:r>
        <w:rPr>
          <w:rFonts w:ascii="Arial" w:cs="Arial" w:eastAsia="Arial" w:hAnsi="Arial"/>
          <w:sz w:val="18"/>
          <w:szCs w:val="18"/>
          <w:color w:val="auto"/>
        </w:rPr>
        <w:t>Mr. Altemus has served as our Chief Executive Officer and a member of our Board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13, 2023 and has served as the Chief Executive Officer of Intuitive Machines OpCo since 2012. Mr. Altemus is also our co-founder and president. Prior to founding Intuitive Machines, in December 2012, Mr. Altemus was appointed to serve as the Deputy Director of NASA’s Johnson Space Center (“JSC”), a position he held until June 2013. Formerly Director of Engineering from July 2006 to December 2012, Mr. Altemus served as the leader and steward of JSC’s engineering capabilities in support of NASA’s human spaceflight programs, projects, and technology activities. Mr. Altemus is also a director of Intuitive Aviation, a subsidiary of Intuitive Machines.</w:t>
      </w:r>
    </w:p>
    <w:p>
      <w:pPr>
        <w:spacing w:after="0" w:line="11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Mr. Altemus received a B.S. in Aeronautical Engineering from Embry Riddle Aeronautical University where he now serves as a member on the Engineering Advisory Board, and an M.S. in Engineering Management from the University of Central Florida. He joined NASA’s Kennedy Space Center and the Space Shuttle Program in 1989 where he held progressively more responsible positions working in Space Shuttle operations, launch, and landing activities. He served as the Columbia Reconstruction Director after the loss of the Space Shuttle Columbia on February 1, 2003. In January 2005, he joined JSC serving as the Deputy Director of Engineering and was subsequently selected as Director in July 2006. Mr. Altemus is well qualified to serve on our Board due to his role as our Chief Executive Officer, his depth of knowledge of us and our operations, his acute business judgment and extensive familiarity with the business in which we compete.</w:t>
      </w:r>
    </w:p>
    <w:p>
      <w:pPr>
        <w:spacing w:after="0" w:line="99"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 xml:space="preserve">Dr. Kamal Ghaffarian. </w:t>
      </w:r>
      <w:r>
        <w:rPr>
          <w:rFonts w:ascii="Arial" w:cs="Arial" w:eastAsia="Arial" w:hAnsi="Arial"/>
          <w:sz w:val="17"/>
          <w:szCs w:val="17"/>
          <w:color w:val="auto"/>
        </w:rPr>
        <w:t>Dr. Ghaffarian has served as the Chairman of our Board since February 13,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Throughout his 35-plus year career, Dr. Ghaffarian has created multiple successful companies and has extensive experience working at the intersection of government contracting and technological innovation.</w:t>
      </w:r>
    </w:p>
    <w:p>
      <w:pPr>
        <w:spacing w:after="0" w:line="9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Dr. Ghaffarian started his entrepreneurial career in 1994 by founding Stinger Ghaffarian Technologies, Inc., a government services company focusing on IT, engineering, and science applications. Dr. Ghaffarian has also held numerous technical and management positions at Lockheed Martin, Ford Aerospace and Loral. Dr. Ghaffarian has obtained two Bachelor of Science degrees, including a B.S. in Computer Science in Engineering and a B.S. in Electronics Engineering, an M.S. in Science in Information Management, a Ph.D. in Management Information System and a Ph.D. in Technology.</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Dr. Ghaffarian is the co-founder and chairman of the Company and a number of companies including IBX, Axiom Space, X energy and Quantum Space. Dr. Ghaffarian is well qualified to serve on our Board due to his role as our Chairman, his extensive experience in the field and deep understanding of company leadership.</w:t>
      </w:r>
    </w:p>
    <w:p>
      <w:pPr>
        <w:spacing w:after="0" w:line="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b w:val="1"/>
          <w:bCs w:val="1"/>
          <w:i w:val="1"/>
          <w:iCs w:val="1"/>
          <w:color w:val="auto"/>
        </w:rPr>
        <w:t xml:space="preserve">Erik Sallee. </w:t>
      </w:r>
      <w:r>
        <w:rPr>
          <w:rFonts w:ascii="Arial" w:cs="Arial" w:eastAsia="Arial" w:hAnsi="Arial"/>
          <w:sz w:val="16"/>
          <w:szCs w:val="16"/>
          <w:color w:val="auto"/>
        </w:rPr>
        <w:t>Mr. Sallee has served as our Chief Financial Officer since February 13, 2023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Intuitive Machines OpCo’s Chief Financial Officer since 2021. Mr. Sallee brings extensive experience as a finance executive in the aerospace sector. Prior to this, Mr. Sallee was the Corporate Controller for Blue Origin, LLC where he oversaw treasury, tax, accounting, audit compliance, financial systems, and pricing. From 2015-2018, Mr. Sallee was a division Chief Financial Officer for L3 Technologies, a software and aerospace Company. From 2011-2015 Mr. Sallee worked at Raytheon in positions of increasing responsibility including Chief Financial Officer of Raytheon Solipsys, an international software company. Before moving to the industry, Mr. Sallee worked at Deloitte and was an officer in the U.S. Marine Corps where he received several awards including a Navy and Marine Corps Achievement Medal with Combat Distinguishing Device in 2005.</w:t>
      </w:r>
    </w:p>
    <w:p>
      <w:pPr>
        <w:spacing w:after="0" w:line="9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Mr. Sallee received an MBA and M.S. in Business and Finance from University of Maryland College Park, Smith School of Business and a B.S. in Political Science from Vanderbilt University. Mr. Sallee is a licensed Certified Public Accountant (CPA).</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Dr. Timothy Crain</w:t>
      </w:r>
      <w:r>
        <w:rPr>
          <w:rFonts w:ascii="Arial" w:cs="Arial" w:eastAsia="Arial" w:hAnsi="Arial"/>
          <w:sz w:val="18"/>
          <w:szCs w:val="18"/>
          <w:color w:val="auto"/>
        </w:rPr>
        <w:t>. Dr. Crain has served as our Chief Technology Officer since February 13, 2023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Intuitive Machines OpCo’s Chief Technology Officer since 2021. Dr. Crain previously served as Intuitive Machines OpCo’s vice president of research and development since co-founding the Company in 2013 with Mr. Altemus and Dr. Ghaffarian.</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Dr. Crain received his Ph.D. in aerospace engineering from the University of Texas at Austin where he was a National Science Foundation Graduate Fellow and Assistant Instructor. He began his professional career in 2000 at NASA’s JSC where he was a lead engineer in the Engineering Directorate’s Aeroscience and Flight Mechanics Division. During his tenure at JSC he worked on the navigation design for Mars Science Lander and was the Orbit Guidance, Navigation, and Control System Manager for the Orion spacecraft. In 2009, Dr. Crain became the Flight Dynamics lead for NASA’s Project Morpheus. Dr. Crain left the NASA civil service in June 2013 to co-found Intuitive Machines.</w:t>
      </w:r>
    </w:p>
    <w:p>
      <w:pPr>
        <w:spacing w:after="0" w:line="110"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Dr. Crain is a recipient of the NASA JSC Center Director’s Commendation Award, the Outstanding Young Texas Ex Award, UT Outstanding Young Engineering Graduate Award, Orion Flight Dynamics Leadership Award, and a finalist for the NASA Rotary Mid-Career Stellar Award. Dr. Crain is a board member of Penumbra, LLC.</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i w:val="1"/>
          <w:iCs w:val="1"/>
          <w:color w:val="auto"/>
        </w:rPr>
        <w:t xml:space="preserve">Michael Blitzer. </w:t>
      </w:r>
      <w:r>
        <w:rPr>
          <w:rFonts w:ascii="Arial" w:cs="Arial" w:eastAsia="Arial" w:hAnsi="Arial"/>
          <w:sz w:val="17"/>
          <w:szCs w:val="17"/>
          <w:color w:val="auto"/>
        </w:rPr>
        <w:t>Mr. Blitzer has served as a member of our Board since February 13, 2023. Mr. Blitzer had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co-Chief Executive Officer of IPAX since February 2021 and a director of IPAX since January 2021 until the closing of the Business Combination on February 13, 2023. Mr. Blitzer is the founder and co-Chief Information Officer of Kingstown Capital Management, which he founded in 2006 and grew to a multi-billion asset manager with some of the world’s largest endowments and foundations as clients. At Kingstown, Mr. Blitzer oversaw and participated in nearly all of the firm’s investment decisions including countless public and private investments in the consumer and technology industries. Mr. Blitzer brings an in-depth understanding of public markets and has invested in a variety of corporate transactions such as spin-offs, rights offerings, public offerings, privatizations and mergers &amp; acquisitions. He was also a public company director of Signature Group Holdings after its exit from bankruptcy in 2011, where he also sat on the audit committee, and was on the board of directors of the European mutual fund TREND AD.</w:t>
      </w:r>
    </w:p>
    <w:p>
      <w:pPr>
        <w:spacing w:after="0" w:line="11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Mr. Blitzer began his Wall Street career at J.P. Morgan Securities in 1999 advising companies globally in private debt and equity capital raises followed by work at the investment fund, Gotham Asset Management. Mr. Blitzer taught courses in Investing at Columbia Business School for five years in the 2010s. He holds an MBA from Columbia Business School and a BS from Cornell University where he received the Cornell Tradition Fellowship. Mr. Blitzer currently sits on the Executive Advisory Board of the Heilbrunn Center for Graham &amp; Dodd Investing at Columbia Business School and is a trustee of Greens Farms Academy in Westport, CT where he is also Treasurer and Chair of the Investment Committee. Mr. Blitzer is well qualified to serve on our Board due to his role as IPAX.’s co-Chief Executive Officer and his experience with public companies.</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Lieutenant General William J. Liquori</w:t>
      </w:r>
      <w:r>
        <w:rPr>
          <w:rFonts w:ascii="Arial" w:cs="Arial" w:eastAsia="Arial" w:hAnsi="Arial"/>
          <w:sz w:val="18"/>
          <w:szCs w:val="18"/>
          <w:color w:val="auto"/>
        </w:rPr>
        <w:t>. Lieutenant General Liquori has served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13, 2023. Lieutenant General Liquori retired as a Lieutenant General from the United States Space Force in 2022, after over thirty years of distinguished service in both the U.S. Air Force and Space Force. Lieutenant General</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Liquori served as the Space Force’s first Chief Strategy and Resourcing Officer. Lieutenant General Liquori also led the development of the Space Force international engagement strategy; served as the lead policy interface to the Office of the Secretary of Defense, National Security Council and the National Space Council.</w:t>
      </w:r>
    </w:p>
    <w:p>
      <w:pPr>
        <w:spacing w:after="0" w:line="81"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Lieutenant General Liquori entered the Air Force as a distinguished graduate of the Air Force ROTC program at Boston University. His career included numerous positions in Air Force Space Command, the National Reconnaissance Office, the Air Force Secretariat, U.S. European Command, the Office of the Secretary of Defense, and the White House as Director for Space Policy on the National Security Council staff. During his time at the White House, Liquori served two Presidents of the United States, was the lead author for the 2018 National Space Strategy, served as the primary NSC interface to the National Space Council, co-led the 2018 U.S.-Japan Comprehensive Dialogue on Space, and supported the early policy work leading to the establishment of the United States Space Force. He has commanded a space operations squadron and the 50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Space Wing.</w:t>
      </w:r>
    </w:p>
    <w:p>
      <w:pPr>
        <w:spacing w:after="0" w:line="12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Lieutenant General Liquori graduated from Boston University in 1991 with a Bachelor of Arts in Computer Science. In 1996, Lieutenant General Liquori earned a Master’s Degrees from Webster University in Computer Resources and Information Management. From 2004-2005, Lieutenant General Liquori proceeded to Air University where he received Master’s Degrees in Airpower Art &amp; Science and Air &amp; Space Power Strategy. Then, in 2009, Lieutenant General Liquori attended the Marine Corps University where he received a Master’s degree in Strategic Studies. Lieutenant General Liquori is well qualified to serve on our Board due to his profound knowledge of the field and extensive leadership expertise.</w:t>
      </w:r>
    </w:p>
    <w:p>
      <w:pPr>
        <w:spacing w:after="0" w:line="9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 xml:space="preserve">Robert L. Masson. </w:t>
      </w:r>
      <w:r>
        <w:rPr>
          <w:rFonts w:ascii="Arial" w:cs="Arial" w:eastAsia="Arial" w:hAnsi="Arial"/>
          <w:sz w:val="18"/>
          <w:szCs w:val="18"/>
          <w:color w:val="auto"/>
        </w:rPr>
        <w:t>Mr. Masson has served as a member of our Board since February 13, 2023. Mr. Masson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appointed Chief Financial Officer of Latham Group, Inc. in June 2022. As Chief Financial Officer of Latham Group, Inc., Mr. Masson is responsible for planning, implementing, managing, and controlling all financial-related activities for the company.</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Mr. Masson is a skilled finance executive with nearly 20 years of experience in the aerospace, defense, and industrial sectors. Before joining Latham Group, Inc., Mr. Masson served as Executive Vice President and Chief Financial Officer of Hypertherm, Inc., where he oversaw the company’s global financial, information technology, and legal operations. From 2016-2018, Mr. Masson was Vice President of Finance at Flowserve, where he led the company’s operational finance, operational accounting, and corporate financial planning and analysis teams. From 2003-2016, he served in various finance leadership roles at Raytheon Technologies, including Chief Financial Officer roles for several of the company’s business units.</w:t>
      </w:r>
    </w:p>
    <w:p>
      <w:pPr>
        <w:spacing w:after="0" w:line="1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Mr. Masson began his career as a Lieutenant and Naval Aviator for the United States Navy, where he worked from 1992-2001. Mr. Masson holds a Bachelor of Science degree in Economics from the United States Naval Academy and a Master of Business Administration from Harvard Business School. Mr. Masson currently serves as a director for Tech-Etch, Inc. where he is chair of the audit committee. Mr. Masson is well qualified to serve on our Board because of his numerous years of experience in finance and the aerospace industry and his knowledge as a director.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Our business and affairs are managed under the direction of our Board. Our Board is chaired by Dr. Kamal Ghaffarian and includes Stephen Altemus, Michael Blitzer, Lieutenant General William Liquori and Robert Masson as members. The Board has determined that Michael Blitzer, Lieutenant General William Liquori and Robert Masson qualify as independent in accordance with applicable Nasdaq rules.</w:t>
      </w:r>
    </w:p>
    <w:p>
      <w:pPr>
        <w:spacing w:after="0" w:line="10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Pursuant to the Business Combination Agreement, IPAX was granted rights to designate one director for election to our Board.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Under our Corporate Governance Guidelines and the Nasdaq rules, a director will not be independent unless our Board affirmatively determines that s/he does not have a direct or indirect material relationship with the Company or any of its subsidiaries. In addition, the director must not be precluded from qualifying as independent under the per se bars set forth by the Nasdaq rules.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Board undertook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Lieutenant General William Liquori and Robert Masson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Founders own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our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11"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As permitted for a “controlled company,” a majority of our Board and our Compensation and Nominating and Corporate Governance Committees are not independent. Accordingly, our stockholders may not have the same protections afforded to stockholders of companies that are subject to all of the corporate governance requirements of the Nasdaq rules.</w:t>
      </w:r>
    </w:p>
    <w:p>
      <w:pPr>
        <w:spacing w:after="0" w:line="119"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If at any time we cease to be a “controlled company” under the Nasdaq rules, our Board intends to take any action that may be necessary to comply with the Nasdaq rules, subject to a permitted “phase-in” period.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Pursuant to our Certificate of Incorporation, our directors are divided into three classes, with each class serving staggered three-year terms. Our Board currently consists of five (5) directors who are divided among the three classes as follows:</w:t>
      </w:r>
    </w:p>
    <w:p>
      <w:pPr>
        <w:spacing w:after="0" w:line="103" w:lineRule="exact"/>
        <w:rPr>
          <w:sz w:val="20"/>
          <w:szCs w:val="20"/>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 directors are Lieutenant General William Liquori and Robert Masson;</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 director is Michael Blitzer;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III directors are Stephen Altemus and Dr. Kamal Ghaffarian.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Committees of our Board</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directs the management of our business and affairs, as provided by Delaware law, and conduct its business through meetings of the board of directors and standing committees. We have a standing audit committee, compensation committee and nominating and corporate governance committee, each of which operate under a written charter.</w:t>
      </w:r>
    </w:p>
    <w:p>
      <w:pPr>
        <w:spacing w:after="0" w:line="1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addition, from time to time, special committees may be established under the direction of our Board when it deems it necessary or advisable to address specific issues. Current copies of our committee charters have been posted on our website (</w:t>
      </w:r>
      <w:r>
        <w:rPr>
          <w:rFonts w:ascii="Arial" w:cs="Arial" w:eastAsia="Arial" w:hAnsi="Arial"/>
          <w:sz w:val="18"/>
          <w:szCs w:val="18"/>
          <w:i w:val="1"/>
          <w:iCs w:val="1"/>
          <w:color w:val="auto"/>
        </w:rPr>
        <w:t>https://www.intuitivemachines.com/investors</w:t>
      </w:r>
      <w:r>
        <w:rPr>
          <w:rFonts w:ascii="Arial" w:cs="Arial" w:eastAsia="Arial" w:hAnsi="Arial"/>
          <w:sz w:val="18"/>
          <w:szCs w:val="18"/>
          <w:color w:val="auto"/>
        </w:rPr>
        <w:t>) under the heading “Corporate Governance” as required by applicable SEC and Nasdaq rules. The information contained on, or that may be accessed through, our website is not part of, and is not incorporated into, this prospectus or the registration statement of which it forms a part.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58" w:lineRule="exact"/>
        <w:rPr>
          <w:sz w:val="20"/>
          <w:szCs w:val="20"/>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157"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any audit problems or difficulties and management’s response;</w:t>
      </w:r>
    </w:p>
    <w:p>
      <w:pPr>
        <w:spacing w:after="0" w:line="102" w:lineRule="exact"/>
        <w:rPr>
          <w:rFonts w:ascii="Arial" w:cs="Arial" w:eastAsia="Arial" w:hAnsi="Arial"/>
          <w:sz w:val="18"/>
          <w:szCs w:val="18"/>
          <w:color w:val="auto"/>
        </w:rPr>
      </w:pPr>
    </w:p>
    <w:p>
      <w:pPr>
        <w:jc w:val="both"/>
        <w:ind w:left="1320" w:right="479" w:hanging="434"/>
        <w:spacing w:after="0" w:line="311" w:lineRule="auto"/>
        <w:tabs>
          <w:tab w:leader="none" w:pos="13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81"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discussing our annual and quarterly financial statements with management and our independent registered public accounting firm;</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157" w:lineRule="exact"/>
        <w:rPr>
          <w:rFonts w:ascii="Arial" w:cs="Arial" w:eastAsia="Arial" w:hAnsi="Arial"/>
          <w:sz w:val="18"/>
          <w:szCs w:val="18"/>
          <w:color w:val="auto"/>
        </w:rPr>
      </w:pPr>
    </w:p>
    <w:p>
      <w:pPr>
        <w:jc w:val="both"/>
        <w:ind w:left="1320" w:right="479" w:hanging="434"/>
        <w:spacing w:after="0" w:line="259" w:lineRule="auto"/>
        <w:tabs>
          <w:tab w:leader="none" w:pos="1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05" w:lineRule="exact"/>
        <w:rPr>
          <w:rFonts w:ascii="Arial" w:cs="Arial" w:eastAsia="Arial" w:hAnsi="Arial"/>
          <w:sz w:val="18"/>
          <w:szCs w:val="18"/>
          <w:color w:val="auto"/>
        </w:rPr>
      </w:pPr>
    </w:p>
    <w:p>
      <w:pPr>
        <w:ind w:left="1320" w:hanging="43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audit committee consists of Lieutenant General William Liquori, Michael Blitzer and Robert Masson with Mr. Masson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applicable audit committee members. In addition, our Board has determined that Michael Blitzer qualifies as an “audit committee financial expert,” as such term is defined in Item 407(d)(5) of Regulation S-K.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44" w:lineRule="exact"/>
        <w:rPr>
          <w:sz w:val="20"/>
          <w:szCs w:val="20"/>
          <w:color w:val="auto"/>
        </w:rPr>
      </w:pPr>
    </w:p>
    <w:p>
      <w:pPr>
        <w:jc w:val="both"/>
        <w:ind w:left="1320" w:right="479" w:hanging="434"/>
        <w:spacing w:after="0" w:line="263"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our Board regarding the compensation of our other executive officers;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regarding director compensation;</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regarding our incentive compensation and equity-based plans and arrangements;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to the extent required; and</w:t>
      </w:r>
    </w:p>
    <w:p>
      <w:pPr>
        <w:spacing w:after="0" w:line="102" w:lineRule="exact"/>
        <w:rPr>
          <w:rFonts w:ascii="Arial" w:cs="Arial" w:eastAsia="Arial" w:hAnsi="Arial"/>
          <w:sz w:val="18"/>
          <w:szCs w:val="18"/>
          <w:color w:val="auto"/>
        </w:rPr>
      </w:pPr>
    </w:p>
    <w:p>
      <w:pPr>
        <w:ind w:left="4420" w:right="599" w:hanging="3534"/>
        <w:spacing w:after="0" w:line="481" w:lineRule="auto"/>
        <w:tabs>
          <w:tab w:leader="none" w:pos="13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required by SEC rules, to the extent required.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Our compensation committee consists of Robert Masson and Michael Blitzer with Mr. Blitzer serving as chair. Our Board has determined that Robert Masson and Michael Blitzer qualify as “independent” under Nasdaq’s additional standards applicable to compensation committee members and each member of the compensation committee is a “non-employee director” as defined in Section 16b-3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nominating and corporate governance committee is responsible for, among other things:</w:t>
      </w:r>
    </w:p>
    <w:p>
      <w:pPr>
        <w:spacing w:after="0" w:line="158" w:lineRule="exact"/>
        <w:rPr>
          <w:sz w:val="20"/>
          <w:szCs w:val="20"/>
          <w:color w:val="auto"/>
        </w:rPr>
      </w:pPr>
    </w:p>
    <w:p>
      <w:pPr>
        <w:ind w:left="1320" w:right="459" w:hanging="434"/>
        <w:spacing w:after="0" w:line="342" w:lineRule="auto"/>
        <w:tabs>
          <w:tab w:leader="none" w:pos="13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and ensure our Board has the requisite expertise and consists of persons with sufficiently diverse and independent backgrounds;</w:t>
      </w:r>
    </w:p>
    <w:p>
      <w:pPr>
        <w:spacing w:after="0" w:line="42"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committee of our Board;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guidelines, and reviewing and recommending to our Board proposed changes to our corporate governance guidelines from time to time; and</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the annual evaluations of our Board and its committees.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nominating and corporate governance committee consists of Dr. Kamal Ghaffarian and Stephen Altemus with Mr. Altemus serving as chair. The Board determined that the members of our nominating and corporate governance committee do not qualify as “independent” under Nasdaq rules applicable to nominating and corporate governance committee members.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may from time to time establish other committees.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 xml:space="preserve">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our website, </w:t>
      </w:r>
      <w:r>
        <w:rPr>
          <w:rFonts w:ascii="Arial" w:cs="Arial" w:eastAsia="Arial" w:hAnsi="Arial"/>
          <w:sz w:val="17"/>
          <w:szCs w:val="17"/>
          <w:i w:val="1"/>
          <w:iCs w:val="1"/>
          <w:color w:val="auto"/>
        </w:rPr>
        <w:t>https://www.intuitivemachines.com/investors</w:t>
      </w:r>
      <w:r>
        <w:rPr>
          <w:rFonts w:ascii="Arial" w:cs="Arial" w:eastAsia="Arial" w:hAnsi="Arial"/>
          <w:sz w:val="17"/>
          <w:szCs w:val="17"/>
          <w:color w:val="auto"/>
        </w:rPr>
        <w:t xml:space="preserve"> under the “Corporate Governance” section.</w:t>
      </w:r>
    </w:p>
    <w:p>
      <w:pPr>
        <w:spacing w:after="0" w:line="90"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We intend to make any legally required disclosures regarding amendments to, or waivers of, provisions of our Code of Business Conduct and Ethics on our website rather than by filing a Current Report on Form 8-K.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During 2022, our compensation committee was comprised of former directors of IPAX, Paula Sutter and Nicholas Shekerdemian. No member of the compensation committee was at any time during fiscal year 2022,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2022, our “named executive officers” and their positions were as follows:</w:t>
      </w:r>
    </w:p>
    <w:p>
      <w:pPr>
        <w:spacing w:after="0" w:line="116" w:lineRule="exact"/>
        <w:rPr>
          <w:sz w:val="20"/>
          <w:szCs w:val="20"/>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Stephen Altemus, President and Chief Executive Officer;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Timothy Crain, Chief Technology Officer;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Erik Sallee, Chief Financial Officer.</w:t>
      </w:r>
    </w:p>
    <w:p>
      <w:pPr>
        <w:spacing w:after="0" w:line="15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2021 and December 31, 2022.</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Option</w:t>
            </w:r>
          </w:p>
        </w:tc>
        <w:tc>
          <w:tcPr>
            <w:tcW w:w="4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All Other</w:t>
            </w:r>
          </w:p>
        </w:tc>
        <w:tc>
          <w:tcPr>
            <w:tcW w:w="9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Salary</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Bonus</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Awards</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940" w:type="dxa"/>
            <w:vAlign w:val="bottom"/>
          </w:tcPr>
          <w:p>
            <w:pPr>
              <w:spacing w:after="0"/>
              <w:rPr>
                <w:sz w:val="17"/>
                <w:szCs w:val="17"/>
                <w:color w:val="auto"/>
              </w:rPr>
            </w:pPr>
          </w:p>
        </w:tc>
      </w:tr>
      <w:tr>
        <w:trPr>
          <w:trHeight w:val="253"/>
        </w:trPr>
        <w:tc>
          <w:tcPr>
            <w:tcW w:w="258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80" w:type="dxa"/>
            <w:vAlign w:val="bottom"/>
          </w:tcPr>
          <w:p>
            <w:pPr>
              <w:spacing w:after="0"/>
              <w:rPr>
                <w:sz w:val="21"/>
                <w:szCs w:val="21"/>
                <w:color w:val="auto"/>
              </w:rPr>
            </w:pPr>
          </w:p>
        </w:tc>
        <w:tc>
          <w:tcPr>
            <w:tcW w:w="70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720" w:type="dxa"/>
            <w:vAlign w:val="bottom"/>
          </w:tcPr>
          <w:p>
            <w:pPr>
              <w:jc w:val="right"/>
              <w:ind w:right="1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(2)</w:t>
            </w:r>
          </w:p>
        </w:tc>
        <w:tc>
          <w:tcPr>
            <w:tcW w:w="4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(3)</w:t>
            </w:r>
          </w:p>
        </w:tc>
        <w:tc>
          <w:tcPr>
            <w:tcW w:w="100" w:type="dxa"/>
            <w:vAlign w:val="bottom"/>
          </w:tcPr>
          <w:p>
            <w:pPr>
              <w:spacing w:after="0"/>
              <w:rPr>
                <w:sz w:val="21"/>
                <w:szCs w:val="21"/>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Total</w:t>
            </w:r>
          </w:p>
        </w:tc>
      </w:tr>
      <w:tr>
        <w:trPr>
          <w:trHeight w:val="228"/>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Altemus</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490,954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651,629</w:t>
            </w:r>
          </w:p>
        </w:tc>
      </w:tr>
      <w:tr>
        <w:trPr>
          <w:trHeight w:val="323"/>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&amp; CEO</w:t>
            </w:r>
            <w:r>
              <w:rPr>
                <w:rFonts w:ascii="Arial" w:cs="Arial" w:eastAsia="Arial" w:hAnsi="Arial"/>
                <w:sz w:val="20"/>
                <w:szCs w:val="20"/>
                <w:color w:val="auto"/>
                <w:vertAlign w:val="superscript"/>
              </w:rPr>
              <w:t>(4)</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379,663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488,363</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Timothy Crain</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359,805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10,675</w:t>
            </w:r>
          </w:p>
        </w:tc>
        <w:tc>
          <w:tcPr>
            <w:tcW w:w="940" w:type="dxa"/>
            <w:vAlign w:val="bottom"/>
          </w:tcPr>
          <w:p>
            <w:pPr>
              <w:jc w:val="right"/>
              <w:spacing w:after="0"/>
              <w:rPr>
                <w:sz w:val="20"/>
                <w:szCs w:val="20"/>
                <w:color w:val="auto"/>
              </w:rPr>
            </w:pPr>
            <w:r>
              <w:rPr>
                <w:rFonts w:ascii="Arial" w:cs="Arial" w:eastAsia="Arial" w:hAnsi="Arial"/>
                <w:sz w:val="18"/>
                <w:szCs w:val="18"/>
                <w:color w:val="auto"/>
              </w:rPr>
              <w:t>470,480</w:t>
            </w:r>
          </w:p>
        </w:tc>
      </w:tr>
      <w:tr>
        <w:trPr>
          <w:trHeight w:val="324"/>
        </w:trPr>
        <w:tc>
          <w:tcPr>
            <w:tcW w:w="2580" w:type="dxa"/>
            <w:vAlign w:val="bottom"/>
          </w:tcPr>
          <w:p>
            <w:pPr>
              <w:ind w:left="180"/>
              <w:spacing w:after="0"/>
              <w:rPr>
                <w:sz w:val="20"/>
                <w:szCs w:val="20"/>
                <w:color w:val="auto"/>
              </w:rPr>
            </w:pPr>
            <w:r>
              <w:rPr>
                <w:rFonts w:ascii="Arial" w:cs="Arial" w:eastAsia="Arial" w:hAnsi="Arial"/>
                <w:sz w:val="18"/>
                <w:szCs w:val="18"/>
                <w:color w:val="auto"/>
              </w:rPr>
              <w:t>Chief Technology Officer</w:t>
            </w:r>
            <w:r>
              <w:rPr>
                <w:rFonts w:ascii="Arial" w:cs="Arial" w:eastAsia="Arial" w:hAnsi="Arial"/>
                <w:sz w:val="20"/>
                <w:szCs w:val="20"/>
                <w:color w:val="auto"/>
                <w:vertAlign w:val="superscript"/>
              </w:rPr>
              <w:t>(5)</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313,368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8,700</w:t>
            </w:r>
          </w:p>
        </w:tc>
        <w:tc>
          <w:tcPr>
            <w:tcW w:w="940" w:type="dxa"/>
            <w:vAlign w:val="bottom"/>
          </w:tcPr>
          <w:p>
            <w:pPr>
              <w:jc w:val="right"/>
              <w:spacing w:after="0"/>
              <w:rPr>
                <w:sz w:val="20"/>
                <w:szCs w:val="20"/>
                <w:color w:val="auto"/>
              </w:rPr>
            </w:pPr>
            <w:r>
              <w:rPr>
                <w:rFonts w:ascii="Arial" w:cs="Arial" w:eastAsia="Arial" w:hAnsi="Arial"/>
                <w:sz w:val="18"/>
                <w:szCs w:val="18"/>
                <w:color w:val="auto"/>
              </w:rPr>
              <w:t>397,068</w:t>
            </w:r>
          </w:p>
        </w:tc>
      </w:tr>
      <w:tr>
        <w:trPr>
          <w:trHeight w:val="243"/>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Erik Sallee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366,923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468,135</w:t>
            </w:r>
          </w:p>
        </w:tc>
      </w:tr>
      <w:tr>
        <w:trPr>
          <w:trHeight w:val="324"/>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0"/>
                <w:szCs w:val="20"/>
                <w:color w:val="auto"/>
                <w:vertAlign w:val="superscript"/>
              </w:rPr>
              <w:t>(6)</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234,808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90,193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388,047</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84"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Amounts reflect annual discretionary bonuses paid to the named executive officers for services performed during the applicable year. The bonuses earned with respect to 2022 are further described below in “— </w:t>
      </w:r>
      <w:r>
        <w:rPr>
          <w:rFonts w:ascii="Arial" w:cs="Arial" w:eastAsia="Arial" w:hAnsi="Arial"/>
          <w:sz w:val="15"/>
          <w:szCs w:val="15"/>
          <w:i w:val="1"/>
          <w:iCs w:val="1"/>
          <w:color w:val="auto"/>
        </w:rPr>
        <w:t>2022 Bonuses</w:t>
      </w:r>
      <w:r>
        <w:rPr>
          <w:rFonts w:ascii="Arial" w:cs="Arial" w:eastAsia="Arial" w:hAnsi="Arial"/>
          <w:sz w:val="15"/>
          <w:szCs w:val="15"/>
          <w:color w:val="auto"/>
        </w:rPr>
        <w:t>.”</w:t>
      </w:r>
    </w:p>
    <w:p>
      <w:pPr>
        <w:jc w:val="both"/>
        <w:ind w:left="880" w:right="459" w:hanging="426"/>
        <w:spacing w:after="0" w:line="264"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reflect the full grant-date fair value of stock options granted during the applicable year computed in accordance with ASC Topic 718, rather than the amounts paid to or realized by the named individual. We provide information regarding the assumptions used to calculate the value of all option awards made to executive officers in the notes to the consolidated financial statements of Intuitive Machines OpCo.</w:t>
      </w: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reflect the Company’s 401(k) plan matching contributions.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Effective on September 3, 2022, Mr. Altemus’ base salary rate was increased from $380,359 to $699,377.</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Effective on September 3, 2022, Mr. Crain’s base salary rate was increased from $313,943 to 429,640.</w:t>
      </w:r>
    </w:p>
    <w:p>
      <w:pPr>
        <w:spacing w:after="0" w:line="18" w:lineRule="exact"/>
        <w:rPr>
          <w:rFonts w:ascii="Arial" w:cs="Arial" w:eastAsia="Arial" w:hAnsi="Arial"/>
          <w:sz w:val="16"/>
          <w:szCs w:val="16"/>
          <w:color w:val="auto"/>
        </w:rPr>
      </w:pPr>
    </w:p>
    <w:p>
      <w:pPr>
        <w:jc w:val="both"/>
        <w:ind w:left="880" w:right="479" w:hanging="426"/>
        <w:spacing w:after="0" w:line="276"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Sallee commenced employment as our Chief Financial Officer effective April 12, 2021; therefore, certain amounts for Mr. Sallee for 2021, such as base salary, reflect a partial year of service. Effective on September 3, 2022, Mr. Sallee’s base salary rate was increased from $330,000 to $450,000.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2022 Salaries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2022 annual base salaries for our named executive officers were increased from $380,359 for Mr. Altemus, $313,943 for Mr. Crain, and $330,000 for Mr. Sallee, to $699,377, $429,640, and $450,000, respectively, effective September 3, 2022. The actual base salaries earned by our named executive officers for services in 2022 are set forth above in the Summary Compensation Table in the column entitled “</w:t>
      </w:r>
      <w:r>
        <w:rPr>
          <w:rFonts w:ascii="Arial" w:cs="Arial" w:eastAsia="Arial" w:hAnsi="Arial"/>
          <w:sz w:val="17"/>
          <w:szCs w:val="17"/>
          <w:i w:val="1"/>
          <w:iCs w:val="1"/>
          <w:color w:val="auto"/>
        </w:rPr>
        <w:t>Salary</w:t>
      </w:r>
      <w:r>
        <w:rPr>
          <w:rFonts w:ascii="Arial" w:cs="Arial" w:eastAsia="Arial" w:hAnsi="Arial"/>
          <w:sz w:val="17"/>
          <w:szCs w:val="17"/>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2022 Bonuses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named executive officers were eligible to earn discretionary cash bonuses for calendar year 2022, as determined by the Board. For 2022, Messrs. Altemus and Crain were eligible to receive a discretionary annual bonus as determined by the Board of Managers, and Mr. Sallee was eligible to receive an annual bonus of up to 30% of his base salary. Based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a review of our performance for 2022 and each named executive officer’s individual performance and contributions to our success, the Board of Managers approved the bonus amounts set forth in the Summary Compensation Table in the column entitled “Bonus.”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Equity Grants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 xml:space="preserve">Prior to the Transactions, we offered awards of options to purchase non-voting class B membership interests of Intuitive Machines OpCo to eligible service providers, including certain of our named executive officers, pursuant to the Intuitive Machines, LLC 2021 Unit Option Plan (the “2021 Plan”). In connection with the consummation of the Transactions, the options were recapitalized into options to purchase Intuitive Machines OpCo Common Units. Following the consummation of the Transactions, awards will not be granted under the 2021 Plan. For additional information about the 2021 Plan, please see the section titled “— </w:t>
      </w:r>
      <w:r>
        <w:rPr>
          <w:rFonts w:ascii="Arial" w:cs="Arial" w:eastAsia="Arial" w:hAnsi="Arial"/>
          <w:sz w:val="18"/>
          <w:szCs w:val="18"/>
          <w:i w:val="1"/>
          <w:iCs w:val="1"/>
          <w:color w:val="auto"/>
        </w:rPr>
        <w:t>2021 Unit Option</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below.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2022 we did not award any stock options pursuant to the 2021 Plan to any of our named executive officers.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Altemus and Crain do not hold stock options or any other compensatory equity awards.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Intuitive Machines Incentive Plan</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connection with the consummation of the Transactions, we adopted the Intuitive Machines Incentive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We expect to grant equity-based compensation to our employees, including our named executive officers, and our directors pursuant to the Intuitive Machines Incentive Plan.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Plans</w:t>
      </w:r>
    </w:p>
    <w:p>
      <w:pPr>
        <w:spacing w:after="0" w:line="158" w:lineRule="exact"/>
        <w:rPr>
          <w:sz w:val="20"/>
          <w:szCs w:val="20"/>
          <w:color w:val="auto"/>
        </w:rPr>
      </w:pPr>
    </w:p>
    <w:p>
      <w:pPr>
        <w:jc w:val="both"/>
        <w:ind w:left="460" w:right="479"/>
        <w:spacing w:after="0" w:line="288" w:lineRule="auto"/>
        <w:rPr>
          <w:sz w:val="20"/>
          <w:szCs w:val="20"/>
          <w:color w:val="auto"/>
        </w:rPr>
      </w:pPr>
      <w:r>
        <w:rPr>
          <w:rFonts w:ascii="Arial" w:cs="Arial" w:eastAsia="Arial" w:hAnsi="Arial"/>
          <w:sz w:val="16"/>
          <w:szCs w:val="16"/>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 and Perquisites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w:t>
      </w:r>
    </w:p>
    <w:p>
      <w:pPr>
        <w:spacing w:after="0" w:line="89" w:lineRule="exact"/>
        <w:rPr>
          <w:sz w:val="20"/>
          <w:szCs w:val="20"/>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health savings and flexible spending accounts;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basic life and accidental death and dismemberment insurance;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accident and critical illness insurance;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 life insurance.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We believe the perquisites described above are necessary and appropriate to provide a competitive compensation package to our named executive officers.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Tax Gross-Ups</w:t>
      </w:r>
    </w:p>
    <w:p>
      <w:pPr>
        <w:spacing w:after="0" w:line="158"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our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following table summarizes the number of Units underlying outstanding equity incentive plan awards for each named executive officer as of December 31, 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6"/>
                <w:szCs w:val="16"/>
                <w:b w:val="1"/>
                <w:bCs w:val="1"/>
                <w:color w:val="auto"/>
              </w:rPr>
              <w:t>Option Awards</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6"/>
        </w:trPr>
        <w:tc>
          <w:tcPr>
            <w:tcW w:w="16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82"/>
        </w:trPr>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jc w:val="center"/>
              <w:ind w:left="139"/>
              <w:spacing w:after="0" w:line="182" w:lineRule="exact"/>
              <w:rPr>
                <w:sz w:val="20"/>
                <w:szCs w:val="20"/>
                <w:color w:val="auto"/>
              </w:rPr>
            </w:pPr>
            <w:r>
              <w:rPr>
                <w:rFonts w:ascii="Arial" w:cs="Arial" w:eastAsia="Arial" w:hAnsi="Arial"/>
                <w:sz w:val="16"/>
                <w:szCs w:val="16"/>
                <w:b w:val="1"/>
                <w:bCs w:val="1"/>
                <w:color w:val="auto"/>
                <w:w w:val="92"/>
              </w:rPr>
              <w:t>Number of</w:t>
            </w:r>
          </w:p>
        </w:tc>
        <w:tc>
          <w:tcPr>
            <w:tcW w:w="14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Number of</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9"/>
              <w:spacing w:after="0"/>
              <w:rPr>
                <w:sz w:val="20"/>
                <w:szCs w:val="20"/>
                <w:color w:val="auto"/>
              </w:rPr>
            </w:pPr>
            <w:r>
              <w:rPr>
                <w:rFonts w:ascii="Arial" w:cs="Arial" w:eastAsia="Arial" w:hAnsi="Arial"/>
                <w:sz w:val="16"/>
                <w:szCs w:val="16"/>
                <w:b w:val="1"/>
                <w:bCs w:val="1"/>
                <w:color w:val="auto"/>
                <w:w w:val="88"/>
              </w:rPr>
              <w:t>Securities</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Underlying</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59"/>
              <w:spacing w:after="0"/>
              <w:rPr>
                <w:sz w:val="20"/>
                <w:szCs w:val="20"/>
                <w:color w:val="auto"/>
              </w:rPr>
            </w:pPr>
            <w:r>
              <w:rPr>
                <w:rFonts w:ascii="Arial" w:cs="Arial" w:eastAsia="Arial" w:hAnsi="Arial"/>
                <w:sz w:val="16"/>
                <w:szCs w:val="16"/>
                <w:b w:val="1"/>
                <w:bCs w:val="1"/>
                <w:color w:val="auto"/>
                <w:w w:val="88"/>
              </w:rPr>
              <w:t>Unexercised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Option</w:t>
            </w:r>
          </w:p>
        </w:tc>
        <w:tc>
          <w:tcPr>
            <w:tcW w:w="136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Options</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Exercise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03"/>
        </w:trPr>
        <w:tc>
          <w:tcPr>
            <w:tcW w:w="16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c>
          <w:tcPr>
            <w:tcW w:w="132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0"/>
        </w:trPr>
        <w:tc>
          <w:tcPr>
            <w:tcW w:w="16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2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Date</w:t>
            </w:r>
          </w:p>
        </w:tc>
        <w:tc>
          <w:tcPr>
            <w:tcW w:w="132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Exercisable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bl>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3"/>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Stephen Altemus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680" w:type="dxa"/>
            <w:vAlign w:val="bottom"/>
            <w:gridSpan w:val="2"/>
          </w:tcPr>
          <w:p>
            <w:pPr>
              <w:spacing w:after="0"/>
              <w:rPr>
                <w:sz w:val="20"/>
                <w:szCs w:val="20"/>
                <w:color w:val="auto"/>
              </w:rPr>
            </w:pPr>
            <w:r>
              <w:rPr>
                <w:rFonts w:ascii="Arial" w:cs="Arial" w:eastAsia="Arial" w:hAnsi="Arial"/>
                <w:sz w:val="18"/>
                <w:szCs w:val="18"/>
                <w:color w:val="auto"/>
              </w:rPr>
              <w:t>Timothy Crain</w:t>
            </w: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 Sallee</w:t>
            </w:r>
          </w:p>
        </w:tc>
        <w:tc>
          <w:tcPr>
            <w:tcW w:w="1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 xml:space="preserve">June 14, 2021 </w:t>
            </w:r>
            <w:r>
              <w:rPr>
                <w:rFonts w:ascii="Arial" w:cs="Arial" w:eastAsia="Arial" w:hAnsi="Arial"/>
                <w:sz w:val="20"/>
                <w:szCs w:val="20"/>
                <w:color w:val="auto"/>
                <w:w w:val="95"/>
                <w:vertAlign w:val="superscript"/>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14, 2031</w:t>
            </w:r>
          </w:p>
        </w:tc>
      </w:tr>
      <w:tr>
        <w:trPr>
          <w:trHeight w:val="251"/>
        </w:trPr>
        <w:tc>
          <w:tcPr>
            <w:tcW w:w="158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91" w:lineRule="exact"/>
        <w:rPr>
          <w:sz w:val="20"/>
          <w:szCs w:val="20"/>
          <w:color w:val="auto"/>
        </w:rPr>
      </w:pPr>
    </w:p>
    <w:p>
      <w:pPr>
        <w:jc w:val="both"/>
        <w:ind w:left="880" w:right="459" w:hanging="426"/>
        <w:spacing w:after="0" w:line="273" w:lineRule="auto"/>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stock option vests and becomes exercisable in equal annual installments over three years from the applicable grant date, subject to Mr. Sallee’s continued service. In addition, if Mr. Sallee’s continuous service is terminated by us without “cause,” Mr. Sallee will vest in the portion of the option that would have otherwise vested on the next anniversary of June 14,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 March 20, 2021 we entered into an offer letter with Erik Sallee to serve as our Chief Financial Officer. Mr. Sallee’s employment under the offer letter is at-will and will continue until terminated at any time by either party. Pursuant to his offer letter, Mr. Sallee is entitled to receive an annual base salary of $330,000 per year; as described above, Mr. Sallee’s annual base salary was increased effective September 3, 2022 to $450,000. In addition, Mr. Sallee is eligible to participate in the 2021 Plan and in the health and welfare benefit plan and programs maintained by us for the benefit of our employees.</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Mr. Sallee is eligible to earn annual cash bonuses under our bonus program, based on the achievement of individual and/or our performance goals. Under the offer letter, Mr. Sallee’s target bonus opportunity is 30% of his annual base salary.</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connection with entering into his offer letter, Mr. Sallee entered into our standard form of confidentiality agreement, which provides for a non-disclosure covenant that lasts during employment and for five years thereafter, an employee and client/customer non-solicitation covenant that lasts during employment and for two years thereafter.</w:t>
      </w:r>
    </w:p>
    <w:p>
      <w:pPr>
        <w:spacing w:after="0" w:line="10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Messrs. Altemus or Crain were not, and are not, parties to employment agreements or offer letters in 2021 or 2022.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In 2022, we paid a $400,000 service fee to one of our executives and founders who is a member of our Board of Managers, Dr. Kamal Ghaffarian, to compensate him for his services as Executive Chairman. He did not receive any additional compensation for services provided as a director.</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2"/>
              </w:rPr>
              <w:t>Fees</w:t>
            </w:r>
          </w:p>
        </w:tc>
        <w:tc>
          <w:tcPr>
            <w:tcW w:w="1260" w:type="dxa"/>
            <w:vAlign w:val="bottom"/>
          </w:tcPr>
          <w:p>
            <w:pPr>
              <w:spacing w:after="0"/>
              <w:rPr>
                <w:sz w:val="17"/>
                <w:szCs w:val="17"/>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Earned or</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Paid in Cash</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4"/>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Dr. Kamal Ghaffarian</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connection with the consummation of the Transactions, we approved and implemented a compensation program (the “Director Compensation Program”) for our non-employee directors (each, an “Eligible Director”) that consists of annual cash retainer fees and long-term equity awards. The material terms of the Director Compensation Program are described below.</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 Compensation Program consists of the following components: Cash Compensation:</w:t>
      </w:r>
    </w:p>
    <w:p>
      <w:pPr>
        <w:spacing w:after="0" w:line="158" w:lineRule="exact"/>
        <w:rPr>
          <w:sz w:val="20"/>
          <w:szCs w:val="20"/>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$55,000</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Committee Chair Retainer:</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Audit: $20,000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Compensation: $15,000</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Nominating and Corporate Governance: $10,000</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Committee Member (Non-Chair) Retainer:</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Audit: $10,000</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Compensation: $7,500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Nominating and Corporate Governance: $5,000</w:t>
      </w:r>
    </w:p>
    <w:p>
      <w:pPr>
        <w:spacing w:after="0" w:line="15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annual cash retainer will be paid in quarterly installments in arrears. Annual cash retainers will be pro-rated for any partial calendar quarter of service.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w:t>
      </w:r>
    </w:p>
    <w:p>
      <w:pPr>
        <w:spacing w:after="0" w:line="158" w:lineRule="exact"/>
        <w:rPr>
          <w:sz w:val="20"/>
          <w:szCs w:val="20"/>
          <w:color w:val="auto"/>
        </w:rPr>
      </w:pPr>
    </w:p>
    <w:p>
      <w:pPr>
        <w:jc w:val="both"/>
        <w:ind w:left="1320" w:right="459" w:hanging="434"/>
        <w:spacing w:after="0" w:line="257"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Initial Grant: Each Eligible Director who is initially elected or appointed to serve on our Board after our annual meeting of stockholders in calendar year 2024 automatically will be granted a restricted stock unit award covering shares of our Class A Common Stock (each, an “RSU Award”) with an aggregate value of $155,000, pro-rated for the number of days that have elapsed since the last occurring annual meeting.</w:t>
      </w:r>
    </w:p>
    <w:p>
      <w:pPr>
        <w:spacing w:after="0" w:line="120" w:lineRule="exact"/>
        <w:rPr>
          <w:rFonts w:ascii="Arial" w:cs="Arial" w:eastAsia="Arial" w:hAnsi="Arial"/>
          <w:sz w:val="18"/>
          <w:szCs w:val="18"/>
          <w:color w:val="auto"/>
        </w:rPr>
      </w:pPr>
    </w:p>
    <w:p>
      <w:pPr>
        <w:jc w:val="both"/>
        <w:ind w:left="1320" w:right="479"/>
        <w:spacing w:after="0" w:line="259" w:lineRule="auto"/>
        <w:rPr>
          <w:rFonts w:ascii="Arial" w:cs="Arial" w:eastAsia="Arial" w:hAnsi="Arial"/>
          <w:sz w:val="18"/>
          <w:szCs w:val="18"/>
          <w:color w:val="auto"/>
        </w:rPr>
      </w:pPr>
      <w:r>
        <w:rPr>
          <w:rFonts w:ascii="Arial" w:cs="Arial" w:eastAsia="Arial" w:hAnsi="Arial"/>
          <w:sz w:val="18"/>
          <w:szCs w:val="18"/>
          <w:color w:val="auto"/>
        </w:rPr>
        <w:t>Each Initial Grant will be granted on the date on which such Eligible Director is appointed or elected to serve on the Board, will vest in full on the earlier to occur of the first anniversary of the grant date and the date of the next annual meeting following the grant date, subject to continued service.</w:t>
      </w:r>
    </w:p>
    <w:p>
      <w:pPr>
        <w:spacing w:after="0" w:line="105"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Grant: An Eligible Director who is serving on our Board as of the date of an annual meeting of stockholders (beginning with calendar year 2024) will be granted, on the date of such annual meeting, an RSU Award with an aggregate value of $155,000.</w:t>
      </w:r>
    </w:p>
    <w:p>
      <w:pPr>
        <w:spacing w:after="0" w:line="116" w:lineRule="exact"/>
        <w:rPr>
          <w:sz w:val="20"/>
          <w:szCs w:val="20"/>
          <w:color w:val="auto"/>
        </w:rPr>
      </w:pPr>
    </w:p>
    <w:p>
      <w:pPr>
        <w:ind w:left="1320" w:right="479"/>
        <w:spacing w:after="0" w:line="308" w:lineRule="auto"/>
        <w:rPr>
          <w:sz w:val="20"/>
          <w:szCs w:val="20"/>
          <w:color w:val="auto"/>
        </w:rPr>
      </w:pPr>
      <w:r>
        <w:rPr>
          <w:rFonts w:ascii="Arial" w:cs="Arial" w:eastAsia="Arial" w:hAnsi="Arial"/>
          <w:sz w:val="17"/>
          <w:szCs w:val="17"/>
          <w:color w:val="auto"/>
        </w:rPr>
        <w:t>Each Annual Grant will vest in full on the earlier to occur of the first anniversary of the grant date and the date of the next annual meeting following the grant date, subject to continued service.</w:t>
      </w:r>
    </w:p>
    <w:p>
      <w:pPr>
        <w:spacing w:after="0" w:line="6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In addition, each equity award granted to an Eligible Director under the Director Compensation Program will vest in full immediately prior to the occurrence of a “change in control” (as defined in the Intuitive Machines Incentive Plan). Compensation under the Director Compensation Program will be subject to the annual limits on non-employee director compensation set forth in the Intuitive Machines Incentive Plan.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2021 Unit Option Plan</w:t>
      </w:r>
    </w:p>
    <w:p>
      <w:pPr>
        <w:spacing w:after="0" w:line="15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Intuitive Machines OpCo currently maintains the Intuitive Machines, LLC 2021 Unit Option Plan, referred to in this prospectus as the 2021 Plan. We historically offered awards of options to eligible service providers, including our named executive officers, pursuant to the 2021 Plan. In connection with the consummation of the Transactions and the adoption of the Intuitive Machines Incentive Plan, we amended and restated the 2021 Plan to reflect the Transactions and to provide that, following the consummation of the Transactions, awards may not be granted under the 2021 Plan. The material terms of the 2021 Plan are summarized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Eligibility and Administration</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employees, directors, consultants and other service providers are eligible to receive grants of options under the 2021 Plan. The 2021 Plan is administered by our Board of Managers. Subject to the provisions of the 2021 Plan, the plan administrator has the authority and discretion to take any actions it deems necessary or advisable for the administration of the 2021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Awards and Units Available</w:t>
      </w:r>
    </w:p>
    <w:p>
      <w:pPr>
        <w:spacing w:after="0" w:line="158"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Prior to the Transactions, an aggregate 6,125,000 Units were authorized for issuance under the 2021 Plan; following the Transactions this amount was adjusted to Intuitive Machines OpCo Common Units. If an award</w:t>
      </w:r>
    </w:p>
    <w:p>
      <w:pPr>
        <w:jc w:val="both"/>
        <w:ind w:left="460" w:right="459" w:hanging="6"/>
        <w:spacing w:after="0" w:line="295" w:lineRule="auto"/>
        <w:tabs>
          <w:tab w:leader="none" w:pos="7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expires or terminates without having been exercised in full or (ii) is settled in cash, such expiration, termination or settlement shall not reduce the number of units that may be issued pursuant to the 2021 Plan. In the event that any units issued pursuant to an award are forfeited because of the failure to meet a contingency or condition required to vest, such units shall revert and again become available for issuance under the 2021 Plan.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2021 Plan provides for the grant of awards of options. The terms and conditions of outstanding options under the 2021 Plan are set forth in award agreements, including any applicable vesting and payment terms and post-termination exercise limitations. Awards of options provide for the purchase of units, in the future at an exercise price set on the grant date; following the Transactions, outstanding options were adjusted to cover Intuitive Machines OpCo Common Units. The exercise price of an option may not be less than 100% of the fair market value of the underlying units on the grant date (as adjusted to reflect the Transactions). The term of an option may not be longer than ten years.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In the event of certain changes in our capitalization such as a recapitalization, equity split or reorganization, the plan administrator will make appropriate and proportionate adjustments to the classes and maximum number of securities subject to the 2021 Plan and to the classes, number of securities and exercise price subject to outstanding awards. In the event of a corporate transaction, which includes us being a party to a merger or consolidation, or the sale of substantially all of our assets, the plan administrator has discretion to (i) provide that outstanding awards be continued or assumed or substituted by the acquiring or surviving entity, (ii) provide for the assignment of any reacquisition or repurchase rights to the acquiring or surviving entity, (iii) provide that all outstanding awards become fully vested and exercisable at a date prior to the corporate transaction, with such awards terminating if not exercised at or prior to the effective time of the corporate transaction,</w:t>
      </w:r>
    </w:p>
    <w:p>
      <w:pPr>
        <w:spacing w:after="0" w:line="6" w:lineRule="exact"/>
        <w:rPr>
          <w:sz w:val="20"/>
          <w:szCs w:val="20"/>
          <w:color w:val="auto"/>
        </w:rPr>
      </w:pPr>
    </w:p>
    <w:p>
      <w:pPr>
        <w:jc w:val="both"/>
        <w:ind w:left="460" w:right="459" w:hanging="6"/>
        <w:spacing w:after="0" w:line="252" w:lineRule="auto"/>
        <w:tabs>
          <w:tab w:leader="none" w:pos="7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with respect to the award, (v) provide for the cancellation of outstanding awards to the extent not vested or exercised in exchange for such cash consideration, if any, as the Board of Managers, in its sole discretion may consider appropriate, or (vi) provide for payment in such form as may be determined by the Board of Managers equal to the excess, if any, of (A) the consideration the holder of the award would have received upon exercise of the award, over (B) any exercise price payable in connection with such exercise.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Intuitive Machines Incentive Plan</w:t>
      </w:r>
    </w:p>
    <w:p>
      <w:pPr>
        <w:spacing w:after="0" w:line="15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connection with the consummation of the Transactions, we adopted the Intuitive Machines Incentive Plan, under which we may grant cash and equity incentive awards to eligible service providers in order to attract, motivate and retain the talent for which we compete, which is essential to our long-term success. We expect to grant equity-based compensation to our employees, including our named executive officers, and our directors pursuant to the Intuitive Machines Incentive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beneficial ownership of our common stock as of March 23, 2023 by:</w:t>
      </w:r>
    </w:p>
    <w:p>
      <w:pPr>
        <w:spacing w:after="0" w:line="158" w:lineRule="exact"/>
        <w:rPr>
          <w:sz w:val="20"/>
          <w:szCs w:val="20"/>
          <w:color w:val="auto"/>
        </w:rPr>
      </w:pPr>
    </w:p>
    <w:p>
      <w:pPr>
        <w:ind w:left="1320" w:right="45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shares of our common stock;</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information below is based on an aggregate of 14,748,598 shares of Class A Common Stock, 10,566 shares of Class B Common Stock and 68,140,188 shares of Class C Common Stock issued and outstanding as of March 23, 2023. Beneficial ownership is determined according to the rules of the SEC, which generally provide that a person has beneficial ownership of a security if he, she, or it possesses sole or shared voting or investment power over that security, including warrants that are currently exercisable or exercisable within 60 days. Voting power represents the combined voting power of shares of Class A Common Stock, Class B Common Stock and Class C Common Stock owned beneficially by such person. On all matters to be voted upon, holders of shares of Class A Common Stock, Class B Common Stock and Class C Common Stock will vote together as a single class on all matters submitted to the stockholders for their vote or approval. Holders of Class A Common Stock and Class B Common Stock are entitled to one vote per share on all matters submitted to the stockholders for their vote or approval and holders of Class C Common Stock are entitled to three votes per share on all matters submitted to the stockholders for their vote or approval.</w:t>
      </w:r>
    </w:p>
    <w:p>
      <w:pPr>
        <w:spacing w:after="0" w:line="10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the voting securities beneficially owned by them.</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Class A,</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Class B</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Class A</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B</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C</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Class C</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86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Common</w:t>
            </w:r>
          </w:p>
        </w:tc>
        <w:tc>
          <w:tcPr>
            <w:tcW w:w="78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2"/>
              </w:rPr>
              <w:t>Common</w:t>
            </w:r>
          </w:p>
        </w:tc>
        <w:tc>
          <w:tcPr>
            <w:tcW w:w="6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16"/>
        </w:trPr>
        <w:tc>
          <w:tcPr>
            <w:tcW w:w="1780" w:type="dxa"/>
            <w:vAlign w:val="bottom"/>
          </w:tcPr>
          <w:p>
            <w:pPr>
              <w:spacing w:after="0" w:line="216" w:lineRule="exact"/>
              <w:rPr>
                <w:sz w:val="20"/>
                <w:szCs w:val="20"/>
                <w:color w:val="auto"/>
              </w:rPr>
            </w:pPr>
            <w:r>
              <w:rPr>
                <w:rFonts w:ascii="Arial" w:cs="Arial" w:eastAsia="Arial" w:hAnsi="Arial"/>
                <w:sz w:val="14"/>
                <w:szCs w:val="14"/>
                <w:b w:val="1"/>
                <w:bCs w:val="1"/>
                <w:color w:val="auto"/>
              </w:rPr>
              <w:t>Beneficial Owner</w:t>
            </w:r>
            <w:r>
              <w:rPr>
                <w:rFonts w:ascii="Arial" w:cs="Arial" w:eastAsia="Arial" w:hAnsi="Arial"/>
                <w:sz w:val="21"/>
                <w:szCs w:val="21"/>
                <w:b w:val="1"/>
                <w:bCs w:val="1"/>
                <w:color w:val="auto"/>
                <w:vertAlign w:val="superscript"/>
              </w:rPr>
              <w:t>(1)</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Ownership</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Ownership</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Ownership</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57"/>
        </w:trPr>
        <w:tc>
          <w:tcPr>
            <w:tcW w:w="17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5% Holders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860" w:type="dxa"/>
            <w:vAlign w:val="bottom"/>
            <w:gridSpan w:val="2"/>
          </w:tcPr>
          <w:p>
            <w:pPr>
              <w:spacing w:after="0"/>
              <w:rPr>
                <w:sz w:val="20"/>
                <w:szCs w:val="20"/>
                <w:color w:val="auto"/>
              </w:rPr>
            </w:pPr>
            <w:r>
              <w:rPr>
                <w:rFonts w:ascii="Arial" w:cs="Arial" w:eastAsia="Arial" w:hAnsi="Arial"/>
                <w:sz w:val="16"/>
                <w:szCs w:val="16"/>
                <w:color w:val="auto"/>
              </w:rPr>
              <w:t>Guy Shanon</w:t>
            </w:r>
            <w:r>
              <w:rPr>
                <w:rFonts w:ascii="Arial" w:cs="Arial" w:eastAsia="Arial" w:hAnsi="Arial"/>
                <w:sz w:val="21"/>
                <w:szCs w:val="21"/>
                <w:color w:val="auto"/>
                <w:vertAlign w:val="superscript"/>
              </w:rPr>
              <w:t>(2)(3)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19,876,250</w:t>
            </w:r>
          </w:p>
        </w:tc>
        <w:tc>
          <w:tcPr>
            <w:tcW w:w="680" w:type="dxa"/>
            <w:vAlign w:val="bottom"/>
          </w:tcPr>
          <w:p>
            <w:pPr>
              <w:jc w:val="right"/>
              <w:spacing w:after="0"/>
              <w:rPr>
                <w:sz w:val="20"/>
                <w:szCs w:val="20"/>
                <w:color w:val="auto"/>
              </w:rPr>
            </w:pPr>
            <w:r>
              <w:rPr>
                <w:rFonts w:ascii="Arial" w:cs="Arial" w:eastAsia="Arial" w:hAnsi="Arial"/>
                <w:sz w:val="16"/>
                <w:szCs w:val="16"/>
                <w:color w:val="auto"/>
              </w:rPr>
              <w:t>78.8</w:t>
            </w:r>
          </w:p>
        </w:tc>
        <w:tc>
          <w:tcPr>
            <w:tcW w:w="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19,876,250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3"/>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Inflection Point Holdings</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LLC</w:t>
            </w:r>
            <w:r>
              <w:rPr>
                <w:rFonts w:ascii="Arial" w:cs="Arial" w:eastAsia="Arial" w:hAnsi="Arial"/>
                <w:sz w:val="21"/>
                <w:szCs w:val="21"/>
                <w:color w:val="auto"/>
                <w:vertAlign w:val="superscript"/>
              </w:rPr>
              <w:t>(3)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15,088,750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15,088,750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3"/>
        </w:trPr>
        <w:tc>
          <w:tcPr>
            <w:tcW w:w="1860" w:type="dxa"/>
            <w:vAlign w:val="bottom"/>
            <w:gridSpan w:val="2"/>
          </w:tcPr>
          <w:p>
            <w:pPr>
              <w:spacing w:after="0"/>
              <w:rPr>
                <w:sz w:val="20"/>
                <w:szCs w:val="20"/>
                <w:color w:val="auto"/>
              </w:rPr>
            </w:pPr>
            <w:r>
              <w:rPr>
                <w:rFonts w:ascii="Arial" w:cs="Arial" w:eastAsia="Arial" w:hAnsi="Arial"/>
                <w:sz w:val="16"/>
                <w:szCs w:val="16"/>
                <w:color w:val="auto"/>
              </w:rPr>
              <w:t>Kingstown Capital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860" w:type="dxa"/>
            <w:vAlign w:val="bottom"/>
            <w:gridSpan w:val="2"/>
          </w:tcPr>
          <w:p>
            <w:pPr>
              <w:ind w:left="180"/>
              <w:spacing w:after="0"/>
              <w:rPr>
                <w:sz w:val="20"/>
                <w:szCs w:val="20"/>
                <w:color w:val="auto"/>
              </w:rPr>
            </w:pPr>
            <w:r>
              <w:rPr>
                <w:rFonts w:ascii="Arial" w:cs="Arial" w:eastAsia="Arial" w:hAnsi="Arial"/>
                <w:sz w:val="16"/>
                <w:szCs w:val="16"/>
                <w:color w:val="auto"/>
              </w:rPr>
              <w:t>Management, LP</w:t>
            </w:r>
            <w:r>
              <w:rPr>
                <w:rFonts w:ascii="Arial" w:cs="Arial" w:eastAsia="Arial" w:hAnsi="Arial"/>
                <w:sz w:val="21"/>
                <w:szCs w:val="21"/>
                <w:color w:val="auto"/>
                <w:vertAlign w:val="superscript"/>
              </w:rPr>
              <w:t>(2)(3)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19,876,250</w:t>
            </w:r>
          </w:p>
        </w:tc>
        <w:tc>
          <w:tcPr>
            <w:tcW w:w="680" w:type="dxa"/>
            <w:vAlign w:val="bottom"/>
          </w:tcPr>
          <w:p>
            <w:pPr>
              <w:jc w:val="right"/>
              <w:spacing w:after="0"/>
              <w:rPr>
                <w:sz w:val="20"/>
                <w:szCs w:val="20"/>
                <w:color w:val="auto"/>
              </w:rPr>
            </w:pPr>
            <w:r>
              <w:rPr>
                <w:rFonts w:ascii="Arial" w:cs="Arial" w:eastAsia="Arial" w:hAnsi="Arial"/>
                <w:sz w:val="16"/>
                <w:szCs w:val="16"/>
                <w:color w:val="auto"/>
              </w:rPr>
              <w:t>78.8</w:t>
            </w:r>
          </w:p>
        </w:tc>
        <w:tc>
          <w:tcPr>
            <w:tcW w:w="8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19,876,250</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3"/>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Kingstown Management</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GP, LLC</w:t>
            </w:r>
            <w:r>
              <w:rPr>
                <w:rFonts w:ascii="Arial" w:cs="Arial" w:eastAsia="Arial" w:hAnsi="Arial"/>
                <w:sz w:val="21"/>
                <w:szCs w:val="21"/>
                <w:color w:val="auto"/>
                <w:vertAlign w:val="superscript"/>
              </w:rPr>
              <w:t>(2)(3)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19,876,250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19,876,250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Officers of Intuitive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Machines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Altemus</w:t>
            </w:r>
            <w:r>
              <w:rPr>
                <w:rFonts w:ascii="Arial" w:cs="Arial" w:eastAsia="Arial" w:hAnsi="Arial"/>
                <w:sz w:val="21"/>
                <w:szCs w:val="21"/>
                <w:color w:val="auto"/>
                <w:vertAlign w:val="superscript"/>
              </w:rPr>
              <w:t>(4)(8)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15,994,866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15,994,866</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83"/>
        </w:trPr>
        <w:tc>
          <w:tcPr>
            <w:tcW w:w="1860" w:type="dxa"/>
            <w:vAlign w:val="bottom"/>
            <w:gridSpan w:val="2"/>
          </w:tcPr>
          <w:p>
            <w:pPr>
              <w:spacing w:after="0"/>
              <w:rPr>
                <w:sz w:val="20"/>
                <w:szCs w:val="20"/>
                <w:color w:val="auto"/>
              </w:rPr>
            </w:pPr>
            <w:r>
              <w:rPr>
                <w:rFonts w:ascii="Arial" w:cs="Arial" w:eastAsia="Arial" w:hAnsi="Arial"/>
                <w:sz w:val="16"/>
                <w:szCs w:val="16"/>
                <w:color w:val="auto"/>
              </w:rPr>
              <w:t>Kamal Ghaffarian</w:t>
            </w:r>
            <w:r>
              <w:rPr>
                <w:rFonts w:ascii="Arial" w:cs="Arial" w:eastAsia="Arial" w:hAnsi="Arial"/>
                <w:sz w:val="21"/>
                <w:szCs w:val="21"/>
                <w:color w:val="auto"/>
                <w:vertAlign w:val="superscript"/>
              </w:rPr>
              <w:t>(5)(8)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520,834</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42,015,518</w:t>
            </w:r>
          </w:p>
        </w:tc>
        <w:tc>
          <w:tcPr>
            <w:tcW w:w="700" w:type="dxa"/>
            <w:vAlign w:val="bottom"/>
          </w:tcPr>
          <w:p>
            <w:pPr>
              <w:jc w:val="right"/>
              <w:spacing w:after="0"/>
              <w:rPr>
                <w:sz w:val="20"/>
                <w:szCs w:val="20"/>
                <w:color w:val="auto"/>
              </w:rPr>
            </w:pPr>
            <w:r>
              <w:rPr>
                <w:rFonts w:ascii="Arial" w:cs="Arial" w:eastAsia="Arial" w:hAnsi="Arial"/>
                <w:sz w:val="16"/>
                <w:szCs w:val="16"/>
                <w:color w:val="auto"/>
              </w:rPr>
              <w:t>61.7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42,536,352</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84"/>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Crain</w:t>
            </w:r>
            <w:r>
              <w:rPr>
                <w:rFonts w:ascii="Arial" w:cs="Arial" w:eastAsia="Arial" w:hAnsi="Arial"/>
                <w:sz w:val="21"/>
                <w:szCs w:val="21"/>
                <w:color w:val="auto"/>
                <w:vertAlign w:val="superscript"/>
              </w:rPr>
              <w:t>(6)(8)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10,129,804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10,129,804</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83"/>
        </w:trPr>
        <w:tc>
          <w:tcPr>
            <w:tcW w:w="1860" w:type="dxa"/>
            <w:vAlign w:val="bottom"/>
            <w:gridSpan w:val="2"/>
          </w:tcPr>
          <w:p>
            <w:pPr>
              <w:spacing w:after="0"/>
              <w:rPr>
                <w:sz w:val="20"/>
                <w:szCs w:val="20"/>
                <w:color w:val="auto"/>
              </w:rPr>
            </w:pPr>
            <w:r>
              <w:rPr>
                <w:rFonts w:ascii="Arial" w:cs="Arial" w:eastAsia="Arial" w:hAnsi="Arial"/>
                <w:sz w:val="16"/>
                <w:szCs w:val="16"/>
                <w:color w:val="auto"/>
              </w:rPr>
              <w:t>Erik Sallee</w:t>
            </w:r>
            <w:r>
              <w:rPr>
                <w:rFonts w:ascii="Arial" w:cs="Arial" w:eastAsia="Arial" w:hAnsi="Arial"/>
                <w:sz w:val="21"/>
                <w:szCs w:val="21"/>
                <w:color w:val="auto"/>
                <w:vertAlign w:val="superscript"/>
              </w:rPr>
              <w:t>(7)(8)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Blitzer</w:t>
            </w:r>
            <w:r>
              <w:rPr>
                <w:rFonts w:ascii="Arial" w:cs="Arial" w:eastAsia="Arial" w:hAnsi="Arial"/>
                <w:sz w:val="21"/>
                <w:szCs w:val="21"/>
                <w:color w:val="auto"/>
                <w:vertAlign w:val="superscript"/>
              </w:rPr>
              <w:t>(2)(3)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19,876,250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19,876,250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3"/>
        </w:trPr>
        <w:tc>
          <w:tcPr>
            <w:tcW w:w="1860" w:type="dxa"/>
            <w:vAlign w:val="bottom"/>
            <w:gridSpan w:val="2"/>
          </w:tcPr>
          <w:p>
            <w:pPr>
              <w:spacing w:after="0"/>
              <w:rPr>
                <w:sz w:val="20"/>
                <w:szCs w:val="20"/>
                <w:color w:val="auto"/>
              </w:rPr>
            </w:pPr>
            <w:r>
              <w:rPr>
                <w:rFonts w:ascii="Arial" w:cs="Arial" w:eastAsia="Arial" w:hAnsi="Arial"/>
                <w:sz w:val="16"/>
                <w:szCs w:val="16"/>
                <w:color w:val="auto"/>
              </w:rPr>
              <w:t>Lieutenant General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gridSpan w:val="2"/>
          </w:tcPr>
          <w:p>
            <w:pPr>
              <w:ind w:left="180"/>
              <w:spacing w:after="0"/>
              <w:rPr>
                <w:sz w:val="20"/>
                <w:szCs w:val="20"/>
                <w:color w:val="auto"/>
              </w:rPr>
            </w:pPr>
            <w:r>
              <w:rPr>
                <w:rFonts w:ascii="Arial" w:cs="Arial" w:eastAsia="Arial" w:hAnsi="Arial"/>
                <w:sz w:val="16"/>
                <w:szCs w:val="16"/>
                <w:color w:val="auto"/>
              </w:rPr>
              <w:t>William Liquori</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Robert Masson</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All directors and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w w:val="97"/>
              </w:rPr>
              <w:t>executive officers as 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group (7 individuals)</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20,397,084</w:t>
            </w:r>
          </w:p>
        </w:tc>
        <w:tc>
          <w:tcPr>
            <w:tcW w:w="680" w:type="dxa"/>
            <w:vAlign w:val="bottom"/>
          </w:tcPr>
          <w:p>
            <w:pPr>
              <w:jc w:val="right"/>
              <w:spacing w:after="0"/>
              <w:rPr>
                <w:sz w:val="20"/>
                <w:szCs w:val="20"/>
                <w:color w:val="auto"/>
              </w:rPr>
            </w:pPr>
            <w:r>
              <w:rPr>
                <w:rFonts w:ascii="Arial" w:cs="Arial" w:eastAsia="Arial" w:hAnsi="Arial"/>
                <w:sz w:val="16"/>
                <w:szCs w:val="16"/>
                <w:color w:val="auto"/>
              </w:rPr>
              <w:t>82.2</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68,140,188</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88,537,272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those listed in the table above is c/o Intuitive Machines, LLC, 3700 Bay Area Blvd, Houston, TX 77058.</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59" w:hanging="426"/>
        <w:spacing w:after="0" w:line="278"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Inflection Point Holdings LLC, is the record holder of such shares. Kingstown Capital Management, L.P. (“KCM”) is the manager of Inflection Point Holdings LLC and shares voting and investment discretion with respect to the Inflection Point Ordinary Shares held of record by Inflection Point Holdings LLC. Kingstown Management GP LLC (“KMGP”) is the general partner of KCM and shares voting and investment discretion with respect to the Inflection Point Ordinary Shares held of record by Inflection Point Holdings LLC. Michael Blitzer and Guy Shanon are the Managing Members of KMGP and share voting and investment discretion with respect to the Inflection Point Ordinary Shares held of record by Inflection Point Holdings LLC. Each of KMGP, KCM, Michael Blitzer and Guy Shanon disclaims any beneficial ownership of the securities held by Inflection Point Holdings LLC other than to the extent of any pecuniary interest it or he, as applicable, may have therein, directly or indirectly. The principal business office of Kingstown Capital Management and Kingstown Management GP, LLC is c/o Inflection Point Acquisition Corp., 34 East 51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Street, 5</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10022.</w:t>
      </w:r>
    </w:p>
    <w:p>
      <w:pPr>
        <w:spacing w:after="0" w:line="7" w:lineRule="exact"/>
        <w:rPr>
          <w:rFonts w:ascii="Arial" w:cs="Arial" w:eastAsia="Arial" w:hAnsi="Arial"/>
          <w:sz w:val="15"/>
          <w:szCs w:val="15"/>
          <w:color w:val="auto"/>
        </w:rPr>
      </w:pPr>
    </w:p>
    <w:p>
      <w:pPr>
        <w:jc w:val="both"/>
        <w:ind w:left="880" w:right="459" w:hanging="426"/>
        <w:spacing w:after="0" w:line="300" w:lineRule="auto"/>
        <w:tabs>
          <w:tab w:leader="none" w:pos="839"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Inflection Point Holdings LLC and Kingstown 1740 are the record holders of such shares. KCM is the manager of Inflection Point Holdings LLC and the investment manager of Kingstown 1740. KMGP is the general partner of KCM. Kingstown Capital Partners LLC (“KCP”) is the general partner of Kingstown 1740. Mr. Blitzer and Mr. Shanon are the managing members of KMGP and KCP. KCM, KMGP, KCP, Mr. Blitzer and Mr. Shanon share voting investment discretion with respect to the securities held by Inflection Point Holdings LLC and Kingstown 1740. Each of KCM, KMGP, KCP, Mr. Blitzer and Mr. Shanon disclaims beneficial ownership over any securities directly held by Inflection Point Holdings LLC and Kingstown 1740 other than to the extent of its/his respective pecuniary interest therein, directly or indirectly. Such amounts consist of (A) the following securities owned by the Inflection Point Holdings LLC (i) 8,243,750 shares of Class A Common Stock received in exchange for the Inflection Point Class A Ordinary Shares issued upon conversion of the Founder Shares, (ii) 6,845,000 shares of Class A Common Stock underlying 6,845,000 Warrants and which will be exercisable within 60 days of the Closing Date and</w:t>
      </w:r>
    </w:p>
    <w:p>
      <w:pPr>
        <w:spacing w:after="0" w:line="3" w:lineRule="exact"/>
        <w:rPr>
          <w:rFonts w:ascii="Arial" w:cs="Arial" w:eastAsia="Arial" w:hAnsi="Arial"/>
          <w:sz w:val="14"/>
          <w:szCs w:val="14"/>
          <w:color w:val="auto"/>
        </w:rPr>
      </w:pPr>
    </w:p>
    <w:p>
      <w:pPr>
        <w:jc w:val="both"/>
        <w:ind w:left="880" w:right="459"/>
        <w:spacing w:after="0" w:line="261" w:lineRule="auto"/>
        <w:rPr>
          <w:rFonts w:ascii="Arial" w:cs="Arial" w:eastAsia="Arial" w:hAnsi="Arial"/>
          <w:sz w:val="14"/>
          <w:szCs w:val="14"/>
          <w:color w:val="auto"/>
        </w:rPr>
      </w:pPr>
      <w:r>
        <w:rPr>
          <w:rFonts w:ascii="Arial" w:cs="Arial" w:eastAsia="Arial" w:hAnsi="Arial"/>
          <w:sz w:val="16"/>
          <w:szCs w:val="16"/>
          <w:color w:val="auto"/>
        </w:rPr>
        <w:t>(B) the following securities owned by Kingstown 1740 (i) 1,150,000 shares of Class A Common Stock, (ii) 1,450,000 shares of Class A Common Stock underlying Warrants and which will be exercisable within 60 days of the Closing Date, (iii) 1,750,000 shares of Class A Common Stock issuable upon conversion of 21,000 shares of Series A Preferred Stock at the initial conversion price that Kingstown 1740 has committed to purchase and which will be convertible within 60 days of the Closing Date (without giving effect to the 9.9% beneficial ownership blocker described in the form of Certificate of Designation (the “Certificate of Designation”)) and (iv) 437,500 shares of Class A Common Stock issuable upon exercise of Preferred Investor Warrants that Kingstown 1740 committed to purchase and which will be convertible within 60 days of the Closing Date (without giving effect to the 9.9% beneficial ownership blocker described in the form of Preferred Investor Warrant). The principal business office of Inflection Point Holdings LLC is c/o Inflection Point Acquisition Corp., 34 East 51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Street, 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New York 10022.</w:t>
      </w:r>
    </w:p>
    <w:p>
      <w:pPr>
        <w:spacing w:after="0" w:line="1" w:lineRule="exact"/>
        <w:rPr>
          <w:rFonts w:ascii="Arial" w:cs="Arial" w:eastAsia="Arial" w:hAnsi="Arial"/>
          <w:sz w:val="14"/>
          <w:szCs w:val="14"/>
          <w:color w:val="auto"/>
        </w:rPr>
      </w:pPr>
    </w:p>
    <w:p>
      <w:pPr>
        <w:jc w:val="both"/>
        <w:ind w:left="880" w:right="459" w:hanging="426"/>
        <w:spacing w:after="0" w:line="264"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15,994,866 Intuitive Machines OpCo Common Units and a corresponding number of shares of Class C Common Stock held of record by a revocable trust of which Mr. Altemus is a trustee and exercises investment discretion.</w:t>
      </w:r>
    </w:p>
    <w:p>
      <w:pPr>
        <w:jc w:val="both"/>
        <w:ind w:left="880" w:right="459" w:hanging="426"/>
        <w:spacing w:after="0" w:line="281"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Consists of (i) 1,954,313 Intuitive Machines OpCo Common Units and a corresponding number of shares of Class C Common Stock held of record by GM Enterprises, LLC, (ii) 1,344,496 Intuitive Machines OpCo Common Units and a corresponding number of shares of Class C Common Stock held of record by Intuitive Machines KG Parent, LLC and (iii) 38,716,709 Intuitive Machines OpCo Common Units and a corresponding number of shares of Class C Common Stock held of record by Ghaffarian Enterprises, LLC. Dr. Kamal Ghaffarian may also be deemed to beneficially own (i) 416,667 shares of Class A Common Stock issuable upon conversion of 5,000 shares of Series A Preferred Stock at the initial conversion price that Ghaffarian Enterprises, LLC committed to purchase and which will be convertible within 60 days of the Closing Date (without giving effect to the 9.9% beneficial ownership blocker described in the form of Certificate of Designation) and (ii) 104,167 shares of Class A Common Stock issuable upon exercise of Preferred Investor Warrants that Ghaffarian Enterprises, LLC has committed to purchase and which will be convertible within 60 days of the Closing Date (without giving effect to the 9.9% beneficial ownership blocker described in the form of Preferred Investor Warrant). Dr. Kamal Ghaffarian is the sole trustee of a revocable trust, which is the sole member of each of Ghaffarian Enterprises, LLC, GM Enterprises, LLC and Intuitive Machines KG Parent, LLC. As a result, Dr. Kamal Ghaffarian may be deemed to share beneficial ownership of the securities reported herein, but disclaims beneficial ownership. The principal business office of Dr. Kamal Ghaffarian is 5937 Sunnyslope Drive, Naples, FL 34119. The principal business office of each of Ghaffarian Enterprises, LLC, GM Enterprises, LLC and Intuitive Machines KG Parent, LLC is 801 Thompson Avenue, Rockville, MD 20852.</w:t>
      </w:r>
    </w:p>
    <w:p>
      <w:pPr>
        <w:spacing w:after="0" w:line="9"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10,129,804 Intuitive Machines OpCo Common Units and a corresponding number of shares of C Common Stock.</w:t>
      </w:r>
    </w:p>
    <w:p>
      <w:pPr>
        <w:jc w:val="both"/>
        <w:ind w:left="880" w:right="459" w:hanging="426"/>
        <w:spacing w:after="0" w:line="276"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Sallee may be deemed to beneficially own 55,624 Intuitive Machines OpCo Common Units and a corresponding number of shares of Class B Common Stock issuable upon the exercise of stock options that vest within 60 days of the Closing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59" w:hanging="426"/>
        <w:spacing w:after="0" w:line="285"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Each Intuitive Machines OpCo Common Unit, when paired with one share of Class B Common Stock or one share of Class C Common Stock, will be exchangeable, in tandem with the cancellation of the paired share of Class B Common Stock or share of Class C Common Stock, for one share of Class A Common Stock. After the expiration of the Lock-Up Period (as defined the A&amp;R Registration Rights Agreement), holders of Intuitive Machines OpCo Common Units will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This prospectus relates to the resale from time to time of (i) an aggregate of 91,135,338 shares of our Class A Common Stock, (ii) 6,845,000 Private Placement Warrants, (iii) 1,450,000 Public Warrants held by a selling securityholder and (iv) 23,332,500 shares of Class A Common Stock underlying the Warrants. The selling securityholders may from time to time offer and sell any or all of the shares of Class A Common Stock, Private Placement Warrants and Public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Private Placement Warrants or Public Warrants other than through a public sale. Such selling securityholders may currently hold shares of our Class A Common Stock registered pursuant to the registration statement of which this prospectus forms a part, or may receive shares of Class A Common Stock registered pursuant to the registration statement of which this prospectus forms a part upon exchange of Intuitive Machines OpCo Common Units.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sets forth, as of the date of this prospectus, (i) the names of the selling securityholders,</w:t>
      </w:r>
    </w:p>
    <w:p>
      <w:pPr>
        <w:spacing w:after="0" w:line="35" w:lineRule="exact"/>
        <w:rPr>
          <w:sz w:val="20"/>
          <w:szCs w:val="20"/>
          <w:color w:val="auto"/>
        </w:rPr>
      </w:pPr>
    </w:p>
    <w:p>
      <w:pPr>
        <w:jc w:val="both"/>
        <w:ind w:left="460" w:right="459" w:hanging="6"/>
        <w:spacing w:after="0" w:line="284" w:lineRule="auto"/>
        <w:tabs>
          <w:tab w:leader="none" w:pos="7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of Intuitive Machines OpCo Common Units, shares of Series A Preferred Stock and Preferred Investor Warrants held by such selling securityholders prior to the exchange of such units or preferred stock or exercise of such preferred warrants (as applicable) by them for Class A Common Stock, (iii) the number of shares of Class A Common Stock, shares of Class B Common Stock, shares of Class C Common Stock, Private Placement Warrants and Public Warrants held by such selling securityholders prior to any exchange by them of Intuitive Machines OpCo Common Units, (iv) the aggregate number of shares of Class A Common Stock that will be owned by such selling securityholders after the exchange of all Intuitive Machines OpCo Common Units held by them, and (v) the aggregate number of shares of Class A Common Stock, Private Placement Warrants and Public Warrants that will be owned by such selling securityholders following the exchange of all Intuitive Machines OpCo Common Units or preferred stock or exercise of such Private Placement Warrants, Public Warrants or preferred warrants (as applicable) held by them and this offering. Except as set forth above, the table does not include the issuance by us of up to 16,487,500 shares of Class A Common Stock upon the exercise of outstanding Public Warrants, each of which is also covered by this prospectus. The percentage ownership of shares of Class A Common Stock is based on 98,084,505 shares of Class A Common Stock issued and outstanding as of March 27, 2023 on a fully diluted basis.</w:t>
      </w:r>
    </w:p>
    <w:p>
      <w:pPr>
        <w:sectPr>
          <w:pgSz w:w="11900" w:h="16838" w:orient="portrait"/>
          <w:cols w:equalWidth="0" w:num="1">
            <w:col w:w="9019"/>
          </w:cols>
          <w:pgMar w:left="1440" w:top="274"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460"/>
        <w:spacing w:after="0" w:line="323" w:lineRule="auto"/>
        <w:rPr>
          <w:sz w:val="20"/>
          <w:szCs w:val="20"/>
          <w:color w:val="auto"/>
        </w:rPr>
      </w:pPr>
      <w:r>
        <w:rPr>
          <w:rFonts w:ascii="Arial" w:cs="Arial" w:eastAsia="Arial" w:hAnsi="Arial"/>
          <w:sz w:val="11"/>
          <w:szCs w:val="11"/>
          <w:b w:val="1"/>
          <w:bCs w:val="1"/>
          <w:color w:val="auto"/>
        </w:rPr>
        <w:t>Name of Selling Securityholder</w:t>
      </w:r>
      <w:r>
        <w:rPr>
          <w:rFonts w:ascii="Arial" w:cs="Arial" w:eastAsia="Arial" w:hAnsi="Arial"/>
          <w:sz w:val="12"/>
          <w:szCs w:val="12"/>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jc w:val="center"/>
              <w:ind w:right="38"/>
              <w:spacing w:after="0"/>
              <w:rPr>
                <w:sz w:val="20"/>
                <w:szCs w:val="20"/>
                <w:color w:val="auto"/>
              </w:rPr>
            </w:pPr>
            <w:r>
              <w:rPr>
                <w:rFonts w:ascii="Arial" w:cs="Arial" w:eastAsia="Arial" w:hAnsi="Arial"/>
                <w:sz w:val="13"/>
                <w:szCs w:val="13"/>
                <w:b w:val="1"/>
                <w:bCs w:val="1"/>
                <w:color w:val="auto"/>
                <w:w w:val="92"/>
              </w:rPr>
              <w:t>Intuitive</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Machines</w:t>
            </w:r>
          </w:p>
        </w:tc>
        <w:tc>
          <w:tcPr>
            <w:tcW w:w="460" w:type="dxa"/>
            <w:vAlign w:val="bottom"/>
          </w:tcPr>
          <w:p>
            <w:pPr>
              <w:spacing w:after="0"/>
              <w:rPr>
                <w:sz w:val="11"/>
                <w:szCs w:val="11"/>
                <w:color w:val="auto"/>
              </w:rPr>
            </w:pPr>
          </w:p>
        </w:tc>
        <w:tc>
          <w:tcPr>
            <w:tcW w:w="302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Intuitive Machines, Inc. Securities Beneficially</w:t>
            </w:r>
          </w:p>
        </w:tc>
        <w:tc>
          <w:tcPr>
            <w:tcW w:w="0" w:type="dxa"/>
            <w:vAlign w:val="bottom"/>
          </w:tcPr>
          <w:p>
            <w:pPr>
              <w:spacing w:after="0"/>
              <w:rPr>
                <w:sz w:val="1"/>
                <w:szCs w:val="1"/>
                <w:color w:val="auto"/>
              </w:rPr>
            </w:pPr>
          </w:p>
        </w:tc>
      </w:tr>
      <w:tr>
        <w:trPr>
          <w:trHeight w:val="54"/>
        </w:trPr>
        <w:tc>
          <w:tcPr>
            <w:tcW w:w="760" w:type="dxa"/>
            <w:vAlign w:val="bottom"/>
            <w:vMerge w:val="restart"/>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OpCo</w:t>
            </w:r>
          </w:p>
        </w:tc>
        <w:tc>
          <w:tcPr>
            <w:tcW w:w="46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46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w w:val="88"/>
              </w:rPr>
              <w:t>Owned Before Exchange and this Offering</w:t>
            </w: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60" w:type="dxa"/>
            <w:vAlign w:val="bottom"/>
            <w:vMerge w:val="restart"/>
          </w:tcPr>
          <w:p>
            <w:pPr>
              <w:jc w:val="center"/>
              <w:ind w:right="38"/>
              <w:spacing w:after="0" w:line="106" w:lineRule="exact"/>
              <w:rPr>
                <w:sz w:val="20"/>
                <w:szCs w:val="20"/>
                <w:color w:val="auto"/>
              </w:rPr>
            </w:pPr>
            <w:r>
              <w:rPr>
                <w:rFonts w:ascii="Arial" w:cs="Arial" w:eastAsia="Arial" w:hAnsi="Arial"/>
                <w:sz w:val="12"/>
                <w:szCs w:val="12"/>
                <w:b w:val="1"/>
                <w:bCs w:val="1"/>
                <w:color w:val="auto"/>
                <w:w w:val="96"/>
              </w:rPr>
              <w:t>Common</w:t>
            </w:r>
          </w:p>
        </w:tc>
        <w:tc>
          <w:tcPr>
            <w:tcW w:w="46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7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Units Owned</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Prior to</w:t>
            </w: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6"/>
              </w:rPr>
              <w:t>Shares of Shares of</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4"/>
              </w:rPr>
              <w:t>Exchange</w:t>
            </w: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64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Class B</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Class C</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87"/>
              </w:rPr>
              <w:t>Shares of</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Private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8"/>
              </w:rPr>
              <w:t>and this</w:t>
            </w:r>
          </w:p>
        </w:tc>
        <w:tc>
          <w:tcPr>
            <w:tcW w:w="17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Common Common Common</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9"/>
              </w:rPr>
              <w:t>Series A</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Public</w:t>
            </w: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640" w:type="dxa"/>
            <w:vAlign w:val="bottom"/>
          </w:tcPr>
          <w:p>
            <w:pPr>
              <w:ind w:left="200"/>
              <w:spacing w:after="0"/>
              <w:rPr>
                <w:sz w:val="20"/>
                <w:szCs w:val="20"/>
                <w:color w:val="auto"/>
              </w:rPr>
            </w:pPr>
            <w:r>
              <w:rPr>
                <w:rFonts w:ascii="Arial" w:cs="Arial" w:eastAsia="Arial" w:hAnsi="Arial"/>
                <w:sz w:val="13"/>
                <w:szCs w:val="13"/>
                <w:b w:val="1"/>
                <w:bCs w:val="1"/>
                <w:color w:val="auto"/>
              </w:rPr>
              <w:t>Stock</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w w:val="93"/>
              </w:rPr>
              <w:t>Preferred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3"/>
              </w:rPr>
              <w:t>Shares of Class A</w:t>
            </w:r>
          </w:p>
        </w:tc>
        <w:tc>
          <w:tcPr>
            <w:tcW w:w="2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Intuitive Machines, Inc.</w:t>
            </w:r>
          </w:p>
        </w:tc>
        <w:tc>
          <w:tcPr>
            <w:tcW w:w="0" w:type="dxa"/>
            <w:vAlign w:val="bottom"/>
          </w:tcPr>
          <w:p>
            <w:pPr>
              <w:spacing w:after="0"/>
              <w:rPr>
                <w:sz w:val="1"/>
                <w:szCs w:val="1"/>
                <w:color w:val="auto"/>
              </w:rPr>
            </w:pPr>
          </w:p>
        </w:tc>
      </w:tr>
      <w:tr>
        <w:trPr>
          <w:trHeight w:val="135"/>
        </w:trPr>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20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Securities Beneficially</w:t>
            </w:r>
          </w:p>
        </w:tc>
        <w:tc>
          <w:tcPr>
            <w:tcW w:w="0" w:type="dxa"/>
            <w:vAlign w:val="bottom"/>
          </w:tcPr>
          <w:p>
            <w:pPr>
              <w:spacing w:after="0"/>
              <w:rPr>
                <w:sz w:val="1"/>
                <w:szCs w:val="1"/>
                <w:color w:val="auto"/>
              </w:rPr>
            </w:pPr>
          </w:p>
        </w:tc>
      </w:tr>
      <w:tr>
        <w:trPr>
          <w:trHeight w:val="135"/>
        </w:trPr>
        <w:tc>
          <w:tcPr>
            <w:tcW w:w="10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Beneficially</w:t>
            </w:r>
          </w:p>
        </w:tc>
        <w:tc>
          <w:tcPr>
            <w:tcW w:w="1500" w:type="dxa"/>
            <w:vAlign w:val="bottom"/>
            <w:gridSpan w:val="3"/>
          </w:tcPr>
          <w:p>
            <w:pPr>
              <w:jc w:val="center"/>
              <w:ind w:left="477"/>
              <w:spacing w:after="0" w:line="135" w:lineRule="exact"/>
              <w:rPr>
                <w:sz w:val="20"/>
                <w:szCs w:val="20"/>
                <w:color w:val="auto"/>
              </w:rPr>
            </w:pPr>
            <w:r>
              <w:rPr>
                <w:rFonts w:ascii="Arial" w:cs="Arial" w:eastAsia="Arial" w:hAnsi="Arial"/>
                <w:sz w:val="13"/>
                <w:szCs w:val="13"/>
                <w:b w:val="1"/>
                <w:bCs w:val="1"/>
                <w:color w:val="auto"/>
                <w:w w:val="89"/>
              </w:rPr>
              <w:t>Owned Following</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Owned Following</w:t>
            </w:r>
          </w:p>
        </w:tc>
        <w:tc>
          <w:tcPr>
            <w:tcW w:w="1500" w:type="dxa"/>
            <w:vAlign w:val="bottom"/>
            <w:gridSpan w:val="3"/>
          </w:tcPr>
          <w:p>
            <w:pPr>
              <w:jc w:val="center"/>
              <w:ind w:left="437"/>
              <w:spacing w:after="0"/>
              <w:rPr>
                <w:sz w:val="20"/>
                <w:szCs w:val="20"/>
                <w:color w:val="auto"/>
              </w:rPr>
            </w:pPr>
            <w:r>
              <w:rPr>
                <w:rFonts w:ascii="Arial" w:cs="Arial" w:eastAsia="Arial" w:hAnsi="Arial"/>
                <w:sz w:val="13"/>
                <w:szCs w:val="13"/>
                <w:b w:val="1"/>
                <w:bCs w:val="1"/>
                <w:color w:val="auto"/>
                <w:w w:val="86"/>
              </w:rPr>
              <w:t>Exchange 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2"/>
              </w:rPr>
              <w:t>Exchange</w:t>
            </w:r>
            <w:r>
              <w:rPr>
                <w:rFonts w:ascii="Arial" w:cs="Arial" w:eastAsia="Arial" w:hAnsi="Arial"/>
                <w:sz w:val="14"/>
                <w:szCs w:val="14"/>
                <w:b w:val="1"/>
                <w:bCs w:val="1"/>
                <w:color w:val="auto"/>
                <w:w w:val="82"/>
                <w:vertAlign w:val="superscript"/>
              </w:rPr>
              <w:t>(2)</w:t>
            </w:r>
          </w:p>
        </w:tc>
        <w:tc>
          <w:tcPr>
            <w:tcW w:w="1500" w:type="dxa"/>
            <w:vAlign w:val="bottom"/>
            <w:gridSpan w:val="3"/>
          </w:tcPr>
          <w:p>
            <w:pPr>
              <w:jc w:val="center"/>
              <w:ind w:left="477"/>
              <w:spacing w:after="0"/>
              <w:rPr>
                <w:sz w:val="20"/>
                <w:szCs w:val="20"/>
                <w:color w:val="auto"/>
              </w:rPr>
            </w:pPr>
            <w:r>
              <w:rPr>
                <w:rFonts w:ascii="Arial" w:cs="Arial" w:eastAsia="Arial" w:hAnsi="Arial"/>
                <w:sz w:val="13"/>
                <w:szCs w:val="13"/>
                <w:b w:val="1"/>
                <w:bCs w:val="1"/>
                <w:color w:val="auto"/>
                <w:w w:val="85"/>
              </w:rPr>
              <w:t>this Offering</w:t>
            </w:r>
            <w:r>
              <w:rPr>
                <w:rFonts w:ascii="Arial" w:cs="Arial" w:eastAsia="Arial" w:hAnsi="Arial"/>
                <w:sz w:val="14"/>
                <w:szCs w:val="14"/>
                <w:b w:val="1"/>
                <w:bCs w:val="1"/>
                <w:color w:val="auto"/>
                <w:w w:val="85"/>
                <w:vertAlign w:val="superscript"/>
              </w:rPr>
              <w:t>(3)</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40"/>
              <w:spacing w:after="0" w:line="117" w:lineRule="exact"/>
              <w:rPr>
                <w:sz w:val="20"/>
                <w:szCs w:val="20"/>
                <w:color w:val="auto"/>
              </w:rPr>
            </w:pPr>
            <w:r>
              <w:rPr>
                <w:rFonts w:ascii="Arial" w:cs="Arial" w:eastAsia="Arial" w:hAnsi="Arial"/>
                <w:sz w:val="13"/>
                <w:szCs w:val="13"/>
                <w:b w:val="1"/>
                <w:bCs w:val="1"/>
                <w:color w:val="auto"/>
                <w:w w:val="84"/>
              </w:rPr>
              <w:t>Shares of</w:t>
            </w:r>
          </w:p>
        </w:tc>
        <w:tc>
          <w:tcPr>
            <w:tcW w:w="6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Class A</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8"/>
              </w:rPr>
              <w:t>Common Stock</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Private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Placement</w:t>
            </w:r>
          </w:p>
        </w:tc>
        <w:tc>
          <w:tcPr>
            <w:tcW w:w="5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Public</w:t>
            </w: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Number   %</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3">
            <w:col w:w="1340" w:space="120"/>
            <w:col w:w="4240" w:space="40"/>
            <w:col w:w="3279"/>
          </w:cols>
          <w:pgMar w:left="1440" w:top="274" w:right="1440" w:bottom="169" w:gutter="0" w:footer="0" w:header="0"/>
          <w:type w:val="continuous"/>
        </w:sectPr>
      </w:pPr>
    </w:p>
    <w:tbl>
      <w:tblPr>
        <w:tblLayout w:type="fixed"/>
        <w:tblInd w:w="460" w:type="dxa"/>
        <w:tblCellMar>
          <w:top w:w="0" w:type="dxa"/>
          <w:left w:w="0" w:type="dxa"/>
          <w:bottom w:w="0" w:type="dxa"/>
          <w:right w:w="0" w:type="dxa"/>
        </w:tblCellMar>
      </w:tblPr>
      <w:tr>
        <w:trPr>
          <w:trHeight w:val="114"/>
        </w:trPr>
        <w:tc>
          <w:tcPr>
            <w:tcW w:w="9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Inflection Point</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47"/>
        </w:trPr>
        <w:tc>
          <w:tcPr>
            <w:tcW w:w="100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3"/>
                <w:szCs w:val="13"/>
                <w:color w:val="auto"/>
              </w:rPr>
              <w:t>Holdings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LLC</w:t>
            </w:r>
            <w:r>
              <w:rPr>
                <w:rFonts w:ascii="Arial" w:cs="Arial" w:eastAsia="Arial" w:hAnsi="Arial"/>
                <w:sz w:val="14"/>
                <w:szCs w:val="14"/>
                <w:color w:val="auto"/>
                <w:vertAlign w:val="superscript"/>
              </w:rPr>
              <w:t>(4)</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 8,243,750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6,845,000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15,088,750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15.4</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7"/>
                <w:szCs w:val="17"/>
                <w:color w:val="auto"/>
              </w:rPr>
            </w:pPr>
          </w:p>
        </w:tc>
      </w:tr>
      <w:tr>
        <w:trPr>
          <w:trHeight w:val="132"/>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Kingstown 1740</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Fund L.P.</w:t>
            </w:r>
            <w:r>
              <w:rPr>
                <w:rFonts w:ascii="Arial" w:cs="Arial" w:eastAsia="Arial" w:hAnsi="Arial"/>
                <w:sz w:val="14"/>
                <w:szCs w:val="14"/>
                <w:color w:val="auto"/>
                <w:vertAlign w:val="superscript"/>
              </w:rPr>
              <w:t>(5)</w:t>
            </w:r>
          </w:p>
        </w:tc>
        <w:tc>
          <w:tcPr>
            <w:tcW w:w="1320" w:type="dxa"/>
            <w:vAlign w:val="bottom"/>
            <w:gridSpan w:val="4"/>
          </w:tcPr>
          <w:p>
            <w:pPr>
              <w:jc w:val="right"/>
              <w:ind w:right="40"/>
              <w:spacing w:after="0"/>
              <w:rPr>
                <w:sz w:val="20"/>
                <w:szCs w:val="20"/>
                <w:color w:val="auto"/>
              </w:rPr>
            </w:pPr>
            <w:r>
              <w:rPr>
                <w:rFonts w:ascii="Arial" w:cs="Arial" w:eastAsia="Arial" w:hAnsi="Arial"/>
                <w:sz w:val="13"/>
                <w:szCs w:val="13"/>
                <w:color w:val="auto"/>
              </w:rPr>
              <w:t>— 3,337,500</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21,000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1,450,000</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4,787,500</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130"/>
        </w:trPr>
        <w:tc>
          <w:tcPr>
            <w:tcW w:w="10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Intuitive</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Machines KG</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Parent, LLC</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1,344,496</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1,344,496</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1,344,496</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rPr>
              <w:t>Ghaffarian</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Enterprises,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LLC</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38,716,709</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520,834</w:t>
            </w:r>
          </w:p>
        </w:tc>
        <w:tc>
          <w:tcPr>
            <w:tcW w:w="1180" w:type="dxa"/>
            <w:vAlign w:val="bottom"/>
            <w:gridSpan w:val="4"/>
          </w:tcPr>
          <w:p>
            <w:pPr>
              <w:jc w:val="right"/>
              <w:ind w:right="40"/>
              <w:spacing w:after="0"/>
              <w:rPr>
                <w:sz w:val="20"/>
                <w:szCs w:val="20"/>
                <w:color w:val="auto"/>
              </w:rPr>
            </w:pPr>
            <w:r>
              <w:rPr>
                <w:rFonts w:ascii="Arial" w:cs="Arial" w:eastAsia="Arial" w:hAnsi="Arial"/>
                <w:sz w:val="13"/>
                <w:szCs w:val="13"/>
                <w:color w:val="auto"/>
              </w:rPr>
              <w:t>— 38,716,709</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5,000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39,654,210</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40.5</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GM Enterprises,</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1,954,313</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1,954,313</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1,954,313</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rPr>
              <w:t>Stephen and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Brunella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Altemus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Living Trust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15,994,866</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3"/>
                <w:szCs w:val="13"/>
                <w:color w:val="auto"/>
              </w:rPr>
              <w:t>— 15,994,866</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15,994,866</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16.3</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63"/>
        </w:trPr>
        <w:tc>
          <w:tcPr>
            <w:tcW w:w="1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Timothy Crain</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10,129,804</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 10,129,804</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10,129,804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10.3</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22"/>
                <w:szCs w:val="22"/>
                <w:color w:val="auto"/>
              </w:rPr>
            </w:pPr>
          </w:p>
        </w:tc>
      </w:tr>
      <w:tr>
        <w:trPr>
          <w:trHeight w:val="254"/>
        </w:trPr>
        <w:tc>
          <w:tcPr>
            <w:tcW w:w="1000" w:type="dxa"/>
            <w:vAlign w:val="bottom"/>
            <w:gridSpan w:val="2"/>
          </w:tcPr>
          <w:p>
            <w:pPr>
              <w:spacing w:after="0"/>
              <w:rPr>
                <w:sz w:val="20"/>
                <w:szCs w:val="20"/>
                <w:color w:val="auto"/>
              </w:rPr>
            </w:pPr>
            <w:r>
              <w:rPr>
                <w:rFonts w:ascii="Arial" w:cs="Arial" w:eastAsia="Arial" w:hAnsi="Arial"/>
                <w:sz w:val="13"/>
                <w:szCs w:val="13"/>
                <w:color w:val="auto"/>
              </w:rPr>
              <w:t>Jack Fisher</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2,224</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2,224</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Jonathan</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Kraeuter</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4,171</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rPr>
              <w:t>Matthew</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Ashmore</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4,171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4,171</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Ronnie</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Montgomery</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II</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150,000</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150,000</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w w:val="96"/>
              </w:rPr>
              <w:t>Sabra Braveheart</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LLC</w:t>
            </w:r>
          </w:p>
        </w:tc>
        <w:tc>
          <w:tcPr>
            <w:tcW w:w="1320" w:type="dxa"/>
            <w:vAlign w:val="bottom"/>
            <w:gridSpan w:val="4"/>
          </w:tcPr>
          <w:p>
            <w:pPr>
              <w:jc w:val="right"/>
              <w:ind w:right="40"/>
              <w:spacing w:after="0"/>
              <w:rPr>
                <w:sz w:val="20"/>
                <w:szCs w:val="20"/>
                <w:color w:val="auto"/>
              </w:rPr>
            </w:pPr>
            <w:r>
              <w:rPr>
                <w:rFonts w:ascii="Arial" w:cs="Arial" w:eastAsia="Arial" w:hAnsi="Arial"/>
                <w:sz w:val="13"/>
                <w:szCs w:val="13"/>
                <w:color w:val="auto"/>
              </w:rPr>
              <w:t>—  1,111,111</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1,111,111</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Mavrik America</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Corp.</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333,333</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333,333</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rPr>
              <w:t>Tactico IM 01-22</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USA, LP</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444,444</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444,444</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r>
        <w:trPr>
          <w:trHeight w:val="30"/>
        </w:trPr>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Capital Factory</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Ventures,</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LP – A3</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11,111</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11,111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r>
      <w:tr>
        <w:trPr>
          <w:trHeight w:val="121"/>
        </w:trPr>
        <w:tc>
          <w:tcPr>
            <w:tcW w:w="1000" w:type="dxa"/>
            <w:vAlign w:val="bottom"/>
            <w:gridSpan w:val="2"/>
          </w:tcPr>
          <w:p>
            <w:pPr>
              <w:spacing w:after="0" w:line="121" w:lineRule="exact"/>
              <w:rPr>
                <w:sz w:val="20"/>
                <w:szCs w:val="20"/>
                <w:color w:val="auto"/>
              </w:rPr>
            </w:pPr>
            <w:r>
              <w:rPr>
                <w:rFonts w:ascii="Arial" w:cs="Arial" w:eastAsia="Arial" w:hAnsi="Arial"/>
                <w:sz w:val="13"/>
                <w:szCs w:val="13"/>
                <w:color w:val="auto"/>
              </w:rPr>
              <w:t>Capital Factory</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000" w:type="dxa"/>
            <w:vAlign w:val="bottom"/>
            <w:gridSpan w:val="2"/>
          </w:tcPr>
          <w:p>
            <w:pPr>
              <w:ind w:left="180"/>
              <w:spacing w:after="0"/>
              <w:rPr>
                <w:sz w:val="20"/>
                <w:szCs w:val="20"/>
                <w:color w:val="auto"/>
              </w:rPr>
            </w:pPr>
            <w:r>
              <w:rPr>
                <w:rFonts w:ascii="Arial" w:cs="Arial" w:eastAsia="Arial" w:hAnsi="Arial"/>
                <w:sz w:val="13"/>
                <w:szCs w:val="13"/>
                <w:color w:val="auto"/>
              </w:rPr>
              <w:t>6, LP</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16,667</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16,667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w w:val="91"/>
              </w:rPr>
              <w:t>—</w:t>
            </w:r>
          </w:p>
        </w:tc>
      </w:tr>
    </w:tbl>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479" w:hanging="426"/>
        <w:spacing w:after="0" w:line="288"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those listed in the table above is 3700 Bay Area Blvd, Houston, TX 77058.</w:t>
      </w:r>
    </w:p>
    <w:p>
      <w:pPr>
        <w:sectPr>
          <w:pgSz w:w="11900" w:h="16838" w:orient="portrait"/>
          <w:cols w:equalWidth="0" w:num="1">
            <w:col w:w="9019"/>
          </w:cols>
          <w:pgMar w:left="1440" w:top="274" w:right="1440" w:bottom="169" w:gutter="0" w:footer="0" w:header="0"/>
          <w:type w:val="continuous"/>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69"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59" w:hanging="426"/>
        <w:spacing w:after="0" w:line="280"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Assumes that we exchange the Intuitive Machines Common Units of such selling securityholder for shares of Class A Common Stock, regardless of whether such Intuitive Machines Common Units are currently exchangeable. The percentage ownership is determined for each selling securityholder by taking into account the issuance and sale of shares of Class A Common Stock of only such selling securityholder. Also assumes that no transactions with respect to share of Class A Common Stock or Intuitive Machines Common Units occur other than the exchange.</w:t>
      </w:r>
    </w:p>
    <w:p>
      <w:pPr>
        <w:jc w:val="both"/>
        <w:ind w:left="880" w:right="479" w:hanging="426"/>
        <w:spacing w:after="0" w:line="264"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Assumes that the selling securityholders sell all of their shares of Class A Common Stock offered pursuant to this prospectus. The percentage ownership is determined for each selling securityholder by taking into account the issuance and sale of shares of Class A Common Stock of only such selling securityholder.</w:t>
      </w:r>
    </w:p>
    <w:p>
      <w:pPr>
        <w:jc w:val="both"/>
        <w:ind w:left="880" w:right="459" w:hanging="426"/>
        <w:spacing w:after="0" w:line="281"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(i) 8,243,750 shares of Class A Common Stock held of record by Inflection Point Holdings LLC (“IPAX Sponsor”), (ii) 6,845,000 Private Placement Warrants held of record by IPAX Sponsor and (iii) 6,845,000 shares of Class A Common Stock that may be purchased by exercising Private Placement Warrants held of record by IPAX Sponsor that are exercisable within 60 days. Kingstown Capital Management L.P. (“KCM”) is the manager of IPAX Sponsor. Kingstown Management GP LLC (“KMGP”) is the general partner of KCM. Michael Blitzer (“Mr. Blitzer”) and Guy Shanon (“Mr. Shanon”) are the managing members of KMGP. KCM, KMGP, Mr. Blitzer and Mr. Shanon share voting and dispositive power over the securities held by IPAX Sponsor. As a result, each of KCM, KMGP, Mr. Blitzer and Mr. Shanon may be deemed to indirectly beneficially own the securities directly held by IPAX Sponsor. Each of KCM, KMGP, Mr. Blitzer and Mr. Shanon disclaims beneficial ownership over any securities directly held by IPAX Sponsor other than to the extent of its/his respective pecuniary interest therein, directly or indirectly. The principal place of business of each of IPAX Sponsor, KCM, KMGP, Mr. Blitzer and Mr. Shanon is 167 Madison Avenue, Suite 205 #1033, New York, NY 10016.</w:t>
      </w:r>
    </w:p>
    <w:p>
      <w:pPr>
        <w:spacing w:after="0" w:line="6" w:lineRule="exact"/>
        <w:rPr>
          <w:rFonts w:ascii="Arial" w:cs="Arial" w:eastAsia="Arial" w:hAnsi="Arial"/>
          <w:sz w:val="15"/>
          <w:szCs w:val="15"/>
          <w:color w:val="auto"/>
        </w:rPr>
      </w:pPr>
    </w:p>
    <w:p>
      <w:pPr>
        <w:ind w:left="880" w:hanging="426"/>
        <w:spacing w:after="0"/>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(i) 1,150,000 shares of Class A Common Stock held by Kingstown 1740 Fund L.P. (“Kingstown 1740”),</w:t>
      </w:r>
    </w:p>
    <w:p>
      <w:pPr>
        <w:spacing w:after="0" w:line="30" w:lineRule="exact"/>
        <w:rPr>
          <w:rFonts w:ascii="Arial" w:cs="Arial" w:eastAsia="Arial" w:hAnsi="Arial"/>
          <w:sz w:val="15"/>
          <w:szCs w:val="15"/>
          <w:color w:val="auto"/>
        </w:rPr>
      </w:pPr>
    </w:p>
    <w:p>
      <w:pPr>
        <w:jc w:val="both"/>
        <w:ind w:left="880" w:right="459" w:firstLine="6"/>
        <w:spacing w:after="0" w:line="281" w:lineRule="auto"/>
        <w:tabs>
          <w:tab w:leader="none" w:pos="1133" w:val="left"/>
        </w:tabs>
        <w:numPr>
          <w:ilvl w:val="1"/>
          <w:numId w:val="62"/>
        </w:numPr>
        <w:rPr>
          <w:rFonts w:ascii="Arial" w:cs="Arial" w:eastAsia="Arial" w:hAnsi="Arial"/>
          <w:sz w:val="15"/>
          <w:szCs w:val="15"/>
          <w:color w:val="auto"/>
        </w:rPr>
      </w:pPr>
      <w:r>
        <w:rPr>
          <w:rFonts w:ascii="Arial" w:cs="Arial" w:eastAsia="Arial" w:hAnsi="Arial"/>
          <w:sz w:val="15"/>
          <w:szCs w:val="15"/>
          <w:color w:val="auto"/>
        </w:rPr>
        <w:t>1,450,000 Public Warrants held by Kingstown 1740 received upon separation of units purchased in the issuer’s initial public offering, (iii) 1,450,000 shares of Class A Common Stock that may be purchased by exercising Public Warrants held by Kingstown 1740 received upon separation of units purchased in the Issuer’s initial public offering,</w:t>
      </w:r>
    </w:p>
    <w:p>
      <w:pPr>
        <w:spacing w:after="0" w:line="1" w:lineRule="exact"/>
        <w:rPr>
          <w:rFonts w:ascii="Arial" w:cs="Arial" w:eastAsia="Arial" w:hAnsi="Arial"/>
          <w:sz w:val="15"/>
          <w:szCs w:val="15"/>
          <w:color w:val="auto"/>
        </w:rPr>
      </w:pPr>
    </w:p>
    <w:p>
      <w:pPr>
        <w:jc w:val="both"/>
        <w:ind w:left="880" w:right="459" w:firstLine="6"/>
        <w:spacing w:after="0" w:line="284" w:lineRule="auto"/>
        <w:tabs>
          <w:tab w:leader="none" w:pos="1168" w:val="left"/>
        </w:tabs>
        <w:numPr>
          <w:ilvl w:val="1"/>
          <w:numId w:val="63"/>
        </w:numPr>
        <w:rPr>
          <w:rFonts w:ascii="Arial" w:cs="Arial" w:eastAsia="Arial" w:hAnsi="Arial"/>
          <w:sz w:val="15"/>
          <w:szCs w:val="15"/>
          <w:color w:val="auto"/>
        </w:rPr>
      </w:pPr>
      <w:r>
        <w:rPr>
          <w:rFonts w:ascii="Arial" w:cs="Arial" w:eastAsia="Arial" w:hAnsi="Arial"/>
          <w:sz w:val="15"/>
          <w:szCs w:val="15"/>
          <w:color w:val="auto"/>
        </w:rPr>
        <w:t>1,750,000 shares of Class A Common Stock of Class A Common Stock issuable upon conversion of 21,000 shares of Series A Preferred Stock at the initial conversion price, which are immediately convertible as of the date hereof (without giving effect to the 9.9% beneficial ownership blocker described in the Certificate of Designation) and (v) 437,500 shares of Class A Common Stock issuable upon exercise of Preferred Investor Warrants, which are immediately exercisable as of the date hereof (without giving effect to the 9.9% beneficial ownership blocker described in the applicable Preferred Investor Warrant). KCM is the investment manager of Kingstown 1740. KMGP is the general partner of KCM. Kingstown Capital Partners LLC (“KCP”) is the general partner of Kingstown 1740. Mr. Blitzer and Mr. Shanon are the managing members of KMGP and KCP. KCM, KMGP, KCP, Mr. Blitzer and Mr. Shanon share voting and dispositive power over the securities held by Kingstown 1740. As a result, each of KCM, KMGP, KCP, Mr. Blitzer and Mr. Shanon may be deemed to indirectly beneficially own the securities directly held by Kingstown 1740. Each of KCM, KMGP, KCP, Mr. Blitzer and Mr. Shanon disclaims beneficial ownership over any securities directly held by Kingstown 1740 other than to the extent of its/his respective pecuniary interest therein, directly or indirectly. The principal place of business of each of Kingstown 1740, KCP, KCM, KMGP, Mr. Blitzer and Mr. Shanon is 167 Madison Avenue, Suite 205 #1033, New York, NY 10016.</w:t>
      </w:r>
    </w:p>
    <w:p>
      <w:pPr>
        <w:spacing w:after="0" w:line="10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shares of Class A Common Stock, Private Placement Warrants or Public Warrants.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To the extent permitted by law, a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9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information regarding transactions between us and the selling securityholders, see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Person Transactions</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Relationship with Axiom Space</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Dr. Kamal Ghaffarian, our co-founder and chairman, is a co-founder and current member of management of Axiom Space, Inc. (“Axiom Space”). Axiom Space uses our services in the ordinary course of its space infrastructure development activities. As such, revenues related to Axiom Space are incurred in the normal course of business and amounts are settled under normal business terms. For the fiscal year ended December 31, 2022 and 2021, we generated $1,558,000 and $851,000 in revenue from transactions with Axiom Space, respectively, primarily related to the provision of engineering services. As of December 31, 2022 and December 31, 2021, there were approximately $836,000 and $380,000 of affiliate accounts receivable related to transactions with Axiom Space,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Relationship with IBX, LLC</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Dr. Kamal Ghaffarian, the co-founder and executive chairman, is a co-founder and current member of management of IBX, LLC (“IBX”). IBX is an innovation and investment firm committed to advancing the state of humanity and human knowledge. We rely on IBX for the provision of management and professional services in the day-to-day operation of our business. These expenses include, among others, fees for the provision of administrative, accounting and legal services. As such, expenses incurred in relation to IBX are incurred in the normal course of business and amounts are settled under normal business terms. For year ended December 31, 2022 and 2021, we had $2,125,000 and $366,000 in expenses with IBX, respectively, related to these management fees. As of December 31, 2022 and 2021, there were $367,000 and $218,000, respectively, of affiliate accounts payable related to IBX expenses.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Relationship with KBR, Inc.</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On November 12, 2020, KBR, Inc. (“KBR”), a U.S.-based firm operating in the science, technology and engineering industries, made an initial investment in one of our operating subsidiaries, Space Network Solutions, LLC (“Space Network Solutions”), resulting in a 10% ownership by KBR of Space Network Solutions as of the date of such investment. As of December 31, 2022, KBR held approximately 10% of the equity of Space Network Solutions. In the ordinary course of business, we regularly provide engineering services to KBR. For the years ended December 31, 2022, 2021 and 2020, we generated $1,860,000, $1,342,000 and $114,000, respectively, of revenue from KBR related to the provision of such engineering services to KBR. As of December 31, 2022 and December 31, 2021, there was $293,000 and $333,000, respectively, of affiliate accounts receivable related to revenue generated from transactions with KBR.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Relationship with Penumbra, LLC</w:t>
      </w:r>
    </w:p>
    <w:p>
      <w:pPr>
        <w:spacing w:after="0" w:line="15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On November, 2019, certain members of our management team formed Penumbra, LLC as an Isle of Man entity. The sole purpose of forming Penumbra, LLC was to permit us to obtain required licenses for its Lunar Data Network line of business to operate in the ordinary course. As of December 31, 2022 and 2021, we owed approximately $54,000 and zero to Penumbra, LLC related to the procurement of licenses, respectively. As of December 31, 2022, no member of our management team has received any financial benefit from its ownership interest in Penumbra, LLC, other than expense reimbursements incurred in the ordinary course.</w:t>
      </w:r>
    </w:p>
    <w:p>
      <w:pPr>
        <w:spacing w:after="0" w:line="16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Employment Arrangement with an Immediate Family Member of a member of the Board and Chief Executive Officer</w:t>
      </w:r>
    </w:p>
    <w:p>
      <w:pPr>
        <w:spacing w:after="0" w:line="103"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Joe Altemus, the son of Stephen Altemus, member of our Board and Chief Executive Officer, is a Mechanical Systems Engineer at Intuitive Machines. Mr. Altemus’ compensation is based on reference to external market practice of similar positions or internal pay equity when compared to the compensation paid to employees in similar positions who were not related to a member of our Board and Chief Executive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connection with the Business Combination Agreement, certain agreements were entered into. These agreements include: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connection with the consummation of the Transactions, we entered into a Tax Receivable Agreement with Intuitive Machines OpCo and certain members of Intuitive Machines OpCo that will provide for payment to such members of Intuitive Machines OpCo of 85% of the amount of the tax savings, if any, that we realize (or, under certain circumstances, is deemed to realize) as a result of:</w:t>
      </w:r>
    </w:p>
    <w:p>
      <w:pPr>
        <w:spacing w:after="0" w:line="119" w:lineRule="exact"/>
        <w:rPr>
          <w:sz w:val="20"/>
          <w:szCs w:val="20"/>
          <w:color w:val="auto"/>
        </w:rPr>
      </w:pPr>
    </w:p>
    <w:p>
      <w:pPr>
        <w:jc w:val="both"/>
        <w:ind w:left="1320" w:right="459" w:hanging="434"/>
        <w:spacing w:after="0" w:line="255"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existing tax basis in certain assets of Intuitive Machines OpCo and certain of its direct or indirect subsidiaries (including assets that will eventually be subject to depreciation or amortization once placed in service) that is obtained (i) by Intuitive Machines in connection with the Business Combination and (ii) by Intuitive Machines in connection with and is attributable to an Intuitive Machines OpCo Common Unit exchanged or redeemed by an Intuitive Machines Member (“Existing Basis”);</w:t>
      </w:r>
    </w:p>
    <w:p>
      <w:pPr>
        <w:spacing w:after="0" w:line="111" w:lineRule="exact"/>
        <w:rPr>
          <w:rFonts w:ascii="Arial" w:cs="Arial" w:eastAsia="Arial" w:hAnsi="Arial"/>
          <w:sz w:val="18"/>
          <w:szCs w:val="18"/>
          <w:color w:val="auto"/>
        </w:rPr>
      </w:pPr>
    </w:p>
    <w:p>
      <w:pPr>
        <w:jc w:val="both"/>
        <w:ind w:left="1320" w:right="479" w:hanging="434"/>
        <w:spacing w:after="0" w:line="259"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basis adjustments resulting from future redemptions or exchanges of Intuitive Machines OpCo Common Units from the Intuitive Machines Members or certain distributions (or deemed distributions) by Intuitive Machines OpCo and certain payments made under the Tax Receivable Agreement (“Basis Adjustments”); and</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deductions attributable to imputed interest and other payments of interest by Intuitive Machines pursuant to the Tax Receivable Agreement (“Interest Deductions”).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A&amp;R Operating Agreement</w:t>
      </w:r>
    </w:p>
    <w:p>
      <w:pPr>
        <w:spacing w:after="0" w:line="158"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We operate our business through Intuitive Machines OpCo and its subsidiaries. In connection with the consummation of the Transactions, we amended and restated our limited liability company agreement by adopting the A&amp;R Operating Agreement. The A&amp;R Operating Agreement (i) permits the issuance and ownership of the equity of Intuitive Machines OpCo as contemplated by the Business Combination Agreement following the consummation of the Transactions and (ii) admits us as the managing member of Intuitive Machines OpCo. The operations of Intuitive Machines OpCo, and the rights and obligations of the holders of Intuitive Machines OpCo Common Units, are set forth in the A&amp;R Operating Agreement.</w:t>
      </w:r>
    </w:p>
    <w:p>
      <w:pPr>
        <w:spacing w:after="0" w:line="9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Appointment as Managing Member. </w:t>
      </w:r>
      <w:r>
        <w:rPr>
          <w:rFonts w:ascii="Arial" w:cs="Arial" w:eastAsia="Arial" w:hAnsi="Arial"/>
          <w:sz w:val="17"/>
          <w:szCs w:val="17"/>
          <w:color w:val="auto"/>
        </w:rPr>
        <w:t>Under the A&amp;R Operating Agreement, we are a member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member of Intuitive Machines OpCo. As the managing member, we are able to control all of the day-to-day business affairs and decision-making of Intuitive Machines OpCo without the approval of any other member, unless otherwise stated in the A&amp;R Operating Agreement. As such, we, through our officers and directors, are responsible for all operational and administrative decisions of Intuitive Machines OpCo and the day-to-day management of Intuitive Machines OpCo’s business, unless otherwise stated in the A&amp;R Operating Agreement. Pursuant to the terms of the A&amp;R Operating Agreement, we cannot be removed as the managing member of Intuitive Machines OpCo by other members.</w:t>
      </w:r>
    </w:p>
    <w:p>
      <w:pPr>
        <w:spacing w:after="0" w:line="111"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We are not entitled to compensation for our services as managing member. We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by Intuitive Machines OpCo for fees and expenses incurred on behalf of Intuitive Machines OpCo, including all expenses associated with the Transactions and maintaining its corporate existence.</w:t>
      </w:r>
    </w:p>
    <w:p>
      <w:pPr>
        <w:spacing w:after="0" w:line="8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The A&amp;R Operating Agreement provides for (i) a single class of Intuitive Machines OpCo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(ii) a single class of Series A Preferred Units; and (iii) a single class of unvested earn out units of Intuitive Machines OpCo (the “Unvested Earn Out Units”). All Intuitive Machines OpCo Common Units have identical rights and privileges in all respects, all Series A Preferred Units have identical rights and privileges in all respects and all Unvested Earn Out Units have identical rights and privileges in all respects. Each Common Unit entitles the holder to a pro rata share of the net profits and net losses and distributions of Intuitive Machines OpCo.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The A&amp;R Operating Agreement requires “Tax Distributions,” as that term is defined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A&amp;R Operating Agreement, to be made by Intuitive Machines OpCo to us and to its “Members,” as that term is defined in the A&amp;R Operating Agreement. Tax Distributions shall be made quarterly to us and each Member based on their allocable share of the taxable income of Intuitive Machines OpCo and at a tax rate that will be determined by us. The tax rate used to determine tax distributions will apply regardless of the actual final tax liability of any such member. Tax distributions will also be made only to the extent all distributions from Intuitive Machines OpCo for the relevant period were otherwise insufficient to enable each member to cover its tax liabilities as calculated in the manner described above. The A&amp;R Operating Agreement also allows for distributions to be made by Intuitive Machines OpCo to its members on a pro rata basis out of “distributable cash,” which is the amount of cash that may be distributed by Intuitive Machines OpCo to its Members in accordance with existing credit agreements.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i w:val="1"/>
          <w:iCs w:val="1"/>
          <w:color w:val="auto"/>
        </w:rPr>
        <w:t xml:space="preserve">LLC Unit redemption right. </w:t>
      </w:r>
      <w:r>
        <w:rPr>
          <w:rFonts w:ascii="Arial" w:cs="Arial" w:eastAsia="Arial" w:hAnsi="Arial"/>
          <w:sz w:val="16"/>
          <w:szCs w:val="16"/>
          <w:color w:val="auto"/>
        </w:rPr>
        <w:t>The A&amp;R Operating Agreement provides a redemption right to the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and our subsidiaries) and option holders (in connection with the exercise of an Intuitive Machines OpCo Option, as such term is defined in the A&amp;R Operating Agreement), which entitles them to have their Intuitive Machines Opco Common Units redeemed, in whole or in part, at the election of each such person, for newly-issued shares of Class A Common Stock on a one-to-one basis or, to the extent there is cash available from a contemporaneous public offering or private sale of Class A Common Stock by us (in each case, subject to the terms and restrictions set forth in the A&amp;R Operating Agreement). Alternatively, we may instead authorize a cash payment equal to a volume weighted average market prices of one share of Class A Common Stock for each Intuitive Machines Opco Common Unit redeemed (subject to customary adjustments, including for stock splits, stock dividends and similar events affecting the Class A Common Stock). If we decide to make a cash payment, the Member has the option to rescind its redemption request within a specified time period. Upon the exercise of the redemption right, the redeeming member will surrender its Intuitive Machines Opco Common Units for cancellation. The A&amp;R Operating Agreement requires that we contribute cash or shares of Class A Common Stock to Intuitive Machines OpCo in exchange for an amount of Intuitive Machines Opco Common Units that will be issued to us equal to the number of units redeemed from the Member. Intuitive Machines OpCo will then distribute the cash or shares of Class A Common Stock to such Member to complete the redemption. In the event of such election by a Member, we may, at our option, effect a direct exchange of cash or Class A Common Stock for such Intuitive Machines Opco Common Units in lieu of such a redemption. Whether by redemption or exchange, we are obligated to ensure that at all times the number of Intuitive Machines OpCo Common Units that we own equals the number of shares of Class A Common Stock issued by us (subject to certain exceptions for treasury shares and shares underlying certain convertible or exchangeable securities). Shares of Class B Common Stock and Class C Common Stock, as the case may be, will be cancelled on a one-to-one basis if we, at the election of a Member, redeem or exchange units of such Member pursuant to the terms of the A&amp;R Operating Agreement.</w:t>
      </w:r>
    </w:p>
    <w:p>
      <w:pPr>
        <w:spacing w:after="0" w:line="32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Issuance of Equity-based Compensation. </w:t>
      </w:r>
      <w:r>
        <w:rPr>
          <w:rFonts w:ascii="Arial" w:cs="Arial" w:eastAsia="Arial" w:hAnsi="Arial"/>
          <w:sz w:val="17"/>
          <w:szCs w:val="17"/>
          <w:color w:val="auto"/>
        </w:rPr>
        <w:t>We may implement equity compensation plans and any actions taken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such equity compensation plans (such as the grant or exercise of options to acquire shares of Class A Common Stock), whether taken with respect to or by an employee or other service provider of Intuitive Machines, Intuitive Machines OpCo or its subsidiaries, in a manner determined by us, in accordance with the initial implementation guidelines attached to the A&amp;R Operating Agreement, which may be amended from time to time. The Corporation may amend the A&amp;R Operating Agreement (including the initial implementation guidelines attached thereto) as necessary or advisable in its sole discretion in connection with the adoption, implementation, modification or termination of an equity compensation plan. In the event of such an amendment, Intuitive Machines OpCo will provide notice of such amendment to the Members. Intuitive Machines OpCo is expressly authorized to issue units (i) in accordance with the terms of any equity compensation plans or (ii) in an amount equal to the number of shares of Class A Common Stock issued pursuant to any such equity compensation plans, without any further act, approval or vote of any Member or any other persons.</w:t>
      </w:r>
    </w:p>
    <w:p>
      <w:pPr>
        <w:spacing w:after="0" w:line="10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Maintenance of One-to-One Ratios. </w:t>
      </w:r>
      <w:r>
        <w:rPr>
          <w:rFonts w:ascii="Arial" w:cs="Arial" w:eastAsia="Arial" w:hAnsi="Arial"/>
          <w:sz w:val="17"/>
          <w:szCs w:val="17"/>
          <w:color w:val="auto"/>
        </w:rPr>
        <w:t>Our Certificate of Incorporation and the A&amp;R Operating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that we and Intuitive Machines OpCo, respectively, at all times maintain (i) a one-to-one ratio between the number of Intuitive Machines OpCo Common Units owned by us, directly or indirectly, and the number of outstanding shares of Class A Common Stock, (ii) a one-to-one ratio between the number of Intuitive Machines OpCo Common Units owned by each Member (other than us and our subsidiaries), directly or indirectly, and the aggregate number of outstanding shares of Class B Common Stock and Class C Common Stock owned by such Member, (iii) a one-to-one ratio between the number of Series A Preferred Units owned by us, directly or indirectly, and the number of outstanding shares of</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Series A Preferred Stock, (iv) a one-to-one ratio between the number of Warrants owned by us, directly or indirectly, and the number of outstanding Public Warrants and (v) a one-to-one ratio between the number of Preferred Investor Warrants, owned by us, directly or indirectly, and the number of outstanding Preferred Investor Warrants.</w:t>
      </w:r>
    </w:p>
    <w:p>
      <w:pPr>
        <w:spacing w:after="0" w:line="11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A&amp;R Operating Agreement generally does not permit transfers of Intuitive</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OpCo Common Units, Series A Preferred Units and Unvested Earn Out Units by Members, subject to limited exceptions. Any transferee of Intuitive Machines OpCo Common Units, Series A Preferred Units and Unvested Earn Out Units must execute the A&amp;R Operating Agreement and any other agreements executed by the holders of Intuitive Machines OpCo Common Units, Series A Preferred Units and Unvested Earn Out Units and relating to such Intuitive Machines OpCo Common Units, Series A Preferred Units and Unvested Earn Out Units, as applicable, in the aggregate.</w:t>
      </w:r>
    </w:p>
    <w:p>
      <w:pPr>
        <w:spacing w:after="0" w:line="12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i w:val="1"/>
          <w:iCs w:val="1"/>
          <w:color w:val="auto"/>
        </w:rPr>
        <w:t xml:space="preserve">Dissolution. </w:t>
      </w:r>
      <w:r>
        <w:rPr>
          <w:rFonts w:ascii="Arial" w:cs="Arial" w:eastAsia="Arial" w:hAnsi="Arial"/>
          <w:sz w:val="18"/>
          <w:szCs w:val="18"/>
          <w:color w:val="auto"/>
        </w:rPr>
        <w:t>The A&amp;R Operating Agreement provides that our decision with the approval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(including, but not limited to, Intuitive Machines OpCo Common Units, Series A Preferred Units and Unvested Earn Out Units) then outstanding (excluding all units held directly or indirectly by us) will be required to voluntarily dissolve Intuitive Machines OpCo. In addition to a voluntary dissolution, Intuitive Machines OpCo will be dissolved under Section 18-801(4) of the Delaware General Corporate Law (“DGCL”) because all members withdraw/resign (unless Intuitive Machines OpCo is continued without dissolution pursuant thereto) or pursuant to Section 18-802 of the DGCL by operation of law, including entry of a decree of judicial dissolution.</w:t>
      </w:r>
    </w:p>
    <w:p>
      <w:pPr>
        <w:spacing w:after="0" w:line="11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Each Member (other than us) agrees to hold confidential information in confidence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disclose or use such information except as otherwise authorized separately in writing by us. This obligation excludes information that (i) is, or becomes, generally available to the public other than as a direct or indirect result of a disclosure by such Member or its affiliates or representatives; (ii) is, or becomes, available to such Member from a source other than us, Intuitive Machines OpCo or their respective representatives; (iii) is approved for release by written authorization of our chief executive officer, chief financial officer or general counsel or any other officer designated by us; or (iv) is or becomes independently developed by such Member or its respective representatives without use of or reference to the confidential information.</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A&amp;R Operating Agreement provides for indemnification for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expenses, liabilities and losses (including attorneys’ 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A&amp;R Operating Agreement), or a director, manager, officer, employee, advisor, attorney, accountant or other agent or representative of Intuitive Machines OpCo or is or was serving at the request of Intuitive Machines OpCo as a manager, officer, director, principal, member, employee, advisor, attorney, accountant or other agent or representative of another person;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in the A&amp;R Operating Agreement or in other agreements with Intuitive Machines OpCo.</w:t>
      </w:r>
    </w:p>
    <w:p>
      <w:pPr>
        <w:spacing w:after="0" w:line="11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A&amp;R Operating Agreement may be amended or modified (including by means of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or other business combination to which Intuitive Machines OpCo is a party) upon our prior written consent together with the prior written consent of the holders of a majority of the equity interests (including, but not limited to, Intuitive Machines OpCo Common Units, Series A Preferred Units and Unvested Earn Out Units) then outstanding (excluding all units held directly or indirectly by us); provided, that no alteration, modification or amendment shall be effective until written notice has been provided to the Members. Notwithstanding the foregoing, no amendment to any of the terms and conditions of the A&amp;R Operating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A&amp;R Operating Agreement that would (i) reduce the amounts distributable to a Member in a manner that is not pro rata with respect to all Members, (ii) modify the limited liability of any Member or increase the liabilities of such Member hereunder, (iii)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(iv) alter or change any rights, preferences or</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A&amp;R Registration Rights Agreement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 xml:space="preserve">In connection with the consummation of the Transactions, we entered into the A&amp;R Registration Rights Agreement by and among, us, the Sponsor, certain stockholders of Intuitive Machines and the Series A Investors pursuant to which we granted them and their affiliates the right, under certain circumstances and subject to certain restrictions, to require us to register under the Securities Act certain securities held by such holders, including registration of the shares of Class A Common Stock delivered to the Intuitive Machines Members in exchange for Intuitive Machines OpCo Common Units. See, </w:t>
      </w:r>
      <w:r>
        <w:rPr>
          <w:rFonts w:ascii="Arial" w:cs="Arial" w:eastAsia="Arial" w:hAnsi="Arial"/>
          <w:sz w:val="18"/>
          <w:szCs w:val="18"/>
          <w:i w:val="1"/>
          <w:iCs w:val="1"/>
          <w:color w:val="auto"/>
        </w:rPr>
        <w:t>Shares Eligible For Future</w:t>
      </w:r>
      <w:r>
        <w:rPr>
          <w:rFonts w:ascii="Arial" w:cs="Arial" w:eastAsia="Arial" w:hAnsi="Arial"/>
          <w:sz w:val="18"/>
          <w:szCs w:val="18"/>
          <w:color w:val="auto"/>
        </w:rPr>
        <w:t xml:space="preserve"> </w:t>
      </w:r>
      <w:r>
        <w:rPr>
          <w:rFonts w:ascii="Arial" w:cs="Arial" w:eastAsia="Arial" w:hAnsi="Arial"/>
          <w:sz w:val="18"/>
          <w:szCs w:val="18"/>
          <w:i w:val="1"/>
          <w:iCs w:val="1"/>
          <w:color w:val="auto"/>
        </w:rPr>
        <w:t>Sale — Registration Rights</w:t>
      </w:r>
      <w:r>
        <w:rPr>
          <w:rFonts w:ascii="Arial" w:cs="Arial" w:eastAsia="Arial" w:hAnsi="Arial"/>
          <w:sz w:val="18"/>
          <w:szCs w:val="18"/>
          <w:color w:val="auto"/>
        </w:rPr>
        <w: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6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Board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By-Laws provide that we are required to indemnify our directors and officers to the fullest extent permitted by the DGCL. In addition, the Certificate of Incorporation provides that our directors will not be liable for monetary damages for breach of fiduciary duty to the fullest extent permitted by the DGCL.</w:t>
      </w:r>
    </w:p>
    <w:p>
      <w:pPr>
        <w:spacing w:after="0" w:line="9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There is no pending litigation or proceeding naming our directors or officers to which indemnification is being sought, and we are not aware of any pending or threatened litigation that may result in claims for indemnification by any director or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i w:val="1"/>
          <w:iCs w:val="1"/>
          <w:color w:val="auto"/>
        </w:rPr>
        <w:t>The following summary of the material terms of our capital stock is not intended to be a complete summary of the rights and preferences of such securities. The full text of the Certificate of Incorporation and By-Laws are included as exhibits to the registration statement of which this prospectus forms a part. You are encouraged to read the applicable provisions of Delaware law, the Certificate of Incorporation, and the By-Laws in their entirety for a complete description of the rights and preferences of our securities.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Capital Stock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authorizes the issuance of 725,000,000 shares, consisting of:</w:t>
      </w:r>
    </w:p>
    <w:p>
      <w:pPr>
        <w:spacing w:after="0" w:line="158" w:lineRule="exact"/>
        <w:rPr>
          <w:sz w:val="20"/>
          <w:szCs w:val="20"/>
          <w:color w:val="auto"/>
        </w:rPr>
      </w:pPr>
    </w:p>
    <w:p>
      <w:pPr>
        <w:ind w:left="1320" w:hanging="43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$0.0001 per share;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100,000,000 shares of Class B Common Stock, par value $0.0001 per share;</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100,000,000 shares of Class C Common Stock, par value $0.0001 per share (together with the Class A Common Stock and Class B Common Stock, the “Common Stock”);</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25,000,000 shares of preferred stock, par value $0.0001 per share (the “Preferred Stock”).</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Except as otherwise required by the Certificate of Incorporation, the holders of shares of Class A Common Stock, Class B Common Stock and Class C Common Stock shall vote together as a single class (or, if any holders of shares of Preferred Stock are entitled to vote together with the holders of Class A Common Stock, Class B Common Stock and Class C Common Stock, as a single class with such holders of Preferred Stock) on all matters submitted to a vote of our stockholders.</w:t>
      </w:r>
    </w:p>
    <w:p>
      <w:pPr>
        <w:spacing w:after="0" w:line="12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Certain provisions of the Certificate of Incorporation and By-Laws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Class A Common Stock is entitled to one vote for each share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held of record in person or by proxy on all matters submitted to a vote of the holders of Class A Common Stock, whether voting separately as a class or otherwise.</w:t>
      </w:r>
    </w:p>
    <w:p>
      <w:pPr>
        <w:spacing w:after="0" w:line="10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Dividend rights. </w:t>
      </w:r>
      <w:r>
        <w:rPr>
          <w:rFonts w:ascii="Arial" w:cs="Arial" w:eastAsia="Arial" w:hAnsi="Arial"/>
          <w:sz w:val="18"/>
          <w:szCs w:val="18"/>
          <w:color w:val="auto"/>
        </w:rPr>
        <w:t>Subject to applicable law and the rights and preferences of any holders of any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w:t>
      </w:r>
    </w:p>
    <w:p>
      <w:pPr>
        <w:spacing w:after="0" w:line="12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payment of future dividends on the shares of Class A Common Stock will depend on our financial condition, and subject to the discretion of the Board. There can be no guarantee that cash dividends will be declared. Our ability to declare dividends may be limited by the terms and conditions of other financing and other agreements entered into by us or any of our subsidiaries from time to time.</w:t>
      </w:r>
    </w:p>
    <w:p>
      <w:pPr>
        <w:spacing w:after="0" w:line="11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Rights upon liquidation. </w:t>
      </w:r>
      <w:r>
        <w:rPr>
          <w:rFonts w:ascii="Arial" w:cs="Arial" w:eastAsia="Arial" w:hAnsi="Arial"/>
          <w:sz w:val="18"/>
          <w:szCs w:val="18"/>
          <w:color w:val="auto"/>
        </w:rPr>
        <w:t>In the event of liquidation, dissolution or winding up of the affairs of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Machines, whether voluntary or involuntary, after payment or provision for payment of the debts and other liabilities of Intuitive Machines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Intuitive Machines available for distribution shall be divided among and paid ratably to the holders of all outstanding shares of our Common Stock in proportion to the number of shares held by each such stockholder.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 xml:space="preserve">Other rights. </w:t>
      </w:r>
      <w:r>
        <w:rPr>
          <w:rFonts w:ascii="Arial" w:cs="Arial" w:eastAsia="Arial" w:hAnsi="Arial"/>
          <w:sz w:val="17"/>
          <w:szCs w:val="17"/>
          <w:color w:val="auto"/>
        </w:rPr>
        <w:t>The holders of Class A Common Stock have no pre-emptive or conversion rights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rights. There are no redemption or sinking fund provisions applicable to the Class A Common Stock. The rights, preferences and privileges of holders of the Class A Common Stock are subject to those of the holders of any shares of the Preferred Stock that we may issue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Class B Common Stock is entitled to one vote for each share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held of record in person or by proxy on all matters submitted to a vote of the holders of Class B Common Stock, whether voting separately as a class or otherwise.</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 xml:space="preserve">Dividend rights. </w:t>
      </w:r>
      <w:r>
        <w:rPr>
          <w:rFonts w:ascii="Arial" w:cs="Arial" w:eastAsia="Arial" w:hAnsi="Arial"/>
          <w:sz w:val="18"/>
          <w:szCs w:val="18"/>
          <w:color w:val="auto"/>
        </w:rPr>
        <w:t>Other than in connection with a dividend declared by the Board in connection with a “poison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106"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 xml:space="preserve">Rights upon liquidation. </w:t>
      </w:r>
      <w:r>
        <w:rPr>
          <w:rFonts w:ascii="Arial" w:cs="Arial" w:eastAsia="Arial" w:hAnsi="Arial"/>
          <w:sz w:val="17"/>
          <w:szCs w:val="17"/>
          <w:color w:val="auto"/>
        </w:rPr>
        <w:t>Each holder of shares of Class B Common Stock shall be entitled to receive $0.0001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share of Class B Common Stock owned of record by such holder on the record date for such distribution, and upon receiving such amount, the holders of shares of Class B Common Stock, in their capacity as such, shall not be entitled to receive any other assets or funds of ours.</w:t>
      </w:r>
    </w:p>
    <w:p>
      <w:pPr>
        <w:spacing w:after="0" w:line="10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i w:val="1"/>
          <w:iCs w:val="1"/>
          <w:color w:val="auto"/>
        </w:rPr>
        <w:t xml:space="preserve">Permitted Ownership. </w:t>
      </w:r>
      <w:r>
        <w:rPr>
          <w:rFonts w:ascii="Arial" w:cs="Arial" w:eastAsia="Arial" w:hAnsi="Arial"/>
          <w:sz w:val="17"/>
          <w:szCs w:val="17"/>
          <w:color w:val="auto"/>
        </w:rPr>
        <w:t>Shares of Class B Common Stock may be issued only to, and registered only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 of, the Intuitive Machines Members, their respective successors and assigns and their respective permitted transferees (the Intuitive Machines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Intuitive Machines OpCo Common Units held of record at such time by such Permitted Class B Owner under the A&amp;R Operating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Class C Common Stock is entitled to three votes for each share of Class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held of record in person or by proxy on all matters submitted to a vote of the holders of Class C Common Stock, whether voting separately as a class or otherwise.</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 xml:space="preserve">Dividend rights. </w:t>
      </w:r>
      <w:r>
        <w:rPr>
          <w:rFonts w:ascii="Arial" w:cs="Arial" w:eastAsia="Arial" w:hAnsi="Arial"/>
          <w:sz w:val="18"/>
          <w:szCs w:val="18"/>
          <w:color w:val="auto"/>
        </w:rPr>
        <w:t>Other than in connection with a dividend declared by the Board in connection with a “poison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pill” or similar stockholder rights plan, dividends shall not be declared or paid on the Class C Common Stock and the holders of shares of Class C Common Stock shall have no right to receive dividends in respect of such shares of Class C Common Stock.</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 xml:space="preserve">Rights upon liquidation. </w:t>
      </w:r>
      <w:r>
        <w:rPr>
          <w:rFonts w:ascii="Arial" w:cs="Arial" w:eastAsia="Arial" w:hAnsi="Arial"/>
          <w:sz w:val="17"/>
          <w:szCs w:val="17"/>
          <w:color w:val="auto"/>
        </w:rPr>
        <w:t>Each holder of shares of Class C Common Stock shall be entitled to receive $0.0001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share of Class C Common Stock owned of record by such holder on the record date for such distribution, and upon receiving such amount, the holders of shares of Class C Common Stock, in their capacity as such, shall not be entitled to receive any other assets or funds of ours.</w:t>
      </w:r>
    </w:p>
    <w:p>
      <w:pPr>
        <w:spacing w:after="0" w:line="10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Permitted Ownership. </w:t>
      </w:r>
      <w:r>
        <w:rPr>
          <w:rFonts w:ascii="Arial" w:cs="Arial" w:eastAsia="Arial" w:hAnsi="Arial"/>
          <w:sz w:val="18"/>
          <w:szCs w:val="18"/>
          <w:color w:val="auto"/>
        </w:rPr>
        <w:t>Shares of Class C Common Stock may be issued only to, and registered only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of, our Founders, their respective successors and assigns and their respective permitted transferees (our Founders, together with all such subsequent successors, assigns and permitted transferees, collectively, the “Permitted Class C Owners”), and the aggregate number of shares of Class C Common Stock at any time registered in the name of each such Permitted Class C Owner must be equal to the aggregate number of Intuitive Machines OpCo Common Units held of record at such time by such Permitted Class C Owner under the A&amp;R Operating Agreement.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Class B Common Stock and Class C Common Stock</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Conversion upon transfer. </w:t>
      </w:r>
      <w:r>
        <w:rPr>
          <w:rFonts w:ascii="Arial" w:cs="Arial" w:eastAsia="Arial" w:hAnsi="Arial"/>
          <w:sz w:val="18"/>
          <w:szCs w:val="18"/>
          <w:color w:val="auto"/>
        </w:rPr>
        <w:t>A holder of Class B Common Stock or Class C Common Stock may surrender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B Common Stock or Class C Common Stock to us for cancellation for no consideration at any time. Following the surrender or other acquisition of any shares of Class B Common Stock or Class C Common Stock to or by us, we will take all actions necessary to cancel and retire such shares and such shares shall not be re-issued by 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holder of Class B Common Stock or Class C Common Stock may transfer or assign shares of Class B Common Stock or Class C Common Stock (or any legal or beneficial interest in such shares) (directly or indirectly, including by operation of law) only to a permitted transferee of such holder or to a non-permitted transferee with our approval in advance and in writing, and only if such holder also simultaneously transfers, in each case, an equal number of such holder’s Intuitive Machines OpCo Common Units to such permitted transferee or such non-permitted transferee, as applicable, in compliance with the A&amp;R Operating Agreement.</w:t>
      </w:r>
    </w:p>
    <w:p>
      <w:pPr>
        <w:spacing w:after="0" w:line="9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Board (including a majority of the directors who are disinterested with respect to the relevant transaction serving on the Board at such time) may, to the extent permitted by law, from time to time establish, modify, amend or rescind, by bylaw or otherwise, regulations and procedures not inconsistent with the provisions described herein for determining whether any transfer or acquisition of shares of Class B Common Stock or Class C Common Stock would violate the restrictions described herein and for the orderly application, administration and implementation of the provisions of the Certificate of Incorporation.</w:t>
      </w:r>
    </w:p>
    <w:p>
      <w:pPr>
        <w:spacing w:after="0" w:line="110"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 xml:space="preserve">Voluntary Conversion. </w:t>
      </w:r>
      <w:r>
        <w:rPr>
          <w:rFonts w:ascii="Arial" w:cs="Arial" w:eastAsia="Arial" w:hAnsi="Arial"/>
          <w:sz w:val="17"/>
          <w:szCs w:val="17"/>
          <w:color w:val="auto"/>
        </w:rPr>
        <w:t>Each one share of Class C Common Stock shall be convertible into one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B Common Stock at the option of the holder thereof at any time upon written notice to our transfer agent. Shares of Class C Common Stock that are converted into shares of Class B Common Stock as provided in the Certificate of Incorporation shall be retired and may not be reissued.</w:t>
      </w:r>
    </w:p>
    <w:p>
      <w:pPr>
        <w:spacing w:after="0" w:line="9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i w:val="1"/>
          <w:iCs w:val="1"/>
          <w:color w:val="auto"/>
        </w:rPr>
        <w:t xml:space="preserve">Automatic Conversion. </w:t>
      </w:r>
      <w:r>
        <w:rPr>
          <w:rFonts w:ascii="Arial" w:cs="Arial" w:eastAsia="Arial" w:hAnsi="Arial"/>
          <w:sz w:val="16"/>
          <w:szCs w:val="16"/>
          <w:color w:val="auto"/>
        </w:rPr>
        <w:t>On the earliest to occur of: (i) the date that is seven (7) years from the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of Incorporation and (ii) the first date on which the Permitted Class C Owners cease to own, in the aggregate, at least 33.0% of the number of shares of Class C Common Stock issued and held by the Permitted Class C Owners immediately following the closing of the Transactions (adjusted as appropriate to reflect any stock splits, reverse stock splits, stock dividends (including any dividend or distribution of securities convertible into Common Stock), reorganization, recapitalization, reclassification, combination, exchange of shares or other like change or transaction) (such date, the “Automatic Conversion Date”), each outstanding share of Class C Common Stock shall automatically, without any further action by us or any stockholder, convert into one fully paid and nonassessable share of Class B Common Stock. Following such conversion, the reissuance of such shares of Class C Common Stock shall be prohibited, and such shares of Class C Common Stock shall be retired and cancelled in accordance with the applicable provisions of the applicable law.</w:t>
      </w:r>
    </w:p>
    <w:p>
      <w:pPr>
        <w:spacing w:after="0" w:line="10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b w:val="1"/>
          <w:bCs w:val="1"/>
          <w:i w:val="1"/>
          <w:iCs w:val="1"/>
          <w:color w:val="auto"/>
        </w:rPr>
        <w:t xml:space="preserve">Conversion to Class A Common Stock. </w:t>
      </w:r>
      <w:r>
        <w:rPr>
          <w:rFonts w:ascii="Arial" w:cs="Arial" w:eastAsia="Arial" w:hAnsi="Arial"/>
          <w:sz w:val="16"/>
          <w:szCs w:val="16"/>
          <w:color w:val="auto"/>
        </w:rPr>
        <w:t>After the expiration of the Lock-Up Period, holders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Intuitive Machines OpCo Common Units will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our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total of our authorized shares of Preferred Stock is 25,000,000 shares. We currently have 26,000 shares of Series A Preferred Stock issued and outstanding.</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Certificate of Incorporation authorizes the Board to establish one or more series of Preferred Stock. Unless required by law or any stock exchange, the authorized shares of Preferred Stock are available for issuance without further action by the holders of Common Stock.</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Intuitive Machines without further action by the stockholders.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Series A Preferred Stock pays dividends, semi-annually at the rate of 10% of the original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share, plus the amount of previously accrued, but unpaid dividends, compounded semi-annually, and participates with our Common Stock on all other dividends. Accrued dividends may be paid (i) in cash,</w:t>
      </w:r>
    </w:p>
    <w:p>
      <w:pPr>
        <w:ind w:left="460" w:right="479" w:hanging="6"/>
        <w:spacing w:after="0" w:line="260" w:lineRule="auto"/>
        <w:tabs>
          <w:tab w:leader="none" w:pos="7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satisfaction of certain equity conditions, in shares of Class A Common Stock or (iii) accumulated, compounded and added to the liquidation preference described below.</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Upon any liquidation or deemed liquidation event, the holders of Series A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will be entitled to receive 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Series A Preferred Stock been converted into Class A Common Stock immediately prior to the liquidation event.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 xml:space="preserve">Voting: </w:t>
      </w:r>
      <w:r>
        <w:rPr>
          <w:rFonts w:ascii="Arial" w:cs="Arial" w:eastAsia="Arial" w:hAnsi="Arial"/>
          <w:sz w:val="17"/>
          <w:szCs w:val="17"/>
          <w:color w:val="auto"/>
        </w:rPr>
        <w:t>The Series A Preferred Stock votes together with our Common Stock on an as-converted basis,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required by law and (ii) as noted below under “</w:t>
      </w:r>
      <w:r>
        <w:rPr>
          <w:rFonts w:ascii="Arial" w:cs="Arial" w:eastAsia="Arial" w:hAnsi="Arial"/>
          <w:sz w:val="17"/>
          <w:szCs w:val="17"/>
          <w:i w:val="1"/>
          <w:iCs w:val="1"/>
          <w:color w:val="auto"/>
        </w:rPr>
        <w:t>Protective Provisions</w:t>
      </w:r>
      <w:r>
        <w:rPr>
          <w:rFonts w:ascii="Arial" w:cs="Arial" w:eastAsia="Arial" w:hAnsi="Arial"/>
          <w:sz w:val="17"/>
          <w:szCs w:val="17"/>
          <w:color w:val="auto"/>
        </w:rPr>
        <w:t>.” Each holder of Series A Preferred Stock shall be entitled to cast the number of votes equal to the number of whole shares of Class A Common Stock into which the shares of Series A Preferred Stock held by such holder are convertible as of the record date for determining stockholders entitled to vote on such matter.</w:t>
      </w:r>
    </w:p>
    <w:p>
      <w:pPr>
        <w:spacing w:after="0" w:line="95"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b w:val="1"/>
          <w:bCs w:val="1"/>
          <w:i w:val="1"/>
          <w:iCs w:val="1"/>
          <w:color w:val="auto"/>
        </w:rPr>
        <w:t xml:space="preserve">Protective Provisions: </w:t>
      </w:r>
      <w:r>
        <w:rPr>
          <w:rFonts w:ascii="Arial" w:cs="Arial" w:eastAsia="Arial" w:hAnsi="Arial"/>
          <w:sz w:val="16"/>
          <w:szCs w:val="16"/>
          <w:color w:val="auto"/>
        </w:rPr>
        <w:t>For as long as 25% of the shares of Series A Preferred Stock issued as of the Closing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outstanding, we shall not, without the affirmative vote or action by written consent of holders of more than 50% of the issued and outstanding shares of Series A Preferred Stock (the “Requisite Holders”), take any of the following actions: (i) liquidate, dissolve or wind up the affairs of Intuitive Machines; (ii) amend, alter, or repeal any provision of the Certificate of Incorporation, By-Laws or any similar document of Intuitive Machines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Series A Preferred Stock; provided, that Intuitive Machines shall be permitted to issue up to $50.0 million in equity securities without the consent of the Requisite Holders; (iv) purchase or redeem or pay any cash dividend on any capital stock prior to the Series A Preferred Stock, other than stock repurchased at cost from former employees and consultants in connection with the cessation of their service; or (v) incur or guarantee any indebtedness, if the aggregate indebtedness of Intuitive Machines and its subsidiaries for borrowed money following such action would exceed $100,000,000; provided, however, that the Series A Preferred Stock shall not be considered indebtedness for purposes of this calculation (irrespective of the accounting treatment that the Series A Preferred Stock receives under Intuitive Machines’ financial statements).</w:t>
      </w:r>
    </w:p>
    <w:p>
      <w:pPr>
        <w:spacing w:after="0" w:line="10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Each share of Series A Preferred Stock will be convertible at the holder’s option into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Common Stock at an initial conversion ratio determined by dividing the Accrued Value (as defined in the Certificate of Designation) of such shares of Series A Preferred Stock by the conversion price of $12.00 per share subject to adjustment in accordance with the terms of the Certificate of Designation.</w:t>
      </w:r>
    </w:p>
    <w:p>
      <w:pPr>
        <w:spacing w:after="0" w:line="104"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b w:val="1"/>
          <w:bCs w:val="1"/>
          <w:i w:val="1"/>
          <w:iCs w:val="1"/>
          <w:color w:val="auto"/>
        </w:rPr>
        <w:t xml:space="preserve">Put Rights: </w:t>
      </w:r>
      <w:r>
        <w:rPr>
          <w:rFonts w:ascii="Arial" w:cs="Arial" w:eastAsia="Arial" w:hAnsi="Arial"/>
          <w:sz w:val="18"/>
          <w:szCs w:val="18"/>
          <w:color w:val="auto"/>
        </w:rPr>
        <w:t>Unless prohibited by applicable law governing distributions to stockholders, the Series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shall be redeemable at the option of the Requisite Holders commencing any time after the 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year anniversary of the Closing at a price equal to the 100% of the sum of (i) original purchase price plus (ii) all accrued/declared but unpaid dividends.</w:t>
      </w:r>
    </w:p>
    <w:p>
      <w:pPr>
        <w:spacing w:after="0" w:line="113" w:lineRule="exact"/>
        <w:rPr>
          <w:sz w:val="20"/>
          <w:szCs w:val="20"/>
          <w:color w:val="auto"/>
        </w:rPr>
      </w:pPr>
    </w:p>
    <w:p>
      <w:pPr>
        <w:jc w:val="both"/>
        <w:ind w:left="460" w:right="459"/>
        <w:spacing w:after="0" w:line="237" w:lineRule="auto"/>
        <w:rPr>
          <w:sz w:val="20"/>
          <w:szCs w:val="20"/>
          <w:color w:val="auto"/>
        </w:rPr>
      </w:pPr>
      <w:r>
        <w:rPr>
          <w:rFonts w:ascii="Arial" w:cs="Arial" w:eastAsia="Arial" w:hAnsi="Arial"/>
          <w:sz w:val="18"/>
          <w:szCs w:val="18"/>
          <w:b w:val="1"/>
          <w:bCs w:val="1"/>
          <w:i w:val="1"/>
          <w:iCs w:val="1"/>
          <w:color w:val="auto"/>
        </w:rPr>
        <w:t xml:space="preserve">Call Rights: </w:t>
      </w:r>
      <w:r>
        <w:rPr>
          <w:rFonts w:ascii="Arial" w:cs="Arial" w:eastAsia="Arial" w:hAnsi="Arial"/>
          <w:sz w:val="18"/>
          <w:szCs w:val="18"/>
          <w:color w:val="auto"/>
        </w:rPr>
        <w:t>Unless prohibited by applicable law governing distributions to stockholders, the Series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shall be redeemable at our option commencing any time (A) after the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year anniversary of the Closing at a price equal to the 115% of the Accrued Value, (B) after the 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anniversary of the Closing at a price equal to the 110% of the Accrued Value and (C) after the 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anniversary of the Closing at a price equal to the 100% of the Accrued Value.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As a result of and upon the effective time of the Domestication, amongst other things (a) each IPAX warrant was automatically converted into a redeemable Warrant on the same terms as the IPAX warrants, and (b) each unit of IPAX (the “IPAX unit”) issued and outstanding as of immediately prior to the Domestication was automatically canceled and each holder received one share of Class A Common Stock and one-half of one Warrant. No fractional Warrants were issued upon separation of the IPAX units.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Each whole Warrant received upon conversion of a Public Warrant entitles the registered holder to purchase one share of Class A Common Stock at a price of $11.50 per share, subject to adjustment as discussed below, at any time commencing 30 days after the Closing Date, provided that we have an effective registration statement under the Securities Act covering the shares of Class A Common Stock issuable upon exercise of such Warrants and a current prospectus relating to them is available (or we permit holders to exercise such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were issued upon separation of the IPAX Units and only whole Warrants trade. The Warrants will expire on February 13, 2028, at 5:00 p.m., New York City time, or earlier upon redemption or liquidation.</w:t>
      </w:r>
    </w:p>
    <w:p>
      <w:pPr>
        <w:spacing w:after="0" w:line="11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obligated to deliver any shares of Class A Common Stock pursuant to the exercise of a Warrant issued upon conversion of a Public Warrant and have no obligation to settle such Warrant exercise unless a registration statement under the Securities Act with respect to the shares of Class A Common Stock underlying such Warrants is then effective and a prospectus relating thereto is current, subject to us satisfying our obligations described below with respect to registration. No Warrant issued upon conversion of a Public Warrant is exercisable and we are not obligated to issue a share of Class A Common Stock upon exercise of such Warrant unless the share of Class A Common Stock issuable upon exercise of such Warrant has been registered, qualified or deemed to be exempt under the securities laws of the state of residence of the registered holder of such Warrant. In the event that the conditions in the two immediately preceding sentences are not satisfied with respect to a Warrant issued upon conversion of a Public Warrant, the holder of such Warrant is not entitled to exercise such Warrant and such Warrant may have no value and expire worthless. In no event are we required to net cash settle any Warrant. In the event that a registration statement is not effective for the shares of Class A Common Stock underlying the exercised Warrants, the purchaser of an IPAX unit containing the Public Warrant that has been converted into a Warrant will have paid the full purchase price for the IPAX unit solely for the Public Share underlying such IPAX unit.</w:t>
      </w:r>
    </w:p>
    <w:p>
      <w:pPr>
        <w:spacing w:after="0" w:line="100"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We have agreed that as soon as practicable, but in no event later than 30 business days after the closing of the Transactions, we will use commercially reasonable efforts to file with the SEC a registration statement for the registration, under the Securities Act, of the shares of our Class A Common Stock issuable upon exercise of the Warrants and thereafter,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18"/>
          <w:szCs w:val="18"/>
          <w:color w:val="auto"/>
          <w:vertAlign w:val="superscript"/>
        </w:rPr>
        <w:t>th</w:t>
      </w:r>
      <w:r>
        <w:rPr>
          <w:rFonts w:ascii="Arial" w:cs="Arial" w:eastAsia="Arial" w:hAnsi="Arial"/>
          <w:sz w:val="16"/>
          <w:szCs w:val="16"/>
          <w:color w:val="auto"/>
        </w:rPr>
        <w:t>) business day after the closing of the Transactions, Warrant holders may, until such time as there is an effective registration statement and during any period when we have failed to maintain an effective registration statement, exercise Warrants on a “cashless basis” in accordance with Section 3(a)(9) of the Securities Act or another exemption. Notwithstanding the above, if the Class A Common Stock is at the time of any exercise of a Warrant not listed on a national securities exchange such that they satisfy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and in the event we do not so elect, we must use our best efforts to register or qualify the shares of Class A Common Stock under applicable blue sky laws to the extent an exemption is not available.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less the exercise price of such Warrants by (y) the fair market value. The “</w:t>
      </w:r>
      <w:r>
        <w:rPr>
          <w:rFonts w:ascii="Arial" w:cs="Arial" w:eastAsia="Arial" w:hAnsi="Arial"/>
          <w:sz w:val="16"/>
          <w:szCs w:val="16"/>
          <w:b w:val="1"/>
          <w:bCs w:val="1"/>
          <w:color w:val="auto"/>
        </w:rPr>
        <w:t>fair market value</w:t>
      </w:r>
      <w:r>
        <w:rPr>
          <w:rFonts w:ascii="Arial" w:cs="Arial" w:eastAsia="Arial" w:hAnsi="Arial"/>
          <w:sz w:val="16"/>
          <w:szCs w:val="16"/>
          <w:color w:val="auto"/>
        </w:rPr>
        <w:t>” as used in this paragraph means the volume weighted average price of the Class A Common Stock for the 10 trading days ending on the trading day prior to the date on which the notice of exercise is received by the warrant agent.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Redemption of Warrants when the price per share of Class A Common Stock equals or exceeds $18.00.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158" w:lineRule="exact"/>
        <w:rPr>
          <w:sz w:val="20"/>
          <w:szCs w:val="20"/>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and</w:t>
      </w:r>
    </w:p>
    <w:p>
      <w:pPr>
        <w:spacing w:after="0" w:line="102" w:lineRule="exact"/>
        <w:rPr>
          <w:rFonts w:ascii="Arial" w:cs="Arial" w:eastAsia="Arial" w:hAnsi="Arial"/>
          <w:sz w:val="18"/>
          <w:szCs w:val="18"/>
          <w:color w:val="auto"/>
        </w:rPr>
      </w:pPr>
    </w:p>
    <w:p>
      <w:pPr>
        <w:jc w:val="both"/>
        <w:ind w:left="1320" w:right="459" w:hanging="434"/>
        <w:spacing w:after="0" w:line="257"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Anti-dilution Adjustments”) for any 20 trading days within a 30-trading day period ending three business days before we send the notice of redemption to the warrant holders.</w:t>
      </w:r>
    </w:p>
    <w:p>
      <w:pPr>
        <w:spacing w:after="0" w:line="12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6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foregoing conditions are satisfied and we issue a notice of redemption of the Warrants, each Warrant holder will be entitled to exercise his, her or its Warrant prior to the scheduled redemption date. However, the price of the Class A Common Stock may fall below the $18.00 per share redemption trigger price (as adjusted for stock dividends, split-ups, reorganizations, recapitalizations and the like) as well as the $11.50 Warrant exercise price after the redemption notice is issued.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9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addition, if we, at any time while the Warrants are outstanding and unexpired, pays a dividend or makes a distribution in cash, securities or other assets to all or substantially all the holders of shares of Class A Common Stock on account of such shares of Class A Common Stock (or other securities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25"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Intuitive Machines with or into another corporation (other than a consolidation or merger in which Intuitive Machines is the continuing corporation and that does not result in any reclassification or reorganization of its issued and outstanding shares of Class A Common Stock), or in the case of any sale or conveyance to another corporation or entity of the assets or other property of Intuitive Machines as an entirety or substantially as an entirety in connection with which Intuitive Machines is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3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Public Warrants are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a majority of then-outstanding Public Warrants to make any change that adversely affects the interests of the registered holders of such Public Warrants.</w:t>
      </w:r>
    </w:p>
    <w:p>
      <w:pPr>
        <w:spacing w:after="0" w:line="12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Continental Stock Transfer &amp; Trust Company,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common stock and any voting rights until they exercise their Public Warrants and receive shares of our Class A Common Stock. After the issuance of shares of our Class A Common Stock upon exercise of the Public Warrants, each holder will be entitled to one vote for each share held of record on all matters to be voted on by stockholders.</w:t>
      </w:r>
    </w:p>
    <w:p>
      <w:pPr>
        <w:spacing w:after="0" w:line="98"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Warrants received upon conversion of the Private Placement Warrants (including the shares of Class A Common Stock issuable upon exercise of such Warrants) will not be transferable, assignable or saleable until 30 days after the Closing Date (except, among other limited exceptions, to IPAX’s officers and directors and other persons or entities affiliated with the Sponsor). Except as described herein, the Warrants received upon conversion of the Private Placement Warrants have terms and provisions that are identical to those of the Warrants received upon conversion of the Public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Investor Warrants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Preferred Investor Warrants were immediately exercisable upon issuance at the consummation of the Transactions and expire on February 13, 2028 at 5:00 p.m., New York City time (the “PIW Termination Date”). The Preferred Investor Warrants include customary cash and cashless exercise provisions. Each Preferred Investor Warrant is initially exercisable at $15.00 per share of Class A Common Stock, subject to certain adjustments including those resulting from (i) stock dividends and splits, (ii) subsequent rights offerings,</w:t>
      </w:r>
    </w:p>
    <w:p>
      <w:pPr>
        <w:spacing w:after="0" w:line="2" w:lineRule="exact"/>
        <w:rPr>
          <w:sz w:val="20"/>
          <w:szCs w:val="20"/>
          <w:color w:val="auto"/>
        </w:rPr>
      </w:pPr>
    </w:p>
    <w:p>
      <w:pPr>
        <w:jc w:val="both"/>
        <w:ind w:left="460" w:right="459" w:hanging="6"/>
        <w:spacing w:after="0" w:line="253" w:lineRule="auto"/>
        <w:tabs>
          <w:tab w:leader="none" w:pos="7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pro-rata distributions, (iv) fundamental transactions, (v) certain voluntary adjustments and (vi) issuances or deemed issuances of shares of Class A Common Stock at a price below the exercise price then in effect, subject in the case of adjustments described in this clause (vi), to an exercise price floor of $11.50, in each case, in accordance with the terms of the Preferred Investor Warrants.</w:t>
      </w:r>
    </w:p>
    <w:p>
      <w:pPr>
        <w:spacing w:after="0" w:line="12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Preferred Investor Warrants do not include any redemption features. The Preferred Investor Warrants may be exercised on a cashless basis if, at any time after the six-month anniversary of the Closing Date, there is not an effective registration statement with respect to the shares of Class A Common Stock Preferred Investor Warrants. On the PIW Termination Date, the Preferred Investor Warrants will be automatically exercised on a cashless basis. To exercise on a cashless basis, the holder of the Preferred Investor Warrant would pay the exercise price by surrendering the Preferred Investor Warrant (or part thereof) for that number of shares of Class A Common Stock equal to the quotient obtained by dividing (x) the product of the number of shares of Class A Common Stock underlying the Preferred Investor Warrant, multiplied by the excess of the daily volume weighted average price of the Class A Common Stock on the date specified by the Preferred Investor Warrant less the exercise price of such Preferred Investor Warrant by (y) the daily volume weighted average price of the Class A Common Stock on the date specified by the Preferred Investor Warrant.</w:t>
      </w:r>
    </w:p>
    <w:p>
      <w:pPr>
        <w:spacing w:after="0" w:line="9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holders of Preferred Investor Warrants do not have the rights or privileges of holders of shares of Class A Common Stock or any voting rights in respect of the Preferred Investor Warrants or underlying shares of Class A Common Stock until they exercise their Preferred Investor Warrants and receive shares of Class A Common Stock. After the issuance of shares of Class A Common Stock upon exercise of the Preferred Investor Warrants, each holder will be entitled to one vote for each share of Class A Common Stock held of record on all matters to be voted on by stockholders.</w:t>
      </w:r>
    </w:p>
    <w:p>
      <w:pPr>
        <w:spacing w:after="0" w:line="188"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Anti-Takeover Effects of the Certificate of Incorporation, the By-Laws and Certain Provisions of Delaware Law</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provisions of the Certificate of Incorporation, the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11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Certificate of Incorporation and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such board of directors.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include:</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Authorized but Unissued Capital Stock. </w:t>
      </w:r>
      <w:r>
        <w:rPr>
          <w:rFonts w:ascii="Arial" w:cs="Arial" w:eastAsia="Arial" w:hAnsi="Arial"/>
          <w:sz w:val="18"/>
          <w:szCs w:val="18"/>
          <w:color w:val="auto"/>
        </w:rPr>
        <w:t>Our authorized but unissued shares of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7" w:lineRule="auto"/>
        <w:tabs>
          <w:tab w:leader="none" w:pos="1315"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Director Designees; Classes of Directors.</w:t>
      </w:r>
      <w:r>
        <w:rPr>
          <w:rFonts w:ascii="Arial" w:cs="Arial" w:eastAsia="Arial" w:hAnsi="Arial"/>
          <w:sz w:val="18"/>
          <w:szCs w:val="18"/>
          <w:color w:val="auto"/>
        </w:rPr>
        <w:t>Pursuant to the Certificate of Incorporation, our directors are divided into three 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120" w:lineRule="exact"/>
        <w:rPr>
          <w:rFonts w:ascii="Arial" w:cs="Arial" w:eastAsia="Arial" w:hAnsi="Arial"/>
          <w:sz w:val="18"/>
          <w:szCs w:val="18"/>
          <w:i w:val="1"/>
          <w:iCs w:val="1"/>
          <w:color w:val="auto"/>
        </w:rPr>
      </w:pPr>
    </w:p>
    <w:p>
      <w:pPr>
        <w:jc w:val="both"/>
        <w:ind w:left="1320" w:right="459" w:hanging="434"/>
        <w:spacing w:after="0" w:line="255"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for Directors. </w:t>
      </w:r>
      <w:r>
        <w:rPr>
          <w:rFonts w:ascii="Arial" w:cs="Arial" w:eastAsia="Arial" w:hAnsi="Arial"/>
          <w:sz w:val="18"/>
          <w:szCs w:val="18"/>
          <w:color w:val="auto"/>
        </w:rPr>
        <w:t>The DGCL provides that stockholders are not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cumulate votes in the election of directors unless a corporation’s certificate of incorporation provides otherwise. The Certificate of Incorporation does not provide for cumulative voting. As a result, the holders of shares of Common Stock representing a majority of the voting power of all of the outstanding shares of our capital stock of are able to elect all of the directors then standing for election.</w:t>
      </w:r>
    </w:p>
    <w:p>
      <w:pPr>
        <w:spacing w:after="0" w:line="12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The By-Laws provide that at any meeting of the Board , a majority of the total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then in office constitutes a quorum for the transaction of business.</w:t>
      </w:r>
    </w:p>
    <w:p>
      <w:pPr>
        <w:spacing w:after="0" w:line="89" w:lineRule="exact"/>
        <w:rPr>
          <w:rFonts w:ascii="Arial" w:cs="Arial" w:eastAsia="Arial" w:hAnsi="Arial"/>
          <w:sz w:val="18"/>
          <w:szCs w:val="18"/>
          <w:color w:val="auto"/>
        </w:rPr>
      </w:pPr>
    </w:p>
    <w:p>
      <w:pPr>
        <w:jc w:val="both"/>
        <w:ind w:left="1320" w:right="459" w:hanging="434"/>
        <w:spacing w:after="0" w:line="285" w:lineRule="auto"/>
        <w:tabs>
          <w:tab w:leader="none" w:pos="1315"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Action by Written Consent. </w:t>
      </w:r>
      <w:r>
        <w:rPr>
          <w:rFonts w:ascii="Arial" w:cs="Arial" w:eastAsia="Arial" w:hAnsi="Arial"/>
          <w:sz w:val="16"/>
          <w:szCs w:val="16"/>
          <w:color w:val="auto"/>
        </w:rPr>
        <w:t>The Certificate of Incorporation provides that, for so long as we</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a controlled company (as defined in Nasdaq Listing Rule 5615(c)(1)), any action required or permitted to be taken by our stockholders may be effected by the consent in writing of the holders of our outstanding capital stock having not less than the minimum number of votes that would be necessary to authorize or take such action at a meeting at which all shares entitled to vote thereon were present and voted. From and after the date that we cease to qualify as a controlled company, any action required or permitted to be taken by our stockholders must be effected at a duly called annual or special meeting of our stockholders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us in accordance with the applicable provisions of the DGCL.</w:t>
      </w:r>
    </w:p>
    <w:p>
      <w:pPr>
        <w:spacing w:after="0" w:line="106" w:lineRule="exact"/>
        <w:rPr>
          <w:rFonts w:ascii="Arial" w:cs="Arial" w:eastAsia="Arial" w:hAnsi="Arial"/>
          <w:sz w:val="16"/>
          <w:szCs w:val="16"/>
          <w:color w:val="auto"/>
        </w:rPr>
      </w:pPr>
    </w:p>
    <w:p>
      <w:pPr>
        <w:jc w:val="both"/>
        <w:ind w:left="1320" w:right="459" w:hanging="434"/>
        <w:spacing w:after="0" w:line="253"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Subject to the special rights of the holders of one or more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Stock, special meetings of our stockholders may be called, for any purpose or purposes, at any time only by or at the direction of (i) the Board, the chairperson of the Board, the chief executive officer or president, and (ii) for so long as we are a controlled company (as defined above), by our secretary at the request of any holder of record of at least 25% of the voting power of the issued and outstanding shares of our capital stock. Subject to the special rights of the holders of one or more series of Preferred Stock, from and after the date we cease to qualify as a controlled company, special meetings of our stockholders may not be called by our stockholders or any other person.</w:t>
      </w:r>
    </w:p>
    <w:p>
      <w:pPr>
        <w:spacing w:after="0" w:line="128" w:lineRule="exact"/>
        <w:rPr>
          <w:rFonts w:ascii="Arial" w:cs="Arial" w:eastAsia="Arial" w:hAnsi="Arial"/>
          <w:sz w:val="18"/>
          <w:szCs w:val="18"/>
          <w:color w:val="auto"/>
        </w:rPr>
      </w:pPr>
    </w:p>
    <w:p>
      <w:pPr>
        <w:jc w:val="both"/>
        <w:ind w:left="1320" w:right="459" w:hanging="434"/>
        <w:spacing w:after="0" w:line="286" w:lineRule="auto"/>
        <w:tabs>
          <w:tab w:leader="none" w:pos="1315"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Advance Notice Procedures. </w:t>
      </w:r>
      <w:r>
        <w:rPr>
          <w:rFonts w:ascii="Arial" w:cs="Arial" w:eastAsia="Arial" w:hAnsi="Arial"/>
          <w:sz w:val="16"/>
          <w:szCs w:val="16"/>
          <w:color w:val="auto"/>
        </w:rPr>
        <w:t>The By-Laws establish an advance notice procedure for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proposals to be brought before an annual meeting of our stockholders, and for stockholder nominations of persons for election to our board of directors to be brought before an annual or special meeting of stockholders.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the By-Laws do not give the board of directors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our rights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1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By-Laws provide that we must indemnify and advance expenses to directors and officers to the fullest extent authorized by the DGCL. We are also expressly authorized to carry directors’ and officers’ liability insurance providing indemnification for directors, officers and certain employees for some liabilities. We believe that these indemnification and advancement provisions and insurance are useful to attract and retain qualified directors and executive officers.</w:t>
      </w:r>
    </w:p>
    <w:p>
      <w:pPr>
        <w:spacing w:after="0" w:line="12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We believe that these provisions, liability insurance and any indemnity agreements that may be entered into are necessary to attract and retain talented and experienced directors and officers.</w:t>
      </w:r>
    </w:p>
    <w:p>
      <w:pPr>
        <w:spacing w:after="0" w:line="9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our respective directors, officers or employees for which indemnification is sought.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5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Intuitive Machines. Pursuant to Section 262 of the DGCL, stockholders who properly demand and perfect appraisal rights in connection with such merger or consolidation will have the right to receive payment of the fair value of their shares as determined by the Court of Chancery of the State of Delaware (the “Delaware Court of Chancery”).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Forum Selection</w:t>
      </w:r>
    </w:p>
    <w:p>
      <w:pPr>
        <w:spacing w:after="0" w:line="158"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Delaware Court of Chancery is, to the fullest extent permitted by applicable law, the sole and exclusive forum for: (i) any derivative action brought by a stockholder on behalf of the Company, (ii) any claim of breach of a fiduciary duty owed by any of our directors, officers, stockholders or employees, (iii) any claim against us arising under our Certificate of Incorporation, By-Laws or the DGCL or (iv) any claim against us governed by the internal affairs doctrine. Our Certificate of Incorporation designates the federal district courts of the United States as the exclusive forum for the resolution of any complaint asserting a cause of action arising under the Securities Act.</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Transfer Agent and registrar for our shares of Class A Common Stock is Continental Stock Transfer &amp; Trust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Trading Symbol and Market</w:t>
      </w:r>
    </w:p>
    <w:p>
      <w:pPr>
        <w:spacing w:after="0" w:line="158"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“LUNR” and “LUNRW,”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w:t>
      </w:r>
    </w:p>
    <w:p>
      <w:pPr>
        <w:spacing w:after="0" w:line="97"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Prior to the issuance and resale of the securities offered by this prospectus, we had a total of 14,748,598 shares of our Class A Common Stock outstanding. Of these shares, all of the shares sold in IPAX’s initial public offering (totaling 4,438,331 shares of our Class A Common Stock) are freely tradable without restriction or further registration under the Securities Act by persons other than our “affiliates”, as of March, 30, 2023. Under the Securities Act, an “affiliate” of an issuer is a person that directly or indirectly controls, is controlled by, or is under common control with that issuer. The remaining shares of our Class A Common Stock are “restricted securities,” as defined in Rule 144 under the Securities Act (“Rule 144”), and may not be sold absent registration under the Securities Act or compliance with Rule 144 thereunder or in reliance on another exemption from registration.</w:t>
      </w:r>
    </w:p>
    <w:p>
      <w:pPr>
        <w:spacing w:after="0" w:line="12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addition, subject to certain limitations and exceptions, pursuant to the terms of the A&amp;R Operating Agreement, holders of Intuitive Machines OpCo Common Units may exchange such units (together with a corresponding number of shares of Class B Common Stock or Class C Common Stock) for shares of our Class A Common Stock on a one-for-one basis, subject to customary conversion rate adjustments for stock splits, stock dividends, and reclassifications. Prior to the issuance and resale of the securities offered by this prospectus, the Intuitive Machines Members held 68,140,188 Intuitive Machines OpCo Common Units, all of which are exchangeable for shares of our Class A Common Stock from time to time pursuant to the terms of the A&amp;R Operating Agreement. Any shares of Class A Common Stock we issue upon exchange of Intuitive Machines OpCo Common Units will be “restricted securities” as defined in Rule 144 and may not be sold in the absence of registration under the Securities Act unless an exemption from registration is available, including the exemptions contained in Rule 144. Moreover, as a result of the A&amp;R Registration Rights Agreement, all or a portion of these shares may be eligible for future sale without restriction, subject to the lock-up arrangements described below.</w:t>
      </w:r>
    </w:p>
    <w:p>
      <w:pPr>
        <w:spacing w:after="0" w:line="10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Prior to the issuance and resale of the securities offered by this prospectus, we also have 23,332,500 Warrants outstanding (including 6,845,000 Private Placement Warrants), each exercisable for one share of Class A Common Stock at a price of $11.50 per share. As a result of the registration provisions of the Warrant Agreement, all or a portion of these shares may be eligible for future sale without restriction.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Plans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expect to file a registration statement on Form S-8 under the Securities Act to register the offer and sale of all shares of Class A Common Stock or securities convertible or exchangeable for shares of our Class A Common Stock issuable under the Intuitive Machines Incentive Plan of our Class A Common Stock registered under such registration statement will be available for resale by nonaffiliates in the public market without restriction under the Securities Act and by affiliates in the public market subject to compliance with the resale provisions of Rule 144.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connection with the consummation of the Transactions, we entered into the A&amp;R Registration Rights Agreement by and among, us, the Sponsor, certain stockholders of Intuitive Machines and the Series A Investors pursuant to which we granted them and their affiliates the right, under certain circumstances and subject to certain restrictions, to require us to register under the Securities Act certain securities held by such holders, including registration of the shares of Class A Common Stock delivered to the Intuitive Machines Members in exchange for Intuitive Machines OpCo Common Units. These shares also may be sold under Rule 144 under the Securities Act, depending on their holding period and subject to restrictions in the case of shares held by persons deemed to be our affiliates.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Furthermore, pursuant to the terms of the SAFE Agreements, we are required to file with the SEC and use commercially reasonable efforts to maintain a registration statement registering the resale of the shares of Class A Common Stock issued to the Series A Investors. Such rights terminate with respect to any shares held by a Series A Investor on the earliest of (i) the second anniversary of the consummation of the Transactions,</w:t>
      </w:r>
    </w:p>
    <w:p>
      <w:pPr>
        <w:spacing w:after="0" w:line="1" w:lineRule="exact"/>
        <w:rPr>
          <w:sz w:val="20"/>
          <w:szCs w:val="20"/>
          <w:color w:val="auto"/>
        </w:rPr>
      </w:pPr>
    </w:p>
    <w:p>
      <w:pPr>
        <w:ind w:left="460" w:right="459" w:hanging="6"/>
        <w:spacing w:after="0" w:line="323" w:lineRule="auto"/>
        <w:tabs>
          <w:tab w:leader="none" w:pos="7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date on which all such shares have been sold, and (iii) the first date on which such Series A Investor can sell all such shares under Rule 144 without limitation as to the manner of sale or amount of securities sold.</w:t>
      </w:r>
    </w:p>
    <w:p>
      <w:pPr>
        <w:spacing w:after="0" w:line="71"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Warrant Agreement also requires that we file with the SEC and use commercially reasonable efforts to maintain a registration statement registering the issuance of the shares of Class A Common Stock issuable upon exercise of the Warrants. If such a registration statement is not effective at any time, warrant holders may elect to exercise their Warrants on a “cashless basis” pursuant to the terms of the Warrant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Sponsor Lock-Up Agreement</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the consummation of the Transactions, we entered into a Lock-Up Agreement (the “Sponsor Lock-Up Agreement”) with the Sponsor, pursuant to which the Sponsor and its permitted assigns agreed not to, without the prior written consent of the Board, prior to the date that is six months after the Closing Date, (i) sell, pledge, grant any option to purchase or otherwise dispose of (a) any shares of Class A Common Stock the Sponsor received upon conversion of the IPAX Class A Ordinary Shares it received upon conversion of its IPAX Class B Ordinary Shares immediately prior to the Domestication (the “Sponsor Lock-Up Shares”),</w:t>
      </w:r>
    </w:p>
    <w:p>
      <w:pPr>
        <w:spacing w:after="0" w:line="4" w:lineRule="exact"/>
        <w:rPr>
          <w:sz w:val="20"/>
          <w:szCs w:val="20"/>
          <w:color w:val="auto"/>
        </w:rPr>
      </w:pPr>
    </w:p>
    <w:p>
      <w:pPr>
        <w:jc w:val="both"/>
        <w:ind w:left="460" w:right="459" w:hanging="6"/>
        <w:spacing w:after="0" w:line="287" w:lineRule="auto"/>
        <w:tabs>
          <w:tab w:leader="none" w:pos="7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enter into any swap or other transfer arrangement in respect of the Sponsor Lock-Up Shares or (iii) take any other similar actions (the actions specified in the foregoing clauses (i) through (iii), collectively, “Transfer”). The Sponsor also agreed to not Transfer any Warrants received upon conversion of its Private Placement Warrants in connection with the Domestication (or the shares of Class A Common Stock issuable upon exercise of such warrants), prior to the date that is 30 days after the Closing Date. The Sponsor Lock-Up Agreement provides for certain permitted transfers, including but not limited to, transfers to certain affiliates or family members, transfers of shares acquired on the open market after the consummation of the Transactions, subject to certain conditions, or the exercise of certain stock options and warrants.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Intuitive Machines Lock-Up Agreement</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connection with the consummation of the Transactions, we entered into a Lock-Up Agreement (the “Intuitive Machines Lock-Up Agreement”) with certain Intuitive Machines Members (the “Lock-Up Holders”), pursuant to which the Lock-Up Holders agreed not to, without the prior written consent of the Board, prior to the date that is six months after the Closing Date (i) sell, pledge, grant any option to purchase or otherwise dispose of</w:t>
      </w:r>
    </w:p>
    <w:p>
      <w:pPr>
        <w:spacing w:after="0" w:line="1" w:lineRule="exact"/>
        <w:rPr>
          <w:sz w:val="20"/>
          <w:szCs w:val="20"/>
          <w:color w:val="auto"/>
        </w:rPr>
      </w:pPr>
    </w:p>
    <w:p>
      <w:pPr>
        <w:jc w:val="both"/>
        <w:ind w:left="460" w:right="459" w:hanging="6"/>
        <w:spacing w:after="0" w:line="281" w:lineRule="auto"/>
        <w:tabs>
          <w:tab w:leader="none" w:pos="7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shares of Class A Common Stock, (b) any shares of Class A Common Stock issuable upon exercise of such options to purchase shares of Class A Common Stock held immediately after the consummation of the Transactions, or (c) any securities convertible into, or exercisable, redeemable or exchangeable for, Class A Common Stock held by such holder immediately after the consummation of the Transactions (the shares of Class A Common Stock and securities specified in clauses (a) through (c), collectively, the “Lock-up Shares”),</w:t>
      </w:r>
    </w:p>
    <w:p>
      <w:pPr>
        <w:spacing w:after="0" w:line="2" w:lineRule="exact"/>
        <w:rPr>
          <w:rFonts w:ascii="Arial" w:cs="Arial" w:eastAsia="Arial" w:hAnsi="Arial"/>
          <w:sz w:val="16"/>
          <w:szCs w:val="16"/>
          <w:color w:val="auto"/>
        </w:rPr>
      </w:pPr>
    </w:p>
    <w:p>
      <w:pPr>
        <w:jc w:val="both"/>
        <w:ind w:left="460" w:right="459" w:hanging="6"/>
        <w:spacing w:after="0" w:line="292" w:lineRule="auto"/>
        <w:tabs>
          <w:tab w:leader="none" w:pos="734"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enter into any swap or other transfer arrangement in respect of any Lock-Up Shares or (iii) take any action in furtherance of any of the matters described in the foregoing clause (i) or (ii). The Intuitive Machines Lock-Up Agreement provides for certain permitted transfers, including but not limited to, transfers to certain affiliates or family members, transfers of shares acquired on the open market after the consummation of the Transactions, subject to certain conditions, or the exercise of certain stock options and warrants.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Pursuant to Rule 144 under the Securities Act (“Rule 144”), a person who has beneficially owned restricted shares of our common stock or our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our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hanging="43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320" w:hanging="434"/>
        <w:spacing w:after="0"/>
        <w:tabs>
          <w:tab w:leader="none" w:pos="1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67"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 (which, in our case, is likely to occur one year after the filing of the “Super” Form 8-K related to the Transactions, filed on February 14, 2023).</w:t>
      </w:r>
    </w:p>
    <w:p>
      <w:pPr>
        <w:spacing w:after="0" w:line="106"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As a result, the Sponsor will be able to sell its Class A Common Stock and Private Placement Warrants, as applicable, pursuant to Rule 144 without registration one year after the filing of the “Super” Form 8-K, which occurred on February 14, 2023. Absent registration under the Securities Act, other stockholders, including securityholders who received restricted securities in the Transactions, will not be permitted to sell their restricted securities under Rule 144 earlier than one year after the filing of the “Super” Form 8-K.</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Any shares we issue upon exchange of Intuitive Machines OpCo Common Units will be “restricted securities” as defined in Rule 144 and may not be sold in the absence of registration under the Securities Act unless an exemption from registration is available, including the exemptions contained in Rule 144.</w:t>
      </w:r>
    </w:p>
    <w:p>
      <w:pPr>
        <w:spacing w:after="0" w:line="9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Following the consummation of the Transactions, we are no longer a shell company, and so, once the conditions set forth in the exceptions listed above are satisfied, Rule 144 will become available for the resale of the above noted restricted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FOR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AND WARRANTS</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U.S. Holders and Non-U.S. Holders (each as defined below) relating to the purchase, ownership, and disposition of our Class A Common Stock and Warrants, which we collectively refer to as our “securities,”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w:t>
      </w:r>
    </w:p>
    <w:p>
      <w:pPr>
        <w:spacing w:after="0" w:line="111"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This discussion is limited to holders of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w:t>
      </w:r>
    </w:p>
    <w:p>
      <w:pPr>
        <w:spacing w:after="0" w:line="109" w:lineRule="exact"/>
        <w:rPr>
          <w:sz w:val="20"/>
          <w:szCs w:val="20"/>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or other risk reduction strategy or as part of a conversion transaction or other integrated investment;</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deemed to sell our securities under the constructive sale provisions of the Code;</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subject to the special tax accounting rules of as a result of any item of gross income with respect to our securities being taken into account in an “applicable financial statement” (as defined in the Code);</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who hold or receive our securities pursuant to the exercise of any employee stock option or otherwise as compensation;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an entity (or other arrangement) treated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w:t>
      </w:r>
    </w:p>
    <w:p>
      <w:pPr>
        <w:spacing w:after="0" w:line="103"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CONSEQUENCES OF THE PURCHASE, OWNERSHIP, AND DISPOSITION OF OUR SECURITIES ARISING UNDER THE U.S. FEDERAL ESTATE OR GIFT TAX LAWS OR UNDER THE LAWS OF ANY STATE, LOCAL, OR NON-U.S. TAXING JURISDICTION OR UNDER ANY APPLICABLE INCOME TAX TREATY.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purposes of this discussion, a “U.S. Holder” is any beneficial owner of our securities that is for U.S. federal income tax purposes:</w:t>
      </w:r>
    </w:p>
    <w:p>
      <w:pPr>
        <w:spacing w:after="0" w:line="103" w:lineRule="exact"/>
        <w:rPr>
          <w:sz w:val="20"/>
          <w:szCs w:val="20"/>
          <w:color w:val="auto"/>
        </w:rPr>
      </w:pPr>
    </w:p>
    <w:p>
      <w:pPr>
        <w:ind w:left="1320" w:hanging="43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69" w:lineRule="exact"/>
        <w:rPr>
          <w:rFonts w:ascii="Arial" w:cs="Arial" w:eastAsia="Arial" w:hAnsi="Arial"/>
          <w:sz w:val="17"/>
          <w:szCs w:val="17"/>
          <w:color w:val="auto"/>
        </w:rPr>
      </w:pPr>
    </w:p>
    <w:p>
      <w:pPr>
        <w:jc w:val="both"/>
        <w:ind w:left="1320" w:right="479" w:hanging="434"/>
        <w:spacing w:after="0" w:line="311" w:lineRule="auto"/>
        <w:tabs>
          <w:tab w:leader="none" w:pos="13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6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Taxation of Distributions. </w:t>
      </w:r>
      <w:r>
        <w:rPr>
          <w:rFonts w:ascii="Arial" w:cs="Arial" w:eastAsia="Arial" w:hAnsi="Arial"/>
          <w:sz w:val="17"/>
          <w:szCs w:val="17"/>
          <w:color w:val="auto"/>
        </w:rPr>
        <w:t>As described in the section entitled “Dividend Policy,” we have no current plans to</w:t>
      </w:r>
      <w:r>
        <w:rPr>
          <w:rFonts w:ascii="Arial" w:cs="Arial" w:eastAsia="Arial" w:hAnsi="Arial"/>
          <w:sz w:val="17"/>
          <w:szCs w:val="17"/>
          <w:i w:val="1"/>
          <w:iCs w:val="1"/>
          <w:color w:val="auto"/>
        </w:rPr>
        <w:t xml:space="preserve"> </w:t>
      </w:r>
      <w:r>
        <w:rPr>
          <w:rFonts w:ascii="Arial" w:cs="Arial" w:eastAsia="Arial" w:hAnsi="Arial"/>
          <w:sz w:val="17"/>
          <w:szCs w:val="17"/>
          <w:color w:val="auto"/>
        </w:rPr>
        <w:t>pay dividends on our Class A Common Stock. If we do, however, make distributions, the gross amount of distributions made with respect to the Class A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Class A Common Stock (but not below zero), and to the extent in excess of such basis, will be treated as gain from the sale or exchange of such Class A Common Stock, as described under “— Gain or Loss on Sale, Taxable Exchange, or Other Taxable Disposition of Securities” below.</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w:t>
      </w:r>
    </w:p>
    <w:p>
      <w:pPr>
        <w:spacing w:after="0" w:line="12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Securities. </w:t>
      </w:r>
      <w:r>
        <w:rPr>
          <w:rFonts w:ascii="Arial" w:cs="Arial" w:eastAsia="Arial" w:hAnsi="Arial"/>
          <w:sz w:val="17"/>
          <w:szCs w:val="17"/>
          <w:color w:val="auto"/>
        </w:rPr>
        <w:t>Upon a sale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disposition of our securities,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securities so disposed of. A U.S. Holder’s adjusted tax basis in its securities generally will equal the U.S. Holder’s adjusted cost less, in the case of a share of Class A Common Stock, any prior distributions treated as a return of capital. In the case of any securities originally acquired as part of an investment unit, the acquisition cost for the securities that were part of such unit would equal an allocable portion of the acquisition cost of the unit based on the relative fair market values of the components of the unit at the time of acquisition.</w:t>
      </w:r>
    </w:p>
    <w:p>
      <w:pPr>
        <w:spacing w:after="0" w:line="10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Any such capital gain or loss generally will be long-term capital gain or loss if the U.S. Holder’s holding period for the securities so disposed of exceeds one year. If the holding period requirements are not satisfied, any gain on a sale or taxable disposition of the securities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Exercise, Lapse, or Redemption of a Warrant. </w:t>
      </w:r>
      <w:r>
        <w:rPr>
          <w:rFonts w:ascii="Arial" w:cs="Arial" w:eastAsia="Arial" w:hAnsi="Arial"/>
          <w:sz w:val="17"/>
          <w:szCs w:val="17"/>
          <w:color w:val="auto"/>
        </w:rPr>
        <w:t>Except as discussed below with respect to the cashless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of a warrant, a U.S. Holder generally will not recognize gain or loss upon the acquisition of a share of Class A Common Stock on the exercise of a warrant for cash. A U.S. Holder’s tax basis in a share of our Class A Common Stock received upon exercise of the warrant generally will be an amount equal to the sum of the U.S. Holder’s initial investment in the warrant and the exercise price. The U.S. Holder’s holding period for the share of Class A Common Stock received upon exercise of the warrant generally will commence on the date of exercise of the warrant or the date following the date of exercise of the warrant; however,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1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share of Class A Common Stock received would equal the holder’s basis in the Warrants used to effect the cashless exercise. If the cashless exercise is not treated as a realization event, a U.S. Holder’s holding period in the Class A Common Stock generally would be treated as commencing on the date following the date of exercise (or possibly the date of exercise of the warrant). If the cashless exercise were treated as a recapitalization, the holding period of the Class A Common Stock would include the holding period of the warrant.</w:t>
      </w:r>
    </w:p>
    <w:p>
      <w:pPr>
        <w:spacing w:after="0" w:line="12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could be deemed to have surrendered Warrants having an aggregate fair market value equal to the exercise price for the total number of Warrants deemed to be exercised. The U.S. Holder would recognize capital gain or loss in an amount equal to the difference between the fair market value of the Warrants deemed surrendered and the U.S. Holder’s tax basis in such Warrants. In this case, a U.S. Holder’s tax basis in the Class A Common Stock received would equal the sum of the U.S. Holder’s initial investment in the Warrants deemed exercised and the exercise price of such Warrants. A U.S. Holder’s holding period for the Class A Common Stock in such case generally would commence on the date following the date of exercise (or possibly the date of exercise) of the warrant.</w:t>
      </w:r>
    </w:p>
    <w:p>
      <w:pPr>
        <w:spacing w:after="0" w:line="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Capital Stock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Securities.”</w:t>
      </w:r>
    </w:p>
    <w:p>
      <w:pPr>
        <w:spacing w:after="0" w:line="12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i w:val="1"/>
          <w:iCs w:val="1"/>
          <w:color w:val="auto"/>
        </w:rPr>
        <w:t xml:space="preserve">Possible Constructive Distributions. </w:t>
      </w:r>
      <w:r>
        <w:rPr>
          <w:rFonts w:ascii="Arial" w:cs="Arial" w:eastAsia="Arial" w:hAnsi="Arial"/>
          <w:sz w:val="16"/>
          <w:szCs w:val="16"/>
          <w:color w:val="auto"/>
        </w:rPr>
        <w:t>The terms of each warrant provide for an adjustment to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for which the warrant may be exercised or to the exercise price of the warrant in certain events as discussed in the section of this registration statement captioned “Description of Capital Stock — Warrants.” An adjustment that has the effect of preventing dilution generally is not taxable. U.S. Holders of Warrants would, however, be treated as receiving a constructive distribution from us if, for example, the adjustment increases the warrant holders’ proportionate interest in our assets or earnings and profits (for instance, through an increase in the number of shares of Class A Common Stock that would be obtained upon exercise or through a decrease in the exercise price of the warrant) as a result of a distribution of cash or other property such as other securities to the holders of our Class A Common Stock which is taxable to such holders of our Class A Common Stock as a distribution. Such constructive distributions would generally be subject to tax in the same manner as if the U.S. Holders of the Warrants received a cash distribution from us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we may rely on prior to the issuance of final regulations, specify how the date and amount of constructive distributions are determined.</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i w:val="1"/>
          <w:iCs w:val="1"/>
          <w:color w:val="auto"/>
        </w:rPr>
        <w:t xml:space="preserve">Information Reporting and Backup Withholding. </w:t>
      </w:r>
      <w:r>
        <w:rPr>
          <w:rFonts w:ascii="Arial" w:cs="Arial" w:eastAsia="Arial" w:hAnsi="Arial"/>
          <w:sz w:val="17"/>
          <w:szCs w:val="17"/>
          <w:color w:val="auto"/>
        </w:rPr>
        <w:t>Distributions with respect to the Class A Common Stock to a</w:t>
      </w:r>
      <w:r>
        <w:rPr>
          <w:rFonts w:ascii="Arial" w:cs="Arial" w:eastAsia="Arial" w:hAnsi="Arial"/>
          <w:sz w:val="17"/>
          <w:szCs w:val="17"/>
          <w:i w:val="1"/>
          <w:iCs w:val="1"/>
          <w:color w:val="auto"/>
        </w:rPr>
        <w:t xml:space="preserve"> </w:t>
      </w:r>
      <w:r>
        <w:rPr>
          <w:rFonts w:ascii="Arial" w:cs="Arial" w:eastAsia="Arial" w:hAnsi="Arial"/>
          <w:sz w:val="17"/>
          <w:szCs w:val="17"/>
          <w:color w:val="auto"/>
        </w:rPr>
        <w:t>U.S. Holder, regardless of whether such distributions constitute dividends, and proceeds from the sale, exchange or redemption of the Class A Common Stock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this discussion, a “Non-U.S. Holder” is any beneficial owner of our securities that is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federal income tax purposes:</w:t>
      </w:r>
    </w:p>
    <w:p>
      <w:pPr>
        <w:spacing w:after="0" w:line="130" w:lineRule="exact"/>
        <w:rPr>
          <w:sz w:val="20"/>
          <w:szCs w:val="20"/>
          <w:color w:val="auto"/>
        </w:rPr>
      </w:pPr>
    </w:p>
    <w:p>
      <w:pPr>
        <w:ind w:left="1320" w:hanging="434"/>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Taxation of Distributions. </w:t>
      </w:r>
      <w:r>
        <w:rPr>
          <w:rFonts w:ascii="Arial" w:cs="Arial" w:eastAsia="Arial" w:hAnsi="Arial"/>
          <w:sz w:val="16"/>
          <w:szCs w:val="16"/>
          <w:color w:val="auto"/>
        </w:rPr>
        <w:t>As described in the section entitled “Dividend Policy,” we have no current plans to</w:t>
      </w:r>
      <w:r>
        <w:rPr>
          <w:rFonts w:ascii="Arial" w:cs="Arial" w:eastAsia="Arial" w:hAnsi="Arial"/>
          <w:sz w:val="16"/>
          <w:szCs w:val="16"/>
          <w:i w:val="1"/>
          <w:iCs w:val="1"/>
          <w:color w:val="auto"/>
        </w:rPr>
        <w:t xml:space="preserve"> </w:t>
      </w:r>
      <w:r>
        <w:rPr>
          <w:rFonts w:ascii="Arial" w:cs="Arial" w:eastAsia="Arial" w:hAnsi="Arial"/>
          <w:sz w:val="16"/>
          <w:szCs w:val="16"/>
          <w:color w:val="auto"/>
        </w:rPr>
        <w:t>pay dividends on our Class A Common Stock.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Gain or Loss on Sale, Taxable Exchange, or Other Taxable Disposition of Securities.”</w:t>
      </w:r>
    </w:p>
    <w:p>
      <w:pPr>
        <w:spacing w:after="0" w:line="9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i w:val="1"/>
          <w:iCs w:val="1"/>
          <w:color w:val="auto"/>
        </w:rPr>
        <w:t xml:space="preserve">Gain or Loss on Sale, Taxable Exchange, or other Taxable Disposition of Securities. </w:t>
      </w:r>
      <w:r>
        <w:rPr>
          <w:rFonts w:ascii="Arial" w:cs="Arial" w:eastAsia="Arial" w:hAnsi="Arial"/>
          <w:sz w:val="18"/>
          <w:szCs w:val="18"/>
          <w:color w:val="auto"/>
        </w:rPr>
        <w:t>A Non-U.S. 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subject to U.S. federal income tax on any gain realized upon the sale or other taxable disposition of our securities (including an expiration or redemption of warrants) unless:</w:t>
      </w:r>
    </w:p>
    <w:p>
      <w:pPr>
        <w:spacing w:after="0" w:line="116" w:lineRule="exact"/>
        <w:rPr>
          <w:sz w:val="20"/>
          <w:szCs w:val="20"/>
          <w:color w:val="auto"/>
        </w:rPr>
      </w:pPr>
    </w:p>
    <w:p>
      <w:pPr>
        <w:jc w:val="both"/>
        <w:ind w:left="1320" w:right="459" w:hanging="434"/>
        <w:spacing w:after="0" w:line="311" w:lineRule="auto"/>
        <w:tabs>
          <w:tab w:leader="none" w:pos="13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1" w:lineRule="exact"/>
        <w:rPr>
          <w:rFonts w:ascii="Arial" w:cs="Arial" w:eastAsia="Arial" w:hAnsi="Arial"/>
          <w:sz w:val="16"/>
          <w:szCs w:val="16"/>
          <w:color w:val="auto"/>
        </w:rPr>
      </w:pPr>
    </w:p>
    <w:p>
      <w:pPr>
        <w:ind w:left="1320" w:right="479" w:hanging="434"/>
        <w:spacing w:after="0" w:line="308" w:lineRule="auto"/>
        <w:tabs>
          <w:tab w:leader="none" w:pos="13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65"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securities constitute U.S. real property interests (“USRPI”) by reason of our status as a U.S. real property holding corporation (“USRPHC”) for U.S. federal income tax purposes.</w:t>
      </w:r>
    </w:p>
    <w:p>
      <w:pPr>
        <w:spacing w:after="0" w:line="10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1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spacing w:after="0" w:line="9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03"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i w:val="1"/>
          <w:iCs w:val="1"/>
          <w:color w:val="auto"/>
        </w:rPr>
        <w:t xml:space="preserve">Exercise, Lapse or Redemption of a Warrant. </w:t>
      </w:r>
      <w:r>
        <w:rPr>
          <w:rFonts w:ascii="Arial" w:cs="Arial" w:eastAsia="Arial" w:hAnsi="Arial"/>
          <w:sz w:val="17"/>
          <w:szCs w:val="17"/>
          <w:color w:val="auto"/>
        </w:rPr>
        <w:t>The U.S. federal income tax characterization of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or lapse of a warrant held by a Non-U.S. Holder generally will follow the U.S. federal income tax characterization of the exercise, redemption or lapse of a warrant by a U.S. Holder, as described under “U.S. Holders — Exercise, Lapse or Redemption of a Warrant” above, and the tax consequences of such characterizations will be as set forth above and below in this “Non-U.S. Holders” section.</w:t>
      </w:r>
    </w:p>
    <w:p>
      <w:pPr>
        <w:spacing w:after="0" w:line="9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Capital Stock — Warrants — Public Stockholders’ Warrants” or if we purchase Warrants in an open market transaction, such redemption or purchase generally will be treated as a taxable disposition to the U.S. Holder, taxed as described below under “Non U.S. Holders — Gain or Loss on Sale, Taxable Exchange or Other Taxable Disposition of Securities.</w:t>
      </w:r>
    </w:p>
    <w:p>
      <w:pPr>
        <w:spacing w:after="0" w:line="12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i w:val="1"/>
          <w:iCs w:val="1"/>
          <w:color w:val="auto"/>
        </w:rPr>
        <w:t xml:space="preserve">Possible Constructive Distributions. </w:t>
      </w:r>
      <w:r>
        <w:rPr>
          <w:rFonts w:ascii="Arial" w:cs="Arial" w:eastAsia="Arial" w:hAnsi="Arial"/>
          <w:sz w:val="16"/>
          <w:szCs w:val="16"/>
          <w:color w:val="auto"/>
        </w:rPr>
        <w:t>The terms of each warrant provide for an adjustment to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for which the warrant may be exercised or to the exercise price of the warrant in certain events as discussed in the section of this prospectus captioned “Description of Capital Stock — Warrants — Public Stockholders’ Warrants.” An adjustment that has the effect of preventing dilution generally is not taxable. Non-U.S. Holders of Warrants would, however, be treated as receiving a constructive distribution from us if, for example, the adjustment increases the Non-U.S. Holders’ proportionate interest in our assets or earnings and profits (for instance, through an increase in the number of shares of Class A Common Stock that would be obtained upon exercise or through a decrease in the exercise price of the warrant) as a result of a distribution of cash or other property such as other securities to the holders of shares of our Class A Common Stock, which is taxable to such holders of our Class A Common Stock as a distribution. Such constructive distribution to a Non-U.S. Holder of Warrants would be treated as if such Non-U.S. Holder had received a cash distribution from us equal to the fair market value of such increased interest (taxed as described above under “Non U.S. Holders — Taxation of Distributions”). For certain informational reporting purposes, we are required to determine the date and amount of any such constructive distributions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w:t>
      </w:r>
    </w:p>
    <w:p>
      <w:pPr>
        <w:spacing w:after="0" w:line="8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Information Reporting and Backup Withholding. </w:t>
      </w:r>
      <w:r>
        <w:rPr>
          <w:rFonts w:ascii="Arial" w:cs="Arial" w:eastAsia="Arial" w:hAnsi="Arial"/>
          <w:sz w:val="17"/>
          <w:szCs w:val="17"/>
          <w:color w:val="auto"/>
        </w:rPr>
        <w:t>Payments of dividends on our Class A Common Stock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w:t>
      </w:r>
    </w:p>
    <w:p>
      <w:pPr>
        <w:spacing w:after="0" w:line="11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6"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i w:val="1"/>
          <w:iCs w:val="1"/>
          <w:color w:val="auto"/>
        </w:rPr>
        <w:t xml:space="preserve">Additional Withholding Tax on Payments Made to Foreign Accounts. </w:t>
      </w:r>
      <w:r>
        <w:rPr>
          <w:rFonts w:ascii="Arial" w:cs="Arial" w:eastAsia="Arial" w:hAnsi="Arial"/>
          <w:sz w:val="16"/>
          <w:szCs w:val="16"/>
          <w:color w:val="auto"/>
        </w:rPr>
        <w:t>Withholding taxes may be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or constructive distributions deemed paid, if any, with respect to our Warrants,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securities.</w:t>
      </w:r>
    </w:p>
    <w:p>
      <w:pPr>
        <w:spacing w:after="0" w:line="166"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PROSPECTIVE PURCHASER SHOULD CONSULT ITS TAX ADVISOR ABOUT THE TAX CONSEQUENCES OF AN INVESTMENT IN OUR SECURITIES BASED ON THE INVESTOR’S CIRCUMSTANCES.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selling securityholders, which as used herein includes donees, pledgees, transferees, distributees, or other successors-in-interest selling shares of our Class A Common Stock, Private Placement Warrants or Public Warrants or interests in our Class A Common Stock, Private Placement Warrants or Public Warrants received after the date of this prospectus from the selling securityholders as a gift, pledge, distribution, or other transfer, may, from time to time, sell, transfer, distribute, or otherwise dispose of certain of their shares of Class A Common Stock, Private Placement Warrants or Public Warrants or interests in our Class A Common Stock, Private Placement Warrants or Public Warrants on any stock exchange, market, or trading facility on which shares of our Class A Common Stock, Private Placement Warrants or Public Warrants, as applicable, are traded or in private transactions. These dispositions may be at fixed prices, at prevailing market prices at the time of sale, at prices related to the prevailing market prices, at varying prices determined at the time of sale, or at negotiated prices.</w:t>
      </w:r>
    </w:p>
    <w:p>
      <w:pPr>
        <w:spacing w:after="0" w:line="11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securities or interests therein:</w:t>
      </w:r>
    </w:p>
    <w:p>
      <w:pPr>
        <w:spacing w:after="0" w:line="103" w:lineRule="exact"/>
        <w:rPr>
          <w:sz w:val="20"/>
          <w:szCs w:val="20"/>
          <w:color w:val="auto"/>
        </w:rPr>
      </w:pPr>
    </w:p>
    <w:p>
      <w:pPr>
        <w:ind w:left="1320" w:hanging="434"/>
        <w:spacing w:after="0"/>
        <w:tabs>
          <w:tab w:leader="none" w:pos="1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broker-dealer solicits purchasers;</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distributions to their members, partners, or stockholders;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short sales effected after the date of the registration statement of which this prospectus forms a part is declared effective by the SEC;</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broker-dealers who may agree with the selling securityholders to sell a specified number of such securities at a stipulated price per share or warrant; or</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selling securityholders may, from time to time, pledge or grant a security interest in some shares of our Class A Common Stock, Private Placement Warrants or Public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spacing w:after="0" w:line="8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connection with the sale of shares of our Class A Common Stock, Private Placement Warrants or Public Warrants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shares of our Class A Common Stock, Private Placement Warrants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or Public Warrants short and deliver these securities to close out their short positions, or loan or pledge shares of our Class A Common Stock or Private Placement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Private Placement Warrants or Public Warrants offered by this prospectus, which shares or warrants such broker-dealer or other financial institution may resell pursuant to this prospectus (as supplemented or amended to reflect such transaction).</w:t>
      </w:r>
    </w:p>
    <w:p>
      <w:pPr>
        <w:spacing w:after="0" w:line="99"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The aggregate proceeds to the selling securityholders from the sale of shares of our Class A Common Stock, Private Placement Warrants or Public Warrants offered by them will be the purchase price of such securities, less discounts or commissions, if any. The selling securityholders reserve the right to accept and, together with their agents from time to time, to reject, in whole or in part, any proposed purchase of shares of our Class A Common Stock, Private Placement Warrants or Public Warrants to be made directly or through agents. We will not receive any of the proceeds from any offering by the selling securityholders.</w:t>
      </w:r>
    </w:p>
    <w:p>
      <w:pPr>
        <w:spacing w:after="0" w:line="11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selling securityholders also may in the future resell a portion of our Class A Common Stock, Private Placement Warrants or Public Warrants in open-market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90"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shares of our Class A Common Stock, Private Placement Warrants or Public Warrants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9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To the extent required, the number of shares of our Class A Common Stock, Private Placement Warrants or Public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To facilitate the offering of securities offered by the selling securityholders, certain persons participating in the offering may engage in transactions that stabilize, maintain, or otherwise affect the price of our Class A Common Stock, Private Placement Warrants or Public Warrants. This may include over-allotments or short sales, which involve the sale by persons participating in the offering of more shares of Class A Common Stock, Private Placement Warrants or Public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Private Placement Warrants or Public Warrants by bidding for or purchasing shares of Class A Common Stock, Private Placement Warrants or Public Warrants in the open market or by imposing penalty bids, whereby selling concessions allowed to dealers participating in the offering may be reclaimed if shares of Class A Common Stock, Private Placement Warrants or Public Warrants sold by them are repurchased in connection with stabilization transactions. The effect of these transactions may be to stabilize or maintain the market price of our Class A Common Stock, Private Placement Warrants or Public Warrants at a level above that which might otherwise prevail in the open market. These transactions may be discontinued at any time.</w:t>
      </w:r>
    </w:p>
    <w:p>
      <w:pPr>
        <w:spacing w:after="0" w:line="9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 holder of Private Placement Warrants or Public Warrants may exercise its Private Placement Warrants or Public Warrants in accordance with the Warrant Agreement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Under the A&amp;R Registration Rights Agreement and the SAFE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1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A&amp;R Registration Rights Agreement and the SAFE Agreements.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9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selling securityholders may use this prospectus in connection with resales of shares of our Class A Common Stock, Private Placement Warrants and Public Warrants. This prospectus and any accompanying prospectus supplement will identify the selling securityholders, the terms of our Class A Common Stock, Private Placement Warrants and Public Warrants, and any material relationships between us and the selling securityholders. The selling securityholders may be deemed to be underwriters under the Securities Act in connection with shares of our Class A Common Stock, Private Placement Warrants or Public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Private Placement Warrants or Public Warrants.</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selling securityholder that is an entity may elect to make an in-kind distribution of Class A Common Stock, Private Placement Warrants or Public Warrants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shares of Class A Common Stock or Warrants pursuant to the distribution through a registration statement.</w:t>
      </w:r>
    </w:p>
    <w:p>
      <w:pPr>
        <w:spacing w:after="0" w:line="1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Except as set forth above, we are required to pay all fees and expenses incident to the registration of shares of our Class A Common Stock, Private Placement Warrants and Public Warrants to be offered and sold pursuant to this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Latham &amp; Watkins LLP, Houston, Texas.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financial statements of Intuitive Machines, LLC as of December 31, 2022 and 2021,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financial statements of IPAX as of December 31, 2022 and 2021, and for the year ended 2022 and for the period from January 27, 2021 (inception) through December 31, 2021, included in this prospectus have been audited by Marcum LLP (“Marcum”), an independent registered public accounting firm, as set forth in their report, appearing elsewhere herein, and are included in reliance on such report given on the authority of such firm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have also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13"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 xml:space="preserve">Our SEC filings are available to the public on the internet at a website maintained by the SEC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Those filings are also available to the public on, or accessible through, our website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heading “Investors” at </w:t>
      </w:r>
      <w:r>
        <w:rPr>
          <w:rFonts w:ascii="Arial" w:cs="Arial" w:eastAsia="Arial" w:hAnsi="Arial"/>
          <w:sz w:val="16"/>
          <w:szCs w:val="16"/>
          <w:i w:val="1"/>
          <w:iCs w:val="1"/>
          <w:color w:val="auto"/>
        </w:rPr>
        <w:t>www.intuitivemachines.com</w:t>
      </w:r>
      <w:r>
        <w:rPr>
          <w:rFonts w:ascii="Arial" w:cs="Arial" w:eastAsia="Arial" w:hAnsi="Arial"/>
          <w:sz w:val="16"/>
          <w:szCs w:val="16"/>
          <w:color w:val="auto"/>
        </w:rPr>
        <w:t>. Information contained on our website is not a part of this prospectus and the inclusion of our website address in this prospectus is an inactive textual reference only.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10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57"/>
        </w:trPr>
        <w:tc>
          <w:tcPr>
            <w:tcW w:w="108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gridSpan w:val="11"/>
            <w:shd w:val="clear" w:color="auto" w:fill="CCEEFF"/>
          </w:tcPr>
          <w:p>
            <w:pPr>
              <w:jc w:val="center"/>
              <w:ind w:right="1200"/>
              <w:spacing w:after="0"/>
              <w:rPr>
                <w:sz w:val="20"/>
                <w:szCs w:val="20"/>
                <w:color w:val="auto"/>
              </w:rPr>
            </w:pPr>
            <w:r>
              <w:rPr>
                <w:rFonts w:ascii="Arial" w:cs="Arial" w:eastAsia="Arial" w:hAnsi="Arial"/>
                <w:sz w:val="18"/>
                <w:szCs w:val="18"/>
                <w:b w:val="1"/>
                <w:bCs w:val="1"/>
                <w:color w:val="auto"/>
                <w:w w:val="90"/>
              </w:rPr>
              <w:t>Inflection Point Acquisition Corp. Audited Financial Statements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Report of Independent Registered Public Accounting Firm</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F-2</w:t>
            </w:r>
          </w:p>
        </w:tc>
      </w:tr>
      <w:tr>
        <w:trPr>
          <w:trHeight w:val="61"/>
        </w:trPr>
        <w:tc>
          <w:tcPr>
            <w:tcW w:w="10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Balance Sheets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Statements of Operations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F-4</w:t>
            </w:r>
          </w:p>
        </w:tc>
      </w:tr>
      <w:tr>
        <w:trPr>
          <w:trHeight w:val="61"/>
        </w:trPr>
        <w:tc>
          <w:tcPr>
            <w:tcW w:w="10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Statements of Changes in Shareholders’ Equity</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F-5</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Statements of Cash Flows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8"/>
              </w:rPr>
              <w:t>F-6</w:t>
            </w:r>
          </w:p>
        </w:tc>
      </w:tr>
      <w:tr>
        <w:trPr>
          <w:trHeight w:val="61"/>
        </w:trPr>
        <w:tc>
          <w:tcPr>
            <w:tcW w:w="10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Notes to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83"/>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1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Intuitive Machines, LLC Consolidated Audited Financial Statements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1"/>
                <w:szCs w:val="21"/>
                <w:color w:val="auto"/>
              </w:rPr>
            </w:pPr>
          </w:p>
        </w:tc>
      </w:tr>
      <w:tr>
        <w:trPr>
          <w:trHeight w:val="40"/>
        </w:trPr>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Report of Independent Registered Public Accounting Firm</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F-29</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Consolidated Balance Sheets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1"/>
              </w:rPr>
              <w:t>F-30</w:t>
            </w:r>
          </w:p>
        </w:tc>
      </w:tr>
      <w:tr>
        <w:trPr>
          <w:trHeight w:val="61"/>
        </w:trPr>
        <w:tc>
          <w:tcPr>
            <w:tcW w:w="10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Consolidated Statements of Operations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F-31</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Consolidated Statements of Members’ Equity</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1"/>
              </w:rPr>
              <w:t>F-32</w:t>
            </w:r>
          </w:p>
        </w:tc>
      </w:tr>
      <w:tr>
        <w:trPr>
          <w:trHeight w:val="61"/>
        </w:trPr>
        <w:tc>
          <w:tcPr>
            <w:tcW w:w="10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0000EE"/>
              </w:rPr>
              <w:t>Consolidated Statements of Cash Flows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F-33</w:t>
            </w:r>
          </w:p>
        </w:tc>
      </w:tr>
      <w:tr>
        <w:trPr>
          <w:trHeight w:val="61"/>
        </w:trPr>
        <w:tc>
          <w:tcPr>
            <w:tcW w:w="10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0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2"/>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1"/>
              </w:rPr>
              <w:t>F-34</w:t>
            </w:r>
          </w:p>
        </w:tc>
      </w:tr>
      <w:tr>
        <w:trPr>
          <w:trHeight w:val="453"/>
        </w:trPr>
        <w:tc>
          <w:tcPr>
            <w:tcW w:w="108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Intuitive Machines, Inc. (formerly known as Inflection Point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have audited the accompanying balance sheets of Intuitive Machines, Inc. (formerly known as Inflection Point Acquisition Corp.) (the “Company”) as of December 31, 2022 and 2021, the related statements of operations, stockholders’ equity and cash flows for the year ended December 31, 2022 and for the period from January 27, 2021 (inception) through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year ended December 31, 2022 and for the period from January 27, 2021 (inception) through December 31, 2021, in conformity with accounting principles generally accepted in the United States of America.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359,610</w:t>
            </w:r>
          </w:p>
        </w:tc>
        <w:tc>
          <w:tcPr>
            <w:tcW w:w="140" w:type="dxa"/>
            <w:vAlign w:val="bottom"/>
          </w:tcPr>
          <w:p>
            <w:pPr>
              <w:spacing w:after="0"/>
              <w:rPr>
                <w:sz w:val="21"/>
                <w:szCs w:val="2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335,888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475,532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8"/>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350,820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835,142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 noncurrent portion</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326,032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334,589,588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329,755,798</w:t>
            </w:r>
          </w:p>
        </w:tc>
        <w:tc>
          <w:tcPr>
            <w:tcW w:w="140" w:type="dxa"/>
            <w:vAlign w:val="bottom"/>
          </w:tcPr>
          <w:p>
            <w:pPr>
              <w:spacing w:after="0"/>
              <w:rPr>
                <w:sz w:val="22"/>
                <w:szCs w:val="22"/>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334,940,408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330,916,972</w:t>
            </w:r>
          </w:p>
        </w:tc>
        <w:tc>
          <w:tcPr>
            <w:tcW w:w="140" w:type="dxa"/>
            <w:vAlign w:val="bottom"/>
            <w:shd w:val="clear" w:color="auto" w:fill="CCEEFF"/>
          </w:tcPr>
          <w:p>
            <w:pPr>
              <w:spacing w:after="0"/>
              <w:rPr>
                <w:sz w:val="21"/>
                <w:szCs w:val="2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Liabilities, Redeemable Ordinary Shares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Accrued offering costs and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3,695,849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218,421</w:t>
            </w: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Working Capital Loan</w:t>
            </w: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4,433,297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219,453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Deferred underwriting fee</w:t>
            </w:r>
          </w:p>
        </w:tc>
        <w:tc>
          <w:tcPr>
            <w:tcW w:w="10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11,541,250</w:t>
            </w:r>
          </w:p>
        </w:tc>
        <w:tc>
          <w:tcPr>
            <w:tcW w:w="140" w:type="dxa"/>
            <w:vAlign w:val="bottom"/>
          </w:tcPr>
          <w:p>
            <w:pPr>
              <w:spacing w:after="0"/>
              <w:rPr>
                <w:sz w:val="22"/>
                <w:szCs w:val="22"/>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4,433,297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11,760,703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5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 subject to possible redemption, 31,588,011 shares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value</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320,719,698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315,880,110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83"/>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5,000,000 shares authorized;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none issued and outstanding</w:t>
            </w: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ordinary shares, $0.0001 par value; 500,000,000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authorized; 1,386,989 shares issued and outstanding (excluding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31,588,011 shares subject to possible redemption)</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Class B ordinary shares, $0.0001 par value; 50,000,000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authorized; 8,243,750 shares issued and outstanding</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10,292,368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3,590,706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(505,919)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(315,511)</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9,787,413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3,276,159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178"/>
        </w:trPr>
        <w:tc>
          <w:tcPr>
            <w:tcW w:w="5580" w:type="dxa"/>
            <w:vAlign w:val="bottom"/>
          </w:tcPr>
          <w:p>
            <w:pPr>
              <w:spacing w:after="0" w:line="177" w:lineRule="exact"/>
              <w:rPr>
                <w:sz w:val="20"/>
                <w:szCs w:val="20"/>
                <w:color w:val="auto"/>
              </w:rPr>
            </w:pPr>
            <w:r>
              <w:rPr>
                <w:rFonts w:ascii="Arial" w:cs="Arial" w:eastAsia="Arial" w:hAnsi="Arial"/>
                <w:sz w:val="18"/>
                <w:szCs w:val="18"/>
                <w:b w:val="1"/>
                <w:bCs w:val="1"/>
                <w:color w:val="auto"/>
              </w:rPr>
              <w:t>Total Liabilities, Redeemable Ordinary Shares and Shareholders’</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334,940,408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330,916,972</w:t>
            </w:r>
          </w:p>
        </w:tc>
        <w:tc>
          <w:tcPr>
            <w:tcW w:w="140" w:type="dxa"/>
            <w:vAlign w:val="bottom"/>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3"/>
              </w:rPr>
              <w:t>January 27,</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5,024,198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491,341</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(5,024,198)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(491,341)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over-allotment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193,471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Issuance cost of over-allotment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4,833,790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4,833,790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175,830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(190,408</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(315,511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and diluted weighted average shares outstanding of Class A ordinary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32,975,000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9,322,714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Basic and diluted weighted average shares outstanding of Class B ordinary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8,243,750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7,485,546</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Basic and diluted net loss per share, Class B ordinary shares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1" w:lineRule="auto"/>
        <w:rPr>
          <w:sz w:val="20"/>
          <w:szCs w:val="20"/>
          <w:color w:val="auto"/>
        </w:rPr>
      </w:pPr>
      <w:r>
        <w:rPr>
          <w:rFonts w:ascii="Arial" w:cs="Arial" w:eastAsia="Arial" w:hAnsi="Arial"/>
          <w:sz w:val="18"/>
          <w:szCs w:val="18"/>
          <w:b w:val="1"/>
          <w:bCs w:val="1"/>
          <w:color w:val="auto"/>
        </w:rPr>
        <w:t>INTUITIVE MACHINES, INC. (F/K/A INFLECTION POINT ACQUISITION CORP.) STATEMENTS OF CHANGES IN SHAREHOLDERS’ EQUITY FOR THE YEAR ENDED DECEMBER 31, 2022 AND FOR THE PERIOD FROM JANUARY 27, 2021 (INCEPTION) THROUGH DECEMBER 31, 2021</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04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Class A</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center"/>
              <w:ind w:left="312"/>
              <w:spacing w:after="0"/>
              <w:rPr>
                <w:sz w:val="20"/>
                <w:szCs w:val="20"/>
                <w:color w:val="auto"/>
              </w:rPr>
            </w:pPr>
            <w:r>
              <w:rPr>
                <w:rFonts w:ascii="Arial" w:cs="Arial" w:eastAsia="Arial" w:hAnsi="Arial"/>
                <w:sz w:val="16"/>
                <w:szCs w:val="16"/>
                <w:b w:val="1"/>
                <w:bCs w:val="1"/>
                <w:color w:val="auto"/>
                <w:w w:val="85"/>
              </w:rPr>
              <w:t>Class B</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148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Ordinary Shares</w:t>
            </w:r>
          </w:p>
        </w:tc>
        <w:tc>
          <w:tcPr>
            <w:tcW w:w="1580" w:type="dxa"/>
            <w:vAlign w:val="bottom"/>
            <w:gridSpan w:val="7"/>
            <w:vMerge w:val="restart"/>
          </w:tcPr>
          <w:p>
            <w:pPr>
              <w:jc w:val="center"/>
              <w:ind w:right="80"/>
              <w:spacing w:after="0"/>
              <w:rPr>
                <w:sz w:val="20"/>
                <w:szCs w:val="20"/>
                <w:color w:val="auto"/>
              </w:rPr>
            </w:pPr>
            <w:r>
              <w:rPr>
                <w:rFonts w:ascii="Arial" w:cs="Arial" w:eastAsia="Arial" w:hAnsi="Arial"/>
                <w:sz w:val="16"/>
                <w:szCs w:val="16"/>
                <w:b w:val="1"/>
                <w:bCs w:val="1"/>
                <w:color w:val="auto"/>
                <w:w w:val="94"/>
              </w:rPr>
              <w:t>Ordinary Shares</w:t>
            </w:r>
          </w:p>
        </w:tc>
        <w:tc>
          <w:tcPr>
            <w:tcW w:w="10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80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158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93"/>
              </w:rPr>
              <w:t>Paid-in</w:t>
            </w:r>
          </w:p>
        </w:tc>
        <w:tc>
          <w:tcPr>
            <w:tcW w:w="100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7"/>
              </w:rPr>
              <w:t>Accumulated</w:t>
            </w:r>
          </w:p>
        </w:tc>
        <w:tc>
          <w:tcPr>
            <w:tcW w:w="1080" w:type="dxa"/>
            <w:vAlign w:val="bottom"/>
            <w:gridSpan w:val="3"/>
            <w:vMerge w:val="restart"/>
          </w:tcPr>
          <w:p>
            <w:pPr>
              <w:jc w:val="center"/>
              <w:ind w:right="20"/>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7"/>
        </w:trPr>
        <w:tc>
          <w:tcPr>
            <w:tcW w:w="18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2"/>
              </w:rPr>
              <w:t>Amount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660" w:type="dxa"/>
            <w:vAlign w:val="bottom"/>
            <w:gridSpan w:val="4"/>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20"/>
                <w:szCs w:val="20"/>
                <w:color w:val="auto"/>
              </w:rPr>
            </w:pPr>
          </w:p>
        </w:tc>
        <w:tc>
          <w:tcPr>
            <w:tcW w:w="900" w:type="dxa"/>
            <w:vAlign w:val="bottom"/>
            <w:gridSpan w:val="3"/>
          </w:tcPr>
          <w:p>
            <w:pPr>
              <w:ind w:left="12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18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8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January 27, 2021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0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8"/>
                <w:szCs w:val="18"/>
                <w:b w:val="1"/>
                <w:bCs w:val="1"/>
                <w:color w:val="auto"/>
              </w:rPr>
              <w:t>— $</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ordinary shares to</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initial shareholders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 8,625,000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6,845,000</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Placement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net of</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6,831,701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6,831,701</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Capital contribution</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for sale of Class B</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shares to Anchor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Investors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9,680,125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9,680,125</w:t>
            </w:r>
          </w:p>
        </w:tc>
        <w:tc>
          <w:tcPr>
            <w:tcW w:w="0" w:type="dxa"/>
            <w:vAlign w:val="bottom"/>
          </w:tcPr>
          <w:p>
            <w:pPr>
              <w:spacing w:after="0"/>
              <w:rPr>
                <w:sz w:val="1"/>
                <w:szCs w:val="1"/>
                <w:color w:val="auto"/>
              </w:rPr>
            </w:pPr>
          </w:p>
        </w:tc>
      </w:tr>
      <w:tr>
        <w:trPr>
          <w:trHeight w:val="41"/>
        </w:trPr>
        <w:tc>
          <w:tcPr>
            <w:tcW w:w="1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1,386,989 Units not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net of</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underwriter discount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offering costs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1,386,989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12,756,833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12,756,972</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Allocated proceeds to</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98"/>
              </w:rPr>
              <w:t>Public Warrants, net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of underwriter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discount and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11,025,229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11,025,229</w:t>
            </w: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381,250</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founder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(381,250)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Remeasurement of</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exercised over-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allotment option</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87,830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87,830</w:t>
            </w: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Remeasurement of</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ordinary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(36,815,188)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(36,815,188)</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(315,511)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(315,511)</w:t>
            </w:r>
          </w:p>
        </w:tc>
        <w:tc>
          <w:tcPr>
            <w:tcW w:w="0" w:type="dxa"/>
            <w:vAlign w:val="bottom"/>
          </w:tcPr>
          <w:p>
            <w:pPr>
              <w:spacing w:after="0"/>
              <w:rPr>
                <w:sz w:val="1"/>
                <w:szCs w:val="1"/>
                <w:color w:val="auto"/>
              </w:rPr>
            </w:pPr>
          </w:p>
        </w:tc>
      </w:tr>
      <w:tr>
        <w:trPr>
          <w:trHeight w:val="27"/>
        </w:trPr>
        <w:tc>
          <w:tcPr>
            <w:tcW w:w="18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December 31, 2021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1,386,989</w:t>
            </w: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8,243,750</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825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3,590,706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(315,511)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3,276,159</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Remeasurement of</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Class A ordinary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shares subject to</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w w:val="99"/>
              </w:rPr>
              <w:t>possible redemption</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(4,839,588)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(4,839,588)</w:t>
            </w:r>
          </w:p>
        </w:tc>
        <w:tc>
          <w:tcPr>
            <w:tcW w:w="0" w:type="dxa"/>
            <w:vAlign w:val="bottom"/>
          </w:tcPr>
          <w:p>
            <w:pPr>
              <w:spacing w:after="0"/>
              <w:rPr>
                <w:sz w:val="1"/>
                <w:szCs w:val="1"/>
                <w:color w:val="auto"/>
              </w:rPr>
            </w:pPr>
          </w:p>
        </w:tc>
      </w:tr>
      <w:tr>
        <w:trPr>
          <w:trHeight w:val="40"/>
        </w:trPr>
        <w:tc>
          <w:tcPr>
            <w:tcW w:w="1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Reduction of deferred</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underwriting fee</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11,541,250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11,541,250</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(190,408)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(190,408)</w:t>
            </w:r>
          </w:p>
        </w:tc>
        <w:tc>
          <w:tcPr>
            <w:tcW w:w="0" w:type="dxa"/>
            <w:vAlign w:val="bottom"/>
          </w:tcPr>
          <w:p>
            <w:pPr>
              <w:spacing w:after="0"/>
              <w:rPr>
                <w:sz w:val="1"/>
                <w:szCs w:val="1"/>
                <w:color w:val="auto"/>
              </w:rPr>
            </w:pPr>
          </w:p>
        </w:tc>
      </w:tr>
      <w:tr>
        <w:trPr>
          <w:trHeight w:val="27"/>
        </w:trPr>
        <w:tc>
          <w:tcPr>
            <w:tcW w:w="18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December 31, 2022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1,386,989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8,243,750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825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10,292,368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(505,919)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9,787,413</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3"/>
              </w:rPr>
              <w:t>January 27,</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(190,408)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(315,511)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Formation cost paid by Sponsor in exchange of issuance of Class B ordinary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11,388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 paid by promissory note –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Change in fair value of over-allotment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(193,471)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cost of over-allotment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(4,833,790)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assets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465,676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(475,532)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(326,032)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Due to related party</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111,416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offering costs and expenses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3,477,428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67,421</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(969,678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(1,204,564</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(329,750,000)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0"/>
              </w:rPr>
              <w:t>(329,750,000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6,845,000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325,155,000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promissory note –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(188,805)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from working capital loan</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(497,021)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625,000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w w:val="95"/>
              </w:rPr>
              <w:t>331,314,174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(344,678)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359,610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Beginning</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359,610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14,932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359,610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Offering costs paid by Sponsor in exchange for issuance of Class B ordinary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Offering costs paid by promissory note – related party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180,305</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60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Capital contribution for excess fair value of Class B shares sold by the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 to Anchor Investors determined to be offering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9,680,125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6"/>
              </w:rPr>
              <w:t>Deferred underwriting commissions payable charged to additional paid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180"/>
              <w:spacing w:after="0"/>
              <w:rPr>
                <w:sz w:val="20"/>
                <w:szCs w:val="20"/>
                <w:color w:val="auto"/>
              </w:rPr>
            </w:pPr>
            <w:r>
              <w:rPr>
                <w:rFonts w:ascii="Arial" w:cs="Arial" w:eastAsia="Arial" w:hAnsi="Arial"/>
                <w:sz w:val="18"/>
                <w:szCs w:val="18"/>
                <w:color w:val="auto"/>
              </w:rPr>
              <w:t>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11,541,250</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Remeasurement of Class A ordinary shares subject to possible redemption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4,839,588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36,815,188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Reduction of deferred underwriting fee</w:t>
            </w: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11,541,250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Accrued offering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376"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NOTE 1. ORGANIZATION, BUSINESS OPERATIONS, PROPOSED BUSINESS COMBINATION AND GOING CONCERN</w:t>
      </w:r>
    </w:p>
    <w:p>
      <w:pPr>
        <w:spacing w:after="0" w:line="8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Intuitive Machines, Inc. (f/k/a Inflection Point Acquisition Corp. (the “Company”) was a blank check company incorporated as a Cayman Islands exempted company on January 27, 2021. The Company was incorporated for the purpose of effecting a merger, share exchange, asset acquisition, share purchase, reorganization or similar business combination with one or more businesses (an “Initial Business Combination”).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Prior to the Business Combination</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activity for the period from January 27, 2021 (inception) through December 31, 2022 related to the Company’s formation and the initial public offering (the “IPO”) which is described below, and, subsequent to the IPO, identifying a target company for an Initial Business Combination and consummating the Business Combination (described below). The Company generated non-operating income in the form of interest income on cash and cash equivalents from the proceeds derived from the IPO.</w:t>
      </w:r>
    </w:p>
    <w:p>
      <w:pPr>
        <w:spacing w:after="0" w:line="10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Company’s sponsor was Inflection Point Holdings LLC, a Cayman Islands limited liability company (the “Sponsor”). The registration statement for the Company’s IPO was declared effective on September 21, 2021 (the “Effective Date”). On September 24, 2021, the Company consummated the IPO of 30,000,000 units at $10.00 per unit (the “Units”), which is discussed in Note 3. Each Unit consisted of one Class A ordinary share (the “Class A ordinary shares” or “Public Shares”) of the Company, par value $0.0001, and one-half of one redeemable warrant (the “Public Warrants”) of the Company, with each whole warrant entitling the holder to purchase one Class A ordinary share for $11.50 per share, subject to adjustment. The underwriters had a 45-day option from the Effective Date to purchase up to an additional 4,500,000 Units to cover over-allotments, if any. On October 29, 2021, the underwriters partially exercised the over-allotment option (the “Over-Allotment” and together with the IPO, the “Public Offering”) and purchased an additional 2,975,000 Units (the “Over-Allotment Units”), generating additional gross proceeds of $29,750,000, and forfeited their option to purchase the remaining 1,525,000 Units.</w:t>
      </w:r>
    </w:p>
    <w:p>
      <w:pPr>
        <w:spacing w:after="0" w:line="9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Simultaneously with the closing of the IPO, the Company consummated the private placement (the “Private Placement”) of 6,250,000 warrants (each an “IPO Private Placement Warrant”) to the Sponsor, each exercisable to purchase one Class A ordinary share at $11.50 per share, at a price of $1.00 per IPO Private Placement Warrant, generating gross proceeds to the Company of $6,250,000, which is described in Note 4. On October 29, 2021, simultaneously with the sale of the Over-Allotment Units, the Sponsor purchased an additional 595,000 warrants in a private placement (the “Over-Allotment Private Placement Warrants” and together with the IPO Private Placement Warrants, the “Private Placement Warrants”), generating aggregate gross proceeds to the Company of $595,000.</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An aggregate of 12 qualified institutional buyers (“Anchor Investors”) expressed an interest to purchase an aggregate of approximately $322.3 million of the Units sold in the IPO. None of the Anchor Investors expressed an interest in purchasing more than 9.9% of the Units sold in the IPO. The Anchor Investors were allocated and purchased a total of 29,540,000 Units or 98.5% of the Units sold in the IPO. One of the Anchor Investors, Kingstown 1740 Fund, LP, (“Kingstown 1740”) is an affiliate of the Sponsor, and was allocated and purchased 2,900,000 Units sold in the IPO.</w:t>
      </w:r>
    </w:p>
    <w:p>
      <w:pPr>
        <w:spacing w:after="0" w:line="125"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addition, subject to each Anchor Investor purchasing 100% of the Units allocated to it, in connection with the closing of the IPO, the Sponsor sold membership interests reflecting an allocation of Class B ordinary shares, par value $0.0001 per share (the “Founder Shares”) to each Anchor Investor, amounting to an aggregate of 1,625,000 Founder Shares to all Anchor Investors collectively (see Note 6). The Company estimated the aggregate fair value of these Founder Shares attributable to Anchor Investors to be approximately $9.68 million, or $5.96 per share. The excess of the fair value of the Founder Shares was determined to be an offering cost in accordance with Staff Accounting Bulletin Topic 5A. Upon the completion of the IPO, offering costs allocated</w:t>
      </w:r>
    </w:p>
    <w:p>
      <w:pPr>
        <w:spacing w:after="0" w:line="2" w:lineRule="exact"/>
        <w:rPr>
          <w:sz w:val="20"/>
          <w:szCs w:val="20"/>
          <w:color w:val="auto"/>
        </w:rPr>
      </w:pPr>
    </w:p>
    <w:p>
      <w:pPr>
        <w:jc w:val="both"/>
        <w:ind w:left="460" w:right="459" w:hanging="6"/>
        <w:spacing w:after="0" w:line="255" w:lineRule="auto"/>
        <w:tabs>
          <w:tab w:leader="none" w:pos="7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Public Shares not subject to possible redemption and the Public Warrants were charged to additional paid-in capital; (2) to the Public Shares subject to redemption were charged to temporary equity; and (3) to the over-allotment option were charged to expense.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2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Transaction costs amounted to $26,658,313 consisting of $4,595,000 of underwriting commissions, $11,541,250 of deferred underwriting commissions, $9,680,125 excess fair value of founder shares (see Note 5), and $841,938 of other offering costs, with $23,439 allocated to the over-allotment option, $24,538,134 allocated to the Class A ordinary shares subject to redemption, and $2,096,740 allocated to the Class A ordinary shares not subject to redemption, the Public Warrants and the Private Placement Warrants.</w:t>
      </w:r>
    </w:p>
    <w:p>
      <w:pPr>
        <w:spacing w:after="0" w:line="9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Following the closing of the IPO on September 24, 2021, $300,000,000 ($10.00 per Unit) from the net proceeds of the sale of the Units in the IPO and the sale of the IPO Private Placement Warrants was deposited into a trust account (the “Trust Account”). Following the closing of the Over-Allotment on October 29, 2021, an additional $29,750,000 ($10.00 per Over-Allotment Unit) from the net proceeds from the sale of the Over-Allotment Units in the Over-Allotment and the sale of the Over-Allotment Private Placement Warrants was deposited into the Trust Account. The proceeds deposited in the Trust Account were invested only in U.S. government securities, within the meaning set forth in Section 2(a)(16) of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taxes, if any, the proceeds from the Public Offering and the sale of the Private Placement Warrants were not released from the Trust Account until the earliest of (i) the completion of an Initial Business Combination, (ii) the redemption of the Company’s Public Shares if the Company is unable to complete an Initial Business Combination within 24 months from the closing of the IPO,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an Initial Business Combination or to redeem 100% of its Public Shares if the Company has not consummated an Initial Business Combination within 24 months from the closing of the IPO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spacing w:after="0" w:line="31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Company’s management had broad discretion with respect to the specific application of the net proceeds of the Public Offering and the Private Placement Warrants, although substantially all of the net proceeds are intended to be generally applied toward consummating an Initial Business Combination (less deferred underwriting commissions). The Company’s Initial Business Combination must be with one or more operating businesses or assets with a fair market value equal to at least 80% of the value of the Trust Account (excluding the amount of any deferred underwriting discount held in trust and taxes payable on the income earned on the Trust Account). However, the Company will only complete an Initial Business Combination if the post-transaction company owns or acquires 50% or more of the issued and outstanding voting securities of the target or otherwise acquires a controlling interest in the target sufficient for it not to be required to register as an investment company under the Investment Company Act of 1940, as amended, and the rules and regulations promulgated thereunder (the “Investment Company Act”). There is no assurance that the Company will be able to successfully effect an Initial Business Combination.</w:t>
      </w:r>
    </w:p>
    <w:p>
      <w:pPr>
        <w:spacing w:after="0" w:line="11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 provided holders of Public Shares (the “Public Shareholders”), with the opportunity to redeem all or a portion of their Public Shares upon the completion of an Initial Business Combination either (i) in connection with a general meeting called to approve such Initial Business Combination or (ii) without a shareholder vote by means of a tender offer. The decision as to whether the Company will seek shareholder approval of any Initial Business Combination or conduct a tender offer will be made by the Company, solely in its discretion. The Public Shareholders were entitled to redeem their Public Shares for a pro rata portion of the amount then on deposit in the Trust Account (initially $10.00 per Public Share, plus any pro rata interest earned on the funds held in the Trust Account and not previously released to the Company to pay its taxes).</w:t>
      </w:r>
    </w:p>
    <w:p>
      <w:pPr>
        <w:spacing w:after="0" w:line="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had 24 months from the closing of the IPO to complete an Initial Business Combination (the “Combination Period”). However, if the Company was unable to complete an Initial Business Combination within the Combination Period, the Company would have (i) ceased all operations except for the purpose of winding up, (ii) as promptly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25"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reasonably possible but not more than ten business days thereafter, redeemed the Public Shares, at a per-share price, payable in cash, equal to the aggregate amount then on deposit in the Trust Account, including interest earned on the funds held in the Trust Account (less tax payable and up to $100,000 of interest to pay dissolution expenses) divided by the number of then outstanding Public Shares, which redemption would have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liquidate and dissolve, subject in the case of clauses (ii) and (iii) to the Company’s obligations under Cayman Islands law to provide for claims of creditors and in all cases subject to the other requirements of applicable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Business Combination</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On September 16, 2022, the Company entered into a business combination agreement (the “Business Combination Agreement”) with Intuitive Machines, LLC, a Texas limited liability company (“Intuitive Machines” and, subsequent to the Proposed Business Combination, “Intuitive Machines OpCo”), pursuant to which, subject to the satisfaction or waiver of certain closing conditions, including the approval of the Business Combination Agreement and the transactions contemplated thereby by the Company’s shareholders, (1) at the closing of the transactions contemplated by the Business Combination Agreement (the “Closing”) and following the Domestication (as defined below), (a) the Company will acquire equity securities and become the managing member of Intuitive Machines OpCo and (b) the Company will issue voting equity securities without economic rights to the existing members of Intuitive Machines prior to the Closing (“Intuitive Machines Members”), resulting in a combined company organized in an umbrella partnership C corporation (“Up-C”) structure, in which substantially all of the assets and the business of the combined company will be held by Intuitive Machines OpCo; (2) the Company will domesticate (the “Domestication”) as a Delaware corporation in accordance with the Delaware General Corporation Law (“DGCL”), the Companies Act (As Revised) of the Cayman Islands (the “Companies Act”) and the Company’s amended and restated memorandum and articles of association, (3) Intuitive Machines will change its jurisdiction from Texas to Delaware (the “Conversion”) and complete a recapitalization (the “Recapitalization”) whereby all outstanding equity securities of Intuitive Machines will be converted or exchanged into common units, options, and unvested earn out units, as applicable, and (4) the other transactions contemplated by the Business Combination Agreement and documents related thereto will be consummated (such transactions, together with the business combination and the Domestication, Conversion, and Recapitalization, the “Proposed Business Combination”). In connection with the Proposed Business Combination, the Company will be renamed “Intuitive Machines, Inc.” (“New Intuitive Machines”).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February 13, 2023, the Company consummated the Business Combination and related transactions pursuant to that certain Business Combination Agreement, dated September 16, 2022, as further described in the Current Report on Form 8-K filed by the Company on February 14, 2023.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Domestication</w:t>
      </w:r>
    </w:p>
    <w:p>
      <w:pPr>
        <w:spacing w:after="0" w:line="158"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As a condition to the Business Combination, the Company changed its jurisdiction of incorporation by effecting a deregistration under Section 206 of the Companies Act and a domestication under Section 388 of the DGCL, pursuant to which the Company’s jurisdiction of incorporation changed from the Cayman Islands to the State of Delaware. Immediately prior to the Domestication, pursuant to the Company’s amended and restated memorandum and articles of association, each Founder Share converted automatically, on a one-for-one basis, into a Class A ordinary share. Immediately following such conversion, in connection with the Domestication, each of the then issued and outstanding Class A ordinary shares converted automatically, on a one-for-one basis, into one share of New Intuitive Machines Class A common stock, par value $0.0001 per share, each of which carries voting rights of one vote per share (collectively, the “New Intuitive Machines Class A Common Stock”);</w:t>
      </w:r>
    </w:p>
    <w:p>
      <w:pPr>
        <w:spacing w:after="0" w:line="6" w:lineRule="exact"/>
        <w:rPr>
          <w:sz w:val="20"/>
          <w:szCs w:val="20"/>
          <w:color w:val="auto"/>
        </w:rPr>
      </w:pPr>
    </w:p>
    <w:p>
      <w:pPr>
        <w:ind w:left="460" w:right="479" w:hanging="6"/>
        <w:spacing w:after="0" w:line="260" w:lineRule="auto"/>
        <w:tabs>
          <w:tab w:leader="none" w:pos="823"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whole warrant to purchase one Class A ordinary share (each warrant, a “Company Warrant”) automatically represents the right to purchase one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share of New Intuitive Machines Class A Common Stock on the same terms as the Company Warrants (each a “New Intuitive Machines Warrant”) and (c) each of the units of the Company outstanding as of immediately prior to the Domestication was automatically canceled and each holder became entitled to one share of New Intuitive Machines Class A Common Stock and one-half of one New Intuitive Machines Warrant, per unit. No fractional New Intuitive Machines Warrants were issued upon such cancellation.</w:t>
      </w:r>
    </w:p>
    <w:p>
      <w:pPr>
        <w:spacing w:after="0" w:line="10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Concurrently with the Domestication and subject to the satisfaction or waiver of the conditions set forth in the Business Combination Agreement, including approval by the Company’s shareholders, the Company adopted a certificate of incorporation (the “Certificate of Incorporation”) that, among other things, implemented a revised class structure with the shares of New Intuitive Machines Class A Common Stock having one vote per share and economic rights, the shares of Class B common stock of New Intuitive Machines, par value $0.0001 per share, having one vote per share and no economic rights (collectively, the “New Intuitive Machines Class B Common Stock”) and the shares of Class C common stock of New Intuitive Machines, par value $0.0001 per share, having three votes per share and no economic rights (collectively, the “New Intuitive Machines Class C Common Stock” and the New Intuitive Machines Class A Common Stock, the New Intuitive Machines Class B Common Stock and New Intuitive Machines Class C Common Stock, collectively, the “New Intuitive Machines Common Stock”). The Certificate of Incorporation also authorized the issuance of “blank check” preferred stock, par value $0.0001 per share, having such characteristics as the board may, from time to time, provide. The Company’s board of directors adopted a Certificate of Designation of Preferences, Rights and Limitations of 10% Series A Cumulative Convertible Preferred Stock, creating the Series A Preferred Stock (as defined below).</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Conversion and Recapitalization</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the Business Combination, Intuitive Machines changed its jurisdiction of organization from Texas to Delaware. Immediately prior to the Closing, Intuitive Machines effectuated the Recapitalization whereby all outstanding equity securities of Intuitive Machines were converted into common units of Intuitive Machines OpCo (“Intuitive Machines OpCo Common Units”), options to purchase Intuitive Machines OpCo Common Units (“Intuitive Machines OpCo Options”) and unvested earn out units of Intuitive Machines OpCo (“Earn Out Units”).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and Structure</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a result of the Up-C structure, the business combination consideration received by Intuitive Machines Members consisted of securities of both Intuitive Machines OpCo having economic rights but not voting rights and New Intuitive Machines having voting rights but not economic rights equal to a value of approximately $700,000,000. In particular, the business combination consideration received by the Intuitive Machines Members comprised of an aggregate of (a) (i) 68,125,987 Intuitive Machines OpCo Common Units,</w:t>
      </w:r>
    </w:p>
    <w:p>
      <w:pPr>
        <w:spacing w:after="0" w:line="2" w:lineRule="exact"/>
        <w:rPr>
          <w:sz w:val="20"/>
          <w:szCs w:val="20"/>
          <w:color w:val="auto"/>
        </w:rPr>
      </w:pPr>
    </w:p>
    <w:p>
      <w:pPr>
        <w:jc w:val="both"/>
        <w:ind w:left="460" w:right="479" w:hanging="6"/>
        <w:spacing w:after="0" w:line="265" w:lineRule="auto"/>
        <w:tabs>
          <w:tab w:leader="none" w:pos="7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1,874,013 Intuitive Machines OpCo Options and (iii) 10,000,000 Earn Out Units and (b) (i) 278 shares of New Intuitive Machines Class B Common Stock (excluding 1,874,013 shares of New Intuitive Machines Class B Common Stock reserved for issuance upon exercise of Intuitive Machines OpCo Options) and</w:t>
      </w:r>
    </w:p>
    <w:p>
      <w:pPr>
        <w:ind w:left="460" w:right="479" w:hanging="6"/>
        <w:spacing w:after="0" w:line="290" w:lineRule="auto"/>
        <w:tabs>
          <w:tab w:leader="none" w:pos="727" w:val="left"/>
        </w:tabs>
        <w:numPr>
          <w:ilvl w:val="0"/>
          <w:numId w:val="85"/>
        </w:numPr>
        <w:rPr>
          <w:rFonts w:ascii="Arial" w:cs="Arial" w:eastAsia="Arial" w:hAnsi="Arial"/>
          <w:sz w:val="17"/>
          <w:szCs w:val="17"/>
          <w:color w:val="auto"/>
        </w:rPr>
      </w:pPr>
      <w:r>
        <w:rPr>
          <w:rFonts w:ascii="Arial" w:cs="Arial" w:eastAsia="Arial" w:hAnsi="Arial"/>
          <w:sz w:val="17"/>
          <w:szCs w:val="17"/>
          <w:color w:val="auto"/>
        </w:rPr>
        <w:t>68,125,709 shares of New Intuitive Machines Class C Common Stock (excluding 10,000,000 shares of New Intuitive Machines Class C Common Stock reserved for issuance upon vesting of the Earn Out Units).</w:t>
      </w:r>
    </w:p>
    <w:p>
      <w:pPr>
        <w:spacing w:after="0" w:line="94"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The 10,000,000 Earn Out Units received by the applicable Intuitive Machines Members are subject to vesting and will be earned, released and delivered upon satisfaction of the following milestones: (i) 2,500,000 Earn Out Units will vest if, during the Earn Out Period (as defined below), Intuitive Machines is awarded the OMES III Contract by NASA (“Triggering Event I”), (ii) 5,000,000 Earn Out Units will vest if, within the Earn Out Period, Triggering Event I occurs and the volume weighted average closing sale price of New Intuitive Machines Class A Common Stock equals or exceeds $15.00 per share (“Triggering Event II-A”), (iii) 7,500,000 Earn Out Units will vest if, within the Earn Out Period, Triggering Event I has not occurred and the volume weighted average closing sale price of New Intuitive Machines Class A Common Stock equals or exceeds $15.00 per share (“Triggering Event II-B”), and (iv) 2,500,000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2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Earn Out Units will vest if, within the Earn Out Period, Triggering Event III occurs the volume weighted average closing sale price of New Intuitive Machines Class A Common Stock equals or exceeds $17.50 per share (“Triggering Event III”), provided, that Triggering Event II-A and Triggering Event II-B may not both be achieved. “Earn Out Period” means (i) with respect to Triggering Event I, the time period beginning on September 16, 2022 and ending at 11:59 pm ET on December 31, 2023, and (ii) with respect to Triggering Event II-A, Triggering Event II-B and Triggering Event III, the time period beginning on the date that is 150 days following the date of Closing and ending on the date that is the five (5) year anniversary of the date of Closing. If a Change of Control (as defined in the Business Combination Agreement) occurs during the Earn Out Period that results in the holders of New Intuitive Machines Class A Common Stock receiving a per share price greater than or equal to $15.00 or $17.50, respectively, then immediately prior to the consummation of such Change of Control, to the extent not previously triggered, then Triggering Event II-A or Triggering Event II-B will be deemed to have occurred, as applicable, and the applicable Earn Out Units shall vest.</w:t>
      </w:r>
    </w:p>
    <w:p>
      <w:pPr>
        <w:spacing w:after="0" w:line="10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After the expiration of the applicable lock-up period, holders of certain Intuitive Machines OpCo Common Units will be permitted to exchange such Intuitive Machines OpCo Common Units (along with the cancellation of the paired share of New Intuitive Machines Class B Common Stock or share of New Intuitive Machines Class C Common Stock) for shares of New Intuitive Machines Class A Common Stock on a one-for-one basis pursuant to the second amended and restated limited liability company agreement of Intuitive Machines OpCo (the “Second A&amp;R Operating Agreement”) (subject to customary conversion rate adjustments for stock splits, stock dividends and reclassifications) or, at the election of New Intuitive Machines (determined by a majority of the directors of New Intuitive Machines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Upon the vesting of any Earn Out Units, each of the applicable Intuitive Machines Members will be issued</w:t>
      </w:r>
    </w:p>
    <w:p>
      <w:pPr>
        <w:spacing w:after="0" w:line="35" w:lineRule="exact"/>
        <w:rPr>
          <w:sz w:val="20"/>
          <w:szCs w:val="20"/>
          <w:color w:val="auto"/>
        </w:rPr>
      </w:pPr>
    </w:p>
    <w:p>
      <w:pPr>
        <w:jc w:val="both"/>
        <w:ind w:left="460" w:right="459" w:hanging="6"/>
        <w:spacing w:after="0" w:line="286" w:lineRule="auto"/>
        <w:tabs>
          <w:tab w:leader="none" w:pos="686" w:val="left"/>
        </w:tabs>
        <w:numPr>
          <w:ilvl w:val="0"/>
          <w:numId w:val="86"/>
        </w:numPr>
        <w:rPr>
          <w:rFonts w:ascii="Arial" w:cs="Arial" w:eastAsia="Arial" w:hAnsi="Arial"/>
          <w:sz w:val="16"/>
          <w:szCs w:val="16"/>
          <w:color w:val="auto"/>
        </w:rPr>
      </w:pPr>
      <w:r>
        <w:rPr>
          <w:rFonts w:ascii="Arial" w:cs="Arial" w:eastAsia="Arial" w:hAnsi="Arial"/>
          <w:sz w:val="16"/>
          <w:szCs w:val="16"/>
          <w:color w:val="auto"/>
        </w:rPr>
        <w:t>by Intuitive Machines OpCo an equal number of Intuitive Machines OpCo Common Units and (ii) by New Intuitive Machines an equal number of shares of New Intuitive Machines Class C Common Stock, in exchange for surrender of the applicable Earn Out Units and the payment to New Intuitive Machines of a per-share price equal to the par value per share of the New Intuitive Machines Class C Common Stock. Upon the exercise of any Intuitive Machines OpCo Option, (i) Intuitive Machines OpCo will issue to the exercising holder such number of Intuitive Machines OpCo Common Units to be received by such exercising holder as a result of such exercise and (ii) New Intuitive Machines will issue to the exercising holder an equal number of shares of New Intuitive Machines Class B Common Stock, in exchange for the payment to New Intuitive Machines of a per-share price equal to the par value per share of the New Intuitive Machines Class B Common Stock.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Series A Investment</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On September 16, 2022, concurrently with the execution of the Business Combination Agreement, the Company entered into a purchase agreement (the “Series A Purchase Agreement”) with Kingstown 1740 (an existing security holder of the Company and an affiliate of the Sponsor) and Ghaffarian Enterprises, LLC (an affiliate of Kamal Ghaffarian, an Intuitive Machines founder) (collectively, the “Series A Investors”), pursuant to which, and on the terms and subject to the conditions of which, New Intuitive Machines agreed to issue and sell to the Series A Investors (i) an aggregate of 26,000 shares of 10% Series A Cumulative Convertible Preferred Stock, par value $0.0001 per share (the “Series A Preferred Stock”) which will be convertible into shares of New Intuitive Machines Class A Common Stock in accordance with the terms of the Certificate of Designation of Preferences, Rights and Limitations of 10% Series A Cumulative Convertible Preferred Stock (the “Certificate of Designation”) to be adopted by the Company’s board of directors following the Domestication but prior to the Closing and (ii) warrants to purchase 541,667 shares of New Intuitive Machines Class A Common Stock at an initial exercise price of $15.00 per share, subject to adjustment (the “Preferred Investor Warrants”).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Receivable Agreement</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Business Combination Agreement contemplates that, at the Closing, New Intuitive Machines will enter into a tax receivable agreement (the “Tax Receivable Agreement”) with Intuitive Machines OpCo and certain Intuitive Machines Members (the “TRA Holders”). Pursuant to the Tax Receivable Agreement, New Intuitive Machines will generally be required to pay the TRA Holders 85% of the amount of the cash tax savings, if any, in U.S. federal, state, and local taxes that are based on, or measured with respect to, net income or profits, and any interest related thereto that New Intuitive Machines (and applicable consolidated, unitary, or combined subsidiaries thereof, if any and collectively the “Tax Group”) realizes, or is deemed to realize, as a result of certain tax attributes (the “Tax Attributes”), including:</w:t>
      </w:r>
    </w:p>
    <w:p>
      <w:pPr>
        <w:spacing w:after="0" w:line="111" w:lineRule="exact"/>
        <w:rPr>
          <w:sz w:val="20"/>
          <w:szCs w:val="20"/>
          <w:color w:val="auto"/>
        </w:rPr>
      </w:pPr>
    </w:p>
    <w:p>
      <w:pPr>
        <w:jc w:val="both"/>
        <w:ind w:left="1320" w:right="479" w:hanging="434"/>
        <w:spacing w:after="0" w:line="263" w:lineRule="auto"/>
        <w:tabs>
          <w:tab w:leader="none" w:pos="1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existing tax basis in certain assets of Intuitive Machines OpCo and certain of its direct or indirect subsidiaries, including assets that will eventually be subject to depreciation or amortization, once placed in service;</w:t>
      </w:r>
    </w:p>
    <w:p>
      <w:pPr>
        <w:spacing w:after="0" w:line="116" w:lineRule="exact"/>
        <w:rPr>
          <w:rFonts w:ascii="Arial" w:cs="Arial" w:eastAsia="Arial" w:hAnsi="Arial"/>
          <w:sz w:val="18"/>
          <w:szCs w:val="18"/>
          <w:color w:val="auto"/>
        </w:rPr>
      </w:pPr>
    </w:p>
    <w:p>
      <w:pPr>
        <w:jc w:val="both"/>
        <w:ind w:left="1320" w:right="459" w:hanging="434"/>
        <w:spacing w:after="0" w:line="279" w:lineRule="auto"/>
        <w:tabs>
          <w:tab w:leader="none" w:pos="13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tax basis adjustments resulting from taxable exchanges of Intuitive Machines OpCo Common Units (including any such adjustments resulting from certain payments made by New Intuitive Machines under the Tax Receivable Agreement) acquired by New Intuitive Machines from a TRA Holder pursuant to the terms of the Second A&amp;R Operating Agreement;</w:t>
      </w:r>
    </w:p>
    <w:p>
      <w:pPr>
        <w:spacing w:after="0" w:line="90" w:lineRule="exact"/>
        <w:rPr>
          <w:rFonts w:ascii="Arial" w:cs="Arial" w:eastAsia="Arial" w:hAnsi="Arial"/>
          <w:sz w:val="17"/>
          <w:szCs w:val="17"/>
          <w:color w:val="auto"/>
        </w:rPr>
      </w:pPr>
    </w:p>
    <w:p>
      <w:pPr>
        <w:jc w:val="both"/>
        <w:ind w:left="1320" w:right="459" w:hanging="434"/>
        <w:spacing w:after="0" w:line="257" w:lineRule="auto"/>
        <w:tabs>
          <w:tab w:leader="none" w:pos="1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tax benefits realized by New Intuitive Machines as a result of certain U.S. federal income tax allocations of taxable income or gain away from New Intuitive Machines and to other members of Intuitive Machines OpCo and deductions or losses to New Intuitive Machines and away from other members of Intuitive Machines OpCo, in each case as a result of the Proposed Business Combination;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 deductions in respect of portions of certain payments made under the Tax Receivable Agreement.</w:t>
      </w:r>
    </w:p>
    <w:p>
      <w:pPr>
        <w:spacing w:after="0" w:line="103"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Upon the completion of the Business Combination, New Intuitive Machines became a party to the Tax Receivable Agreement. Under the terms of the Tax Receivable Agreement, New Intuitive Machines will make payments to the TRA Holders in respect of 85% of the cash tax savings resulting from the net tax benefit to New Intuitive Machines of certain Tax Attributes (calculated using certain assumptions, and subject to the terms of the Tax Receivable Agreement). However, until a TRA Holder exchanges at least 5% of its Intuitive Machines OpCo Common Units, New Intuitive Machines will hold such payments applicable to existing basis until the TRA Holder satisfies such threshold exchange. Upon the completion of the Business Combination, no TRA Holder will have exchanged at least 5% of its Intuitive Machines OpCo Common Units. The tax impacts of the transaction were estimated based on the applicable law in effect on June 30, 2022.</w:t>
      </w:r>
    </w:p>
    <w:p>
      <w:pPr>
        <w:spacing w:after="0" w:line="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Future exchanges will result in incremental tax attributes and potential cash tax savings for New Intuitive Machines. Depending on New Intuitive Machines’ assessment on realizability of such tax attributes, the arising Tax Receivable Agreement liability will be recorded at the exchange date against equity, or at a later point through income.</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However, if all of the TRA Holders were to exchange or sell us all of their Intuitive Machines OpCo Common Units, New Intuitive Machines would recognize a deferred tax asset of approximately $169.2 million and a liability under the Tax Receivable Agreement of approximately $147.2 million, assuming: (i) all exchanges or purchases occurred on the same day; (ii) a price of $10 per share; (iii) a constant corporate tax rate; (iv) that New Intuitive Machines will have sufficient taxable income to fully utilize the tax benefits; and (v) no material changes in tax law. These amounts are estimates and have been prepared for illustrative purposes only. The actual amount of deferred tax assets and related liabilities that New Intuitive Machines will recognize will differ based on, among other things, the timing of the exchanges, the price per share of New Intuitive Machines Class A Common Stock at the time of the exchange, and the tax rates then in effect and certain change of control or early termination events occurring.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2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New Intuitive Machines exercises its right to terminate the Tax Receivable Agreement or in the case of a change in control of New Intuitive Machines or a material breach of New Intuitive Machines’ obligations under the Tax Receivable Agreement, all obligations under the Tax Receivable Agreement will be accelerated and New Intuitive Machines will be required to make a payment to the TRA Holders in an amount equal to the present value of future payments under the Tax Receivable Agreement. This payment would be based on certain assumptions, including that New Intuitive Machines would have sufficient taxable income to fully utilize the benefits arising from the Tax Attributes subject to the Tax Receivable Agreement. If New Intuitive Machines were to elect to terminate the Tax Receivable Agreement immediately after the Proposed Business Combination, assuming the market value of New Intuitive Machines Class A Common Stock is equal to $10 per share, the Company currently estimates that it would be required to pay approximately $99.7 million to satisfy its total liability.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Facility</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On September 16, 2022, the Company entered into a common stock purchase agreement (the “Cantor Purchase Agreement”), dated September 16, 2022, with CF Principal Investments LLC (“CFPI”) relating to an equity facility under which shares of newly issued New Intuitive Machines Class A Common Stock may be sold to CFPI by New Intuitive Machines. Pursuant to the terms of the Cantor Purchase Agreement, New Intuitive Machines will have the right, but not the obligation, from time to time at its sole discretion, until the first day of the month following the 18-month period from and after the Commencement (as defined in the Cantor Purchase Agreement), to direct CFPI to purchase up to the lesser of (i) $50 million of newly issued New Intuitive Machines Class A Common Stock and (ii) the Exchange Cap, by delivering written notice to CFPI prior to the commencement of trading on any trading day, subject to certain customary conditions and limitations set forth in the Cantor Purchase Agreement. In connection with the execution of the Cantor Purchase Agreement, the Company agreed to issue 100,000 shares (the “Commitment Shares”) of New Intuitive Machines Class A Common Stock to CFPI. The Company entered into a registration rights agreement with CFPI, pursuant to which it agreed to register for resale, pursuant to Rule 415 under the Securities Act, the shares of New Intuitive Machines Class A Common Stock that are sold to CFPI under the equity facility and the Commitment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Sponsor Support Agreement</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Concurrently with the execution and delivery of the Business Combination Agreement, the Sponsor, the Company and Intuitive Machines entered into the Sponsor Support Agreement pursuant to which the Sponsor agreed to, among other things, vote and approve the Business Combination Agreement and all other documents and transaction contemplated thereby, and to waive, subject to the consummation of the Proposed Business Combination, any and all anti-dilution rights with respect to the rate that the Founder Shares convert into Class A ordinary shares in connection with the transactions contemplated by the Business Combination Agreement, in each case, subject to the terms and conditions of the Sponsor Support Agreement. In connection with the Sponsor Support Agreement, the Company provided the Sponsor with indemnification against certain claims brought against the Sponsor for a period of six years following the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Non-Redemption Agreement</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and Intuitive Machines entered into a non-redemption agreement (the “Non-Redemption Agreement”) with Kingstown 1740, an affiliate of the Sponsor, pursuant to which Kingstown 1740 agreed not to redeem the 2,900,000 Class A ordinary shares held by it.</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additional information regarding the Business Combination, see the Company’s Form 8-K/A, dated February 13, 2023 and filed with the SEC on February 15, 2023.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 xml:space="preserve">NOTE 1. ORGANIZATION, BUSINESS OPERATIONS, PROPOSED BUSINESS COMBINATION AND GOING CONCERN </w:t>
      </w:r>
      <w:r>
        <w:rPr>
          <w:rFonts w:ascii="Arial" w:cs="Arial" w:eastAsia="Arial" w:hAnsi="Arial"/>
          <w:sz w:val="18"/>
          <w:szCs w:val="18"/>
          <w:color w:val="auto"/>
        </w:rPr>
        <w:t>(cont.)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of December 31, 2022, the Company had $14,932 in its operating bank account, and working capital deficiency $4,082,477. On September 30, 2021, the Sponsor agreed to provide the Company with loans in such amounts as may be required by the Company to fund the Company’s working capital requirements up to an aggregate of $250,000. On March 8, 2022, the Sponsor agreed to provide the Company with loans in such amounts as may be required by the Company to fund the Company’s working capital requirements up to an aggregate of $500,000.</w:t>
      </w:r>
    </w:p>
    <w:p>
      <w:pPr>
        <w:spacing w:after="0" w:line="1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August 4, 2022, the Sponsor agreed to loan the Company up to $1,000,000 to be used for ongoing expenses reasonably related to the business of the Company and the consummation of an Initial Business Combination pursuant to a convertible promissory note (the “Working Capital Note”).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unpaid principal under the Working Capital Note shall be due and payable in full on the earlier of</w:t>
      </w:r>
    </w:p>
    <w:p>
      <w:pPr>
        <w:spacing w:after="0" w:line="23" w:lineRule="exact"/>
        <w:rPr>
          <w:sz w:val="20"/>
          <w:szCs w:val="20"/>
          <w:color w:val="auto"/>
        </w:rPr>
      </w:pPr>
    </w:p>
    <w:p>
      <w:pPr>
        <w:jc w:val="both"/>
        <w:ind w:left="460" w:right="459" w:hanging="6"/>
        <w:spacing w:after="0" w:line="268" w:lineRule="auto"/>
        <w:tabs>
          <w:tab w:leader="none" w:pos="69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September 24, 2023 and (ii) the effective date of an Initial Business Combination, involving the Company and one or more businesses (such earlier date, the “Maturity Date”), unless accelerated upon the occurrence of an event of default as set forth in the Working Capital Note. The Sponsor will have the option, at any time on or prior to the Maturity Date, to convert up to $1,000,000 outstanding under the Working Capital Note into warrants to purchase Class A ordinary shares at a conversion price of $1.00 per warrant, with each warrant entitling the holder to purchase one Class A ordinary share at a price of $11.50 per share, subject to the same adjustments applicable to the Private Placement Warrants. As of December 31, 2022, there was $625,000 outstanding under the Working Capital Note.</w:t>
      </w:r>
    </w:p>
    <w:p>
      <w:pPr>
        <w:spacing w:after="0" w:line="10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 Business Combination.</w:t>
      </w:r>
    </w:p>
    <w:p>
      <w:pPr>
        <w:spacing w:after="0" w:line="109"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Upon the close of the Business Combination, Initiative Machines received approximately $34 million of gross proceeds to fund operations. We believe that the cash available from the consummation of the Business Combination and related transactions will be sufficient to fund the short-term liquidity needs and the execution of the business plan through at least the twelve month-period from the date of the Business Combination.</w:t>
      </w:r>
    </w:p>
    <w:p>
      <w:pPr>
        <w:spacing w:after="0" w:line="9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Prior to the Closing of the Business Combination, holders of 27,481,818 shares of IPAX Class A Ordinary Shares exercised their right to redeem such shares for cash at a price of approximately $10.18 per share for aggregate payments of $279,884,314. We may need to raise additional capital to fund our operations and our business plan. There can be no assurance that we will be successful in obtaining capital sufficient to meet our operating needs on terms or a timeframe acceptable to us or at all. Further, in the event that market conditions preclude our ability to consummate such a transaction, we may be required to evaluate additional alternatives in restructuring our business and our capital structure.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Management is currently evaluating the impact of the COVID-19 pandemic and Russian-Ukraine war on the industry and has concluded that while it is reasonably possible that the virus and the war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right="3139"/>
        <w:spacing w:after="0" w:line="424" w:lineRule="auto"/>
        <w:rPr>
          <w:sz w:val="20"/>
          <w:szCs w:val="20"/>
          <w:color w:val="auto"/>
        </w:rPr>
      </w:pPr>
      <w:r>
        <w:rPr>
          <w:rFonts w:ascii="Arial" w:cs="Arial" w:eastAsia="Arial" w:hAnsi="Arial"/>
          <w:sz w:val="18"/>
          <w:szCs w:val="18"/>
          <w:b w:val="1"/>
          <w:bCs w:val="1"/>
          <w:color w:val="auto"/>
        </w:rPr>
        <w:t>NOTE 2. SUMMARY OF SIGNIFICANT ACCOUNTING POLICIES Basis of Presentation</w:t>
      </w:r>
    </w:p>
    <w:p>
      <w:pPr>
        <w:spacing w:after="0" w:line="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(the “SEC”).</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19"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2022 and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At December 31, 2022 and 2021, all of the assets held in the Trust Account were held in money market funds which invest in U.S. Treasury securities. The Company’s investments held in the Trust Account are classified as trading securities. Trading securities are presented on the balance sheet at fair value at the end of each reporting period. Gains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and losses resulting from the change in fair value of these investments are included in interest earned on marketable securities held in Trust Account in the accompanying statement of operations. The estimated fair values of investments held in the Trust Account are determined using available market information.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 See Note 8 for further discussion of the fair values of the Company’s assets and liabilities.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Derivative instruments are initially recorded at fair value on the grant date and re-valued at each reporting date, with changes in the fair value reported in the statements of operations. Derivative assets and liabilities are classified in the balance sheets as current or non-current based on whether or not net-cash settlement or conversion of the instrument could be required within 12 months of the balance sheet date.</w:t>
      </w:r>
    </w:p>
    <w:p>
      <w:pPr>
        <w:spacing w:after="0" w:line="9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 has analyzed the Public Warrants and Private Placement Warrants and determined they meet all of the requirements for equity classification under ASC 815 (see Notes 3 and 4).</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Ordinary Share</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comply with accounting and disclosure requirements of ASC Topic 260, “Earnings Per Share.” Our statements of operations includes a presentation of loss per share for ordinary shares subject to possible redemption in a manner similar to the two-class method of loss per share. The remeasurement associated with the redeemable Class A ordinary shares is excluded from net loss per ordinary share as the redemption value approximates fair value. The Company has two classes of shares, Class A ordinary shares and Class B ordinary shares. Earnings and losses are shared pro rata between the two classes of shares. The Company has not considered the effect of the warrants sold in the IPO, the Over-Allotment, the Private Placement and the Over-Allotment Private Placement to purchase an aggregate of 23,332,500 of the Company’s Class A ordinary shares in the calculation of diluted loss per share, since their exercise is contingent upon the future consummation of an Initial Business Combination which cannot be assured. As a result,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diluted net loss per ordinary share is the same as basic net loss per ordinary share for the periods. The table below presents a reconciliation of the numerator and denominator used to compute basic and diluted net loss per share for each class of ordinary shares.</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and diluted net income (loss) per share: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Numerator:</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Allocation of net income (loss)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Denominator:</w:t>
      </w:r>
    </w:p>
    <w:p>
      <w:pPr>
        <w:spacing w:after="0" w:line="50" w:lineRule="exact"/>
        <w:rPr>
          <w:sz w:val="20"/>
          <w:szCs w:val="20"/>
          <w:color w:val="auto"/>
        </w:rPr>
      </w:pPr>
    </w:p>
    <w:p>
      <w:pPr>
        <w:ind w:left="1000" w:hanging="179"/>
        <w:spacing w:after="0" w:line="277" w:lineRule="auto"/>
        <w:rPr>
          <w:sz w:val="20"/>
          <w:szCs w:val="20"/>
          <w:color w:val="auto"/>
        </w:rPr>
      </w:pPr>
      <w:r>
        <w:rPr>
          <w:rFonts w:ascii="Arial" w:cs="Arial" w:eastAsia="Arial" w:hAnsi="Arial"/>
          <w:sz w:val="18"/>
          <w:szCs w:val="18"/>
          <w:color w:val="auto"/>
        </w:rPr>
        <w:t>Basic and diluted weighted-average shares outstanding</w:t>
      </w:r>
    </w:p>
    <w:p>
      <w:pPr>
        <w:spacing w:after="0" w:line="22"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Basic and diluted net income (loss) per share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For the period from</w:t>
            </w:r>
          </w:p>
        </w:tc>
      </w:tr>
      <w:tr>
        <w:trPr>
          <w:trHeight w:val="203"/>
        </w:trPr>
        <w:tc>
          <w:tcPr>
            <w:tcW w:w="22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For the year ended</w:t>
            </w: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January 27, 2021</w:t>
            </w:r>
          </w:p>
        </w:tc>
      </w:tr>
      <w:tr>
        <w:trPr>
          <w:trHeight w:val="203"/>
        </w:trPr>
        <w:tc>
          <w:tcPr>
            <w:tcW w:w="22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(inception) through</w:t>
            </w:r>
          </w:p>
        </w:tc>
      </w:tr>
      <w:tr>
        <w:trPr>
          <w:trHeight w:val="210"/>
        </w:trPr>
        <w:tc>
          <w:tcPr>
            <w:tcW w:w="860" w:type="dxa"/>
            <w:vAlign w:val="bottom"/>
          </w:tcPr>
          <w:p>
            <w:pPr>
              <w:spacing w:after="0"/>
              <w:rPr>
                <w:sz w:val="18"/>
                <w:szCs w:val="18"/>
                <w:color w:val="auto"/>
              </w:rPr>
            </w:pPr>
          </w:p>
        </w:tc>
        <w:tc>
          <w:tcPr>
            <w:tcW w:w="1320" w:type="dxa"/>
            <w:vAlign w:val="bottom"/>
            <w:gridSpan w:val="3"/>
          </w:tcPr>
          <w:p>
            <w:pPr>
              <w:jc w:val="center"/>
              <w:ind w:right="75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r>
      <w:tr>
        <w:trPr>
          <w:trHeight w:val="46"/>
        </w:trPr>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ind w:left="280"/>
              <w:spacing w:after="0"/>
              <w:rPr>
                <w:sz w:val="20"/>
                <w:szCs w:val="20"/>
                <w:color w:val="auto"/>
              </w:rPr>
            </w:pPr>
            <w:r>
              <w:rPr>
                <w:rFonts w:ascii="Arial" w:cs="Arial" w:eastAsia="Arial" w:hAnsi="Arial"/>
                <w:sz w:val="16"/>
                <w:szCs w:val="16"/>
                <w:b w:val="1"/>
                <w:bCs w:val="1"/>
                <w:color w:val="auto"/>
                <w:w w:val="95"/>
              </w:rPr>
              <w:t>Class 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Class B</w:t>
            </w: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Class A</w:t>
            </w: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Class B</w:t>
            </w:r>
          </w:p>
        </w:tc>
      </w:tr>
      <w:tr>
        <w:trPr>
          <w:trHeight w:val="47"/>
        </w:trPr>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-7620</wp:posOffset>
            </wp:positionV>
            <wp:extent cx="514350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360045</wp:posOffset>
            </wp:positionV>
            <wp:extent cx="514350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hanging="294"/>
        <w:spacing w:after="0"/>
        <w:tabs>
          <w:tab w:leader="none" w:pos="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(152,326)  $   (38,082)  $  (174,998)  $  (140,513)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220345</wp:posOffset>
            </wp:positionV>
            <wp:extent cx="5143500" cy="299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0"/>
        <w:spacing w:after="0"/>
        <w:tabs>
          <w:tab w:leader="none" w:pos="1300" w:val="left"/>
          <w:tab w:leader="none" w:pos="2400" w:val="left"/>
          <w:tab w:leader="none" w:pos="3520" w:val="left"/>
        </w:tabs>
        <w:rPr>
          <w:sz w:val="20"/>
          <w:szCs w:val="20"/>
          <w:color w:val="auto"/>
        </w:rPr>
      </w:pPr>
      <w:r>
        <w:rPr>
          <w:rFonts w:ascii="Arial" w:cs="Arial" w:eastAsia="Arial" w:hAnsi="Arial"/>
          <w:sz w:val="18"/>
          <w:szCs w:val="18"/>
          <w:color w:val="auto"/>
        </w:rPr>
        <w:t>32,975,000</w:t>
      </w:r>
      <w:r>
        <w:rPr>
          <w:sz w:val="20"/>
          <w:szCs w:val="20"/>
          <w:color w:val="auto"/>
        </w:rPr>
        <w:tab/>
      </w:r>
      <w:r>
        <w:rPr>
          <w:rFonts w:ascii="Arial" w:cs="Arial" w:eastAsia="Arial" w:hAnsi="Arial"/>
          <w:sz w:val="18"/>
          <w:szCs w:val="18"/>
          <w:color w:val="auto"/>
        </w:rPr>
        <w:t>8,243,750</w:t>
      </w:r>
      <w:r>
        <w:rPr>
          <w:sz w:val="20"/>
          <w:szCs w:val="20"/>
          <w:color w:val="auto"/>
        </w:rPr>
        <w:tab/>
      </w:r>
      <w:r>
        <w:rPr>
          <w:rFonts w:ascii="Arial" w:cs="Arial" w:eastAsia="Arial" w:hAnsi="Arial"/>
          <w:sz w:val="18"/>
          <w:szCs w:val="18"/>
          <w:color w:val="auto"/>
        </w:rPr>
        <w:t>9,322,714</w:t>
      </w:r>
      <w:r>
        <w:rPr>
          <w:sz w:val="20"/>
          <w:szCs w:val="20"/>
          <w:color w:val="auto"/>
        </w:rPr>
        <w:tab/>
      </w:r>
      <w:r>
        <w:rPr>
          <w:rFonts w:ascii="Arial" w:cs="Arial" w:eastAsia="Arial" w:hAnsi="Arial"/>
          <w:sz w:val="16"/>
          <w:szCs w:val="16"/>
          <w:color w:val="auto"/>
        </w:rPr>
        <w:t>7,485,546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(0.00)  $</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(0.00)  $</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(0.02)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3880" w:space="280"/>
            <w:col w:w="485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Offering Costs associated with the Public Offering</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complies with the requirements of the ASC 340-10-S99-1. Offering costs consisted of legal, accounting, underwriting fees and other costs incurred through the IPO that were directly related to the Public Offering. Offering costs associated with the Public Offering amounted to $26,658,313, consisting of $4,595,000 of underwriting commissions, $11,541,250 of deferred underwriting commissions, $9,680,125 of excess fair value of founder shares (see Note 5), and $841,938 of other offering costs, with $23,439 allocated to the over-allotment option, $24,538,134 allocated to the Class A ordinary shares subject to redemption, and $2,096,740 allocated to the Class A ordinary shares not subject to redemption, the Public Warrants and the Private Placement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 Subject to Possible Redemption</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31,588,011 Class A ordinary shares sold as part of the Units in the Public Offering contain a redemption feature which allows for the redemption of such Public Shares in connection with the Company’s liquidation, if there is a shareholder vote or tender offer in connection with an Initial Business Combination and in connection with certain amendments to the Company’s amended and restated memorandum and articles of association. In accordance with SEC and its staff’s guidance on redeemable equity instruments, which has been codified in ASC 480-10-S99, redemption provisions not solely within the control of the Company require ordinary shares subject to redemption to be classified outside of permanent equity.</w:t>
      </w:r>
    </w:p>
    <w:p>
      <w:pPr>
        <w:spacing w:after="0" w:line="9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Class A ordinary shares are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Immediately upon the closing of the IPO, the Company recognized the remeasurement from initial book value to redemption amount value. The change in the carrying value of redeemable ordinary shares resulted in charges against additional paid-in capital.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Related Party Redemption Waiver Agreement</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September 2021, the Company entered into a redemption waiver agreement with one of its Anchor Investors, Kingstown 1740, whereby Kingstown 1740 agreed to waive its redemption rights on 1,386,989 Class A ordinary shares (the “Non-Redemption Shares”) it held, and these ordinary shares are classified as shareholders’ equity.</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As of December 31, 2022 and 2021, the Class A ordinary shares subject to possible redemption reflected on the balance sheets are reconciled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IPO and partial exercise of over-allotment option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329,750,000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Less: proceeds from shares not subject to redemption</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(13,869,890)</w:t>
            </w: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(11,995,753)</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Over-allotment liability</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(281,301)</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 issuance costs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(24,538,134)</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Remeasurement of carrying value to redemption value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36,815,188</w:t>
            </w:r>
          </w:p>
        </w:tc>
      </w:tr>
      <w:tr>
        <w:trPr>
          <w:trHeight w:val="277"/>
        </w:trPr>
        <w:tc>
          <w:tcPr>
            <w:tcW w:w="6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redemption, December 31, 2021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315,880,110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Remeasurement of carrying value to redemption value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4,839,588</w:t>
            </w:r>
          </w:p>
        </w:tc>
      </w:tr>
      <w:tr>
        <w:trPr>
          <w:trHeight w:val="277"/>
        </w:trPr>
        <w:tc>
          <w:tcPr>
            <w:tcW w:w="6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redemption,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320,719,698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of the enactment date. Valuation allowances are established when it is more likely than not that some or all of the deferred tax assets will not be realized.</w:t>
      </w:r>
    </w:p>
    <w:p>
      <w:pPr>
        <w:spacing w:after="0" w:line="9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December 31, 2022 and 2021. The Company is currently not aware of any issues under review that could result in significant payments, accruals or material deviation from its position.</w:t>
      </w:r>
    </w:p>
    <w:p>
      <w:pPr>
        <w:spacing w:after="0" w:line="96"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federal income tax regulations, income taxes are not levied on the Company, but rather on the individual owners. United States (“U.S.”) taxation would occur on the individual owners if certain tax elections are made by U.S. owners and the Company were treated as a passive foreign investment company. Additionally, U.S. taxation could occur to the Company itself if the Company is engaged in a U.S. trade or business. The Company is not expected to be treated as engaged in a U.S. trade or business at this time.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fiscal years beginning after December 15, 2023 for emerging growth companies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PUBLIC OFFERING</w:t>
      </w:r>
    </w:p>
    <w:p>
      <w:pPr>
        <w:spacing w:after="0" w:line="16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On September 24, 2021, the Company sold 30,000,000 Units, at a purchase price of $10.00 per Unit in its IPO. Each Unit consists of one Class A ordinary share and one-half of one redeemable Public Warrant. Each whole Public Warrant will entitle the holder to purchase one Class A ordinary share at a price of $11.50 per share, subject to adjustment). Each Public Warrant will become exercisable 30 days after the completion of an Initial Business Combination and will expire five years after the completion of an Initial Business Combination, or earlier upon redemption or liquidation.</w:t>
      </w:r>
    </w:p>
    <w:p>
      <w:pPr>
        <w:sectPr>
          <w:pgSz w:w="11900" w:h="16838" w:orient="portrait"/>
          <w:cols w:equalWidth="0" w:num="1">
            <w:col w:w="9019"/>
          </w:cols>
          <w:pgMar w:left="1440" w:top="274" w:right="1440" w:bottom="1440" w:gutter="0" w:footer="0" w:header="0"/>
        </w:sectPr>
      </w:pPr>
    </w:p>
    <w:p>
      <w:pPr>
        <w:spacing w:after="0" w:line="111" w:lineRule="exact"/>
        <w:rPr>
          <w:sz w:val="20"/>
          <w:szCs w:val="20"/>
          <w:color w:val="auto"/>
        </w:rPr>
      </w:pPr>
    </w:p>
    <w:p>
      <w:pPr>
        <w:ind w:left="460"/>
        <w:spacing w:after="0"/>
        <w:tabs>
          <w:tab w:leader="none" w:pos="880" w:val="left"/>
          <w:tab w:leader="none" w:pos="1180" w:val="left"/>
          <w:tab w:leader="none" w:pos="1540" w:val="left"/>
          <w:tab w:leader="none" w:pos="2240" w:val="left"/>
          <w:tab w:leader="none" w:pos="3080" w:val="left"/>
        </w:tabs>
        <w:rPr>
          <w:sz w:val="20"/>
          <w:szCs w:val="20"/>
          <w:color w:val="auto"/>
        </w:rPr>
      </w:pPr>
      <w:r>
        <w:rPr>
          <w:rFonts w:ascii="Arial" w:cs="Arial" w:eastAsia="Arial" w:hAnsi="Arial"/>
          <w:sz w:val="18"/>
          <w:szCs w:val="18"/>
          <w:color w:val="auto"/>
        </w:rPr>
        <w:t>One</w:t>
        <w:tab/>
        <w:t>of</w:t>
        <w:tab/>
        <w:t>the</w:t>
        <w:tab/>
        <w:t>Anchor</w:t>
        <w:tab/>
        <w:t>Investors,</w:t>
      </w:r>
      <w:r>
        <w:rPr>
          <w:sz w:val="20"/>
          <w:szCs w:val="20"/>
          <w:color w:val="auto"/>
        </w:rPr>
        <w:tab/>
      </w:r>
      <w:r>
        <w:rPr>
          <w:rFonts w:ascii="Arial" w:cs="Arial" w:eastAsia="Arial" w:hAnsi="Arial"/>
          <w:sz w:val="17"/>
          <w:szCs w:val="17"/>
          <w:color w:val="auto"/>
        </w:rPr>
        <w:t>Kingstown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Sponsor,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was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allocated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57" w:lineRule="exact"/>
        <w:rPr>
          <w:sz w:val="20"/>
          <w:szCs w:val="20"/>
          <w:color w:val="auto"/>
        </w:rPr>
      </w:pPr>
    </w:p>
    <w:p>
      <w:pPr>
        <w:sectPr>
          <w:pgSz w:w="11900" w:h="16838" w:orient="portrait"/>
          <w:cols w:equalWidth="0" w:num="10">
            <w:col w:w="3900" w:space="140"/>
            <w:col w:w="420" w:space="140"/>
            <w:col w:w="160" w:space="160"/>
            <w:col w:w="560" w:space="140"/>
            <w:col w:w="160" w:space="140"/>
            <w:col w:w="220" w:space="140"/>
            <w:col w:w="640" w:space="140"/>
            <w:col w:w="280" w:space="160"/>
            <w:col w:w="640" w:space="140"/>
            <w:col w:w="73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purchased 2,900,000 Units sold in the IPO.</w:t>
      </w:r>
    </w:p>
    <w:p>
      <w:pPr>
        <w:spacing w:after="0" w:line="143" w:lineRule="exact"/>
        <w:rPr>
          <w:sz w:val="20"/>
          <w:szCs w:val="20"/>
          <w:color w:val="auto"/>
        </w:rPr>
      </w:pPr>
    </w:p>
    <w:p>
      <w:pPr>
        <w:ind w:left="460"/>
        <w:spacing w:after="0"/>
        <w:tabs>
          <w:tab w:leader="none" w:pos="920" w:val="left"/>
          <w:tab w:leader="none" w:pos="2020" w:val="left"/>
          <w:tab w:leader="none" w:pos="2480" w:val="left"/>
          <w:tab w:leader="none" w:pos="2760" w:val="left"/>
          <w:tab w:leader="none" w:pos="3440" w:val="left"/>
          <w:tab w:leader="none" w:pos="4100" w:val="left"/>
          <w:tab w:leader="none" w:pos="4660" w:val="left"/>
          <w:tab w:leader="none" w:pos="5080" w:val="left"/>
          <w:tab w:leader="none" w:pos="5920" w:val="left"/>
          <w:tab w:leader="none" w:pos="6460" w:val="left"/>
          <w:tab w:leader="none" w:pos="6800" w:val="left"/>
          <w:tab w:leader="none" w:pos="7640" w:val="left"/>
          <w:tab w:leader="none" w:pos="8020" w:val="left"/>
          <w:tab w:leader="none" w:pos="8360" w:val="left"/>
        </w:tabs>
        <w:rPr>
          <w:sz w:val="20"/>
          <w:szCs w:val="20"/>
          <w:color w:val="auto"/>
        </w:rPr>
      </w:pPr>
      <w:r>
        <w:rPr>
          <w:rFonts w:ascii="Arial" w:cs="Arial" w:eastAsia="Arial" w:hAnsi="Arial"/>
          <w:sz w:val="18"/>
          <w:szCs w:val="18"/>
          <w:color w:val="auto"/>
        </w:rPr>
        <w:t>The</w:t>
        <w:tab/>
        <w:t>underwriters</w:t>
        <w:tab/>
        <w:t>had</w:t>
        <w:tab/>
        <w:t>a</w:t>
        <w:tab/>
        <w:t>45-day</w:t>
        <w:tab/>
        <w:t>option</w:t>
        <w:tab/>
        <w:t>from</w:t>
        <w:tab/>
        <w:t>the</w:t>
        <w:tab/>
        <w:t>Effective</w:t>
        <w:tab/>
        <w:t>Date</w:t>
        <w:tab/>
        <w:t>to</w:t>
        <w:tab/>
        <w:t>purchase</w:t>
        <w:tab/>
        <w:t>up</w:t>
        <w:tab/>
        <w:t>to</w:t>
      </w:r>
      <w:r>
        <w:rPr>
          <w:sz w:val="20"/>
          <w:szCs w:val="20"/>
          <w:color w:val="auto"/>
        </w:rPr>
        <w:tab/>
      </w:r>
      <w:r>
        <w:rPr>
          <w:rFonts w:ascii="Arial" w:cs="Arial" w:eastAsia="Arial" w:hAnsi="Arial"/>
          <w:sz w:val="16"/>
          <w:szCs w:val="16"/>
          <w:color w:val="auto"/>
        </w:rPr>
        <w:t>an</w:t>
      </w:r>
    </w:p>
    <w:p>
      <w:pPr>
        <w:sectPr>
          <w:pgSz w:w="11900" w:h="16838" w:orient="portrait"/>
          <w:cols w:equalWidth="0" w:num="1">
            <w:col w:w="9019"/>
          </w:cols>
          <w:pgMar w:left="1440" w:top="274" w:right="1440" w:bottom="1440" w:gutter="0" w:footer="0" w:header="0"/>
          <w:type w:val="continuous"/>
        </w:sectPr>
      </w:pPr>
    </w:p>
    <w:p>
      <w:pPr>
        <w:spacing w:after="0" w:line="2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color w:val="auto"/>
        </w:rPr>
        <w:t>additional 4,500,000 Units to cover over-allotments. On October 29, 2021, the underwriters partially exercised the over-allotment option and purchased an additional 2,975,000 Units, generating aggregate gross proceeds of $29,750,000, and forfeited their option to purchase the remaining 1,525,000 Units.</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provided a discount to the underwriters at the closing of the IPO of $4,000,000, and an additional discount of $595,000 upon the closing of the Over-Allotment. Additionally, the underwriting agreement states that the Company will pay Citigroup Global Markets Inc. (“Citi”) a deferred discount of $0.35 per Unit sold in the Public Offering including pursuant to the Over-Allotment, or an aggregate of $11,541,250 (see Note 6), upon the Company’s completion of an Initial Business Combination, which would be payable from the amounts held in the Trust Account solely in the event we complete an Initial Business Combination, subject to the terms of the underwriting agreement. Accordingly, as of December 31, 2022 and 2021, aggregate additional fees of $11,541,250 (see Note 6) were recorded as deferred and payable upon the Company’s completion of an Initial Business Combination.</w:t>
      </w:r>
    </w:p>
    <w:p>
      <w:pPr>
        <w:spacing w:after="0" w:line="96" w:lineRule="exact"/>
        <w:rPr>
          <w:sz w:val="20"/>
          <w:szCs w:val="20"/>
          <w:color w:val="auto"/>
        </w:rPr>
      </w:pPr>
    </w:p>
    <w:p>
      <w:pPr>
        <w:jc w:val="both"/>
        <w:ind w:left="460" w:right="459"/>
        <w:spacing w:after="0" w:line="292"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2022 and 2021, there were 16,487,500 Public Warrants and 6,845,000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Placement Warrants outstanding. The Company evaluated the terms of the warrants and determined the warrants meet the criteria in ASC 815, “Derivatives and Hedging”, to be classified in shareholders equity upon issuance. Each whole warrant will entitle the holder to purchase one Class A ordinary share at a price of $11.50 per share, subject to adjustment as discussed herein. The warrants will become exercisable 30 days after the completion of the Company’s Initial Business Combination, and will expire five years after the completion of the Company’s Initial Business Combination at 5:00 p.m., New York City time, or earlier upon redemption or liquidation.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PUBLIC OFFERING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Private Placement Warrants are identical to the Public Warrants included in the Units sold in the IPO except that the Private Placement Warrants may not (including the Class A ordinary shares issuable upon exercise of the Private Placement Warrants), subject to certain limited exceptions, be transferred, assigned or sold by the holders until 30 days after the completion of the Company’s Initial Business Combination.</w:t>
      </w:r>
    </w:p>
    <w:p>
      <w:pPr>
        <w:spacing w:after="0" w:line="10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the Initial Business Combination, the Company will use its best efforts to file with the SEC a post-effective amendment to the registration statement for the Public Offering or a new registration statement covering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8"/>
          <w:szCs w:val="18"/>
          <w:color w:val="auto"/>
          <w:vertAlign w:val="superscript"/>
        </w:rPr>
        <w:t>th</w:t>
      </w:r>
      <w:r>
        <w:rPr>
          <w:rFonts w:ascii="Arial" w:cs="Arial" w:eastAsia="Arial" w:hAnsi="Arial"/>
          <w:sz w:val="16"/>
          <w:szCs w:val="16"/>
          <w:color w:val="auto"/>
        </w:rPr>
        <w:t>)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58" w:lineRule="exact"/>
        <w:rPr>
          <w:sz w:val="20"/>
          <w:szCs w:val="20"/>
          <w:color w:val="auto"/>
        </w:rPr>
      </w:pPr>
    </w:p>
    <w:p>
      <w:pPr>
        <w:ind w:left="1320" w:hanging="434"/>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and</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3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share sub-divisions, share dividends, reorganizations, recapitalizations and the like) for any 20 trading days within a 30-trading day period ending three business days before it sends the notice of redemption to the warrant holders.</w:t>
      </w:r>
    </w:p>
    <w:p>
      <w:pPr>
        <w:spacing w:after="0" w:line="11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PUBLIC OFFERING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if: (i)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(including from such issuances and the Public Offering),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Simultaneously with the closing of the IPO, the Company’s Sponsor purchased an aggregate of 6,250,000 IPO Private Placement Warrants at a price of $1.00 per IPO Private Placement Warrant, for an aggregate purchase price of $6,250,000. On October 29, 2021, simultaneously with the closing of the Over-Allotment, the Sponsor purchased an additional 595,000 Over-Allotment Private Placement Warrants at a price of $1.00 per Over-Allotment Private Placement Warrant, generating aggregate gross proceeds of $595,000.</w:t>
      </w:r>
    </w:p>
    <w:p>
      <w:pPr>
        <w:spacing w:after="0" w:line="9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Private Placement Warrants are identical to the Public Warrants included in the Units sold in the Public Offering except that the Private Placement Warrants may not (including the Class A ordinary shares issuable upon exercise of the Private Placement Warrants), subject to certain limited exceptions, be transferred, assigned or sold by the holders until 30 days after the completion of the Company’s Initial Business Combination. If the Company does not complete the Initial Business Combination within 24 months from the closing of the IPO, the Private Placement Warrants will expire worthless.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February 3, 2021, the Sponsor paid $25,000, or approximately $0.003 per share, to cover certain offering and formation costs in consideration for 7,187,500 Founder Shares. On March 5, 2021, the Company effected a 1.2 to 1 share recapitalization with respect to its Class B ordinary shares, resulting in the Sponsor holding an aggregate of 8,625,000 Founder Shares. Up to 1,125,000 Founder Shares were subject to forfeiture by the Sponsor depending on the extent to which the underwriters’ over-allotment option was exercised. On October 29, 2021, as a result of the partial exercise of the over-allotment option, the Sponsor forfeited 381,250 of these Founder Shares and the remaining Founder Shares are no longer subject to forfeiture.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Sponsor and the Company’s officers and directors have agreed not to transfer, assign or sell any of their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Founder Shares and any Class A ordinary shares issuable upon conversion thereof until the earlier to occur of:</w:t>
      </w:r>
    </w:p>
    <w:p>
      <w:pPr>
        <w:spacing w:after="0" w:line="32" w:lineRule="exact"/>
        <w:rPr>
          <w:sz w:val="20"/>
          <w:szCs w:val="20"/>
          <w:color w:val="auto"/>
        </w:rPr>
      </w:pPr>
    </w:p>
    <w:p>
      <w:pPr>
        <w:jc w:val="both"/>
        <w:ind w:left="460" w:right="459" w:hanging="6"/>
        <w:spacing w:after="0" w:line="268" w:lineRule="auto"/>
        <w:tabs>
          <w:tab w:leader="none" w:pos="694"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except to certain permitted transferees and under certain circumstances (the “lock-up”). Notwithstanding the foregoing, if (1)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(2) if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consummates a transaction after the Initial Business Combination which results in the Company’s shareholders having the right to exchange their shares for cash, securities or other property, the Founder Shares will be released from the lock-up.</w:t>
      </w:r>
    </w:p>
    <w:p>
      <w:pPr>
        <w:spacing w:after="0" w:line="1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subject to each Anchor Investor purchasing 100% of the Units allocated to it, in connection with the closing of the IPO, the Sponsor sold membership interests reflecting an allocation of an aggregate of 1,625,000 Founder Shares to the Anchor Investors collectively. The Company estimated the aggregate fair value of these Founder Shares attributable to Anchor Investors to be approximately $9.68 million, or $5.96 per share. The excess of the fair value of the Founder Shares was determined to be an offering cost in accordance with Staff Accounting Bulletin Topic 5A. Upon the completion of the IPO, offering costs allocated (1) to the Public Shares not subject to possible redemption and the Public Warrants were charged to additional paid-in capital; (2) to the Public Shares subject to redemption were charged to temporary equity; and (3) to the over-allotment liability were charged to expense.</w:t>
      </w:r>
    </w:p>
    <w:p>
      <w:pPr>
        <w:spacing w:after="0" w:line="100"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At the Closing of the Proposed Business Combination, New Intuitive Machines will enter into a lock-up agreement superseding the lock-up imposed at IPO, pursuant to which the Sponsor and its permitted assigns will agree not to, without the prior written consent of the New Intuitive Machines board of directors, prior to the date that is six months after the date of the Closing, (i) sell, pledge, grant any option to purchase or otherwise dispose of (a) any shares of New Intuitive Machines Class A Common Stock the Sponsor received upon conversion of its Founder Shares in connection with the Domestication (the “</w:t>
      </w:r>
      <w:r>
        <w:rPr>
          <w:rFonts w:ascii="Arial" w:cs="Arial" w:eastAsia="Arial" w:hAnsi="Arial"/>
          <w:sz w:val="16"/>
          <w:szCs w:val="16"/>
          <w:b w:val="1"/>
          <w:bCs w:val="1"/>
          <w:color w:val="auto"/>
        </w:rPr>
        <w:t>Sponsor Lock-Up Shares</w:t>
      </w:r>
      <w:r>
        <w:rPr>
          <w:rFonts w:ascii="Arial" w:cs="Arial" w:eastAsia="Arial" w:hAnsi="Arial"/>
          <w:sz w:val="16"/>
          <w:szCs w:val="16"/>
          <w:color w:val="auto"/>
        </w:rPr>
        <w:t>”),</w:t>
      </w:r>
    </w:p>
    <w:p>
      <w:pPr>
        <w:spacing w:after="0" w:line="4" w:lineRule="exact"/>
        <w:rPr>
          <w:sz w:val="20"/>
          <w:szCs w:val="20"/>
          <w:color w:val="auto"/>
        </w:rPr>
      </w:pPr>
    </w:p>
    <w:p>
      <w:pPr>
        <w:jc w:val="both"/>
        <w:ind w:left="460" w:right="459" w:hanging="6"/>
        <w:spacing w:after="0" w:line="268" w:lineRule="auto"/>
        <w:tabs>
          <w:tab w:leader="none" w:pos="728" w:val="left"/>
        </w:tabs>
        <w:numPr>
          <w:ilvl w:val="0"/>
          <w:numId w:val="92"/>
        </w:numPr>
        <w:rPr>
          <w:rFonts w:ascii="Arial" w:cs="Arial" w:eastAsia="Arial" w:hAnsi="Arial"/>
          <w:sz w:val="17"/>
          <w:szCs w:val="17"/>
          <w:color w:val="auto"/>
        </w:rPr>
      </w:pPr>
      <w:r>
        <w:rPr>
          <w:rFonts w:ascii="Arial" w:cs="Arial" w:eastAsia="Arial" w:hAnsi="Arial"/>
          <w:sz w:val="17"/>
          <w:szCs w:val="17"/>
          <w:color w:val="auto"/>
        </w:rPr>
        <w:t>enter into any swap or other transfer arrangement in respect of the Sponsor Lock-Up Shares or (iii) take any other similar actions (the actions specified in the foregoing clauses (i) through (iii), collectively, “</w:t>
      </w:r>
      <w:r>
        <w:rPr>
          <w:rFonts w:ascii="Arial" w:cs="Arial" w:eastAsia="Arial" w:hAnsi="Arial"/>
          <w:sz w:val="17"/>
          <w:szCs w:val="17"/>
          <w:b w:val="1"/>
          <w:bCs w:val="1"/>
          <w:color w:val="auto"/>
        </w:rPr>
        <w:t>Transfer</w:t>
      </w:r>
      <w:r>
        <w:rPr>
          <w:rFonts w:ascii="Arial" w:cs="Arial" w:eastAsia="Arial" w:hAnsi="Arial"/>
          <w:sz w:val="17"/>
          <w:szCs w:val="17"/>
          <w:color w:val="auto"/>
        </w:rPr>
        <w:t>”). The Sponsor also will agree to not Transfer any New Intuitive Machines Warrants received upon conversion of its Private Placement Warrants in connection with the Domestication (or the shares of New Intuitive Machines Class A Common Stock issuable upon exercise of such warrants), prior to the date that is 30 days after the date of the Closing. The lock-up agreement will provides for certain permitted transfers, including but not limited to, transfers to certain affiliates or family members, transfers of shares acquired on the open market after the consummation of the Proposed Business Combination, subject to certain conditions, or the exercise of certain stock options and warrants.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Waiver Agreement</w:t>
      </w:r>
    </w:p>
    <w:p>
      <w:pPr>
        <w:spacing w:after="0" w:line="16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In September 2021, the Company entered into a redemption waiver agreement with one of its Anchor Investors, Kingstown 1740, whereby Kingstown 1740 agreed to waive its redemption rights on the Non-Redemption Shares, which are 1,386,989 Class A ordinary shares, and these ordinary shares are classified as shareholders’ equity.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February 2, 2021, the Sponsor agreed to loan the Company up to $300,000 to be used for a portion of the expenses of the IPO. These loans were non-interest bearing, unsecured and were due at the earlier of December 31, 2021 or the closing of the IPO. As of September 24, 2021, the Company had borrowed $188,805 under the promissory note, which was fully repaid by September 30, 2021. On September 30, 2021, the Sponsor agreed to provide the Company with loans in such amounts as may be required by the Company to fund the Company’s working capital requirements up to an aggregate of $250,000, and no amounts have been drawn upon this loan commitment.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Working Capital Loans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order to finance transaction costs in connection with an Initial Business Combination, the Sponsor or an affiliate of the Sponsor, or certain of the Company’s officers and directors may, but, except as set forth above, are not obligated to, make Working Capital Loans to the Company as may be required on a non-interest basis. Up to an aggregate of $1,500,000 outstanding under the Working Capital Loans may be convertible into warrants to purchase Class A ordinary shares at a conversion price of $1.00 per warrant at the option of the lender, with each warrant entitling the holder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purchase one Class A ordinary share at a price of $11.50 per share, subject to the same adjustments applicable to the Private Placement Warrants. If the Company completes an Initial Business Combination, the Company would repay the Working Capital Loans, unless they are converted into warrants. In the event that an Initial Business Combination does not close, the Company may use a portion of the working capital held outside the Trust Account to repay the Working Capital Loans but no proceeds from the Trust Account would be used to repay the Working Capital Loans.</w:t>
      </w:r>
    </w:p>
    <w:p>
      <w:pPr>
        <w:spacing w:after="0" w:line="12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August 4, 2022, the Sponsor agreed to loan the Company up to $1,000,000 to be used for ongoing expenses reasonably related to the business of the Company and the consummation of an Initial Business Combination pursuant to the Working Capital Note. The Working Capital Note is non-interest bearing and all unpaid principal under the Working Capital Note shall be due and payable in full on the Maturity Date, unless accelerated upon the occurrence of an event of default as set forth in the Working Capital Note. The Sponsor will have the option, at any time on or prior to the Maturity Date, to convert up to $1,000,000 outstanding under the Working Capital Note into warrants to purchase Class A ordinary shares at a conversion price of $1.00 per warrant, with each warrant entitling the holder to purchase one Class A ordinary share at a price of $11.50 per share, subject to the same adjustments applicable to the Private Placement Warrants. The conversion feature was analyzed under ASC 470-20, “Debt with Conversion or Other Options”, and the Working Capital Note did not include any premium or discounts. The conversion option did not include elements that would require bifurcation under ASC 815-40, “Derivatives and Hedging.”</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2022 and 2021, $625,000 and $0, respectively, were outstanding under Working Capital Note.</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Service Fee</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September 21, 2021, the Company entered into an Administrative Services Agreement with Kingstown Capital Management L.P., an affiliate of the Sponsor, pursuant to which it pays a total of $15,000 per month for office space, utilities, secretarial and administrative support services provided to members of the Company’s management team. Upon completion of an Initial Business Combination or a liquidation, the Company will cease paying these monthly fees. For the year ended December 31, 2022, the Company incurred and paid $180,000 of administrative service fees under the agreement. For the period from January 27, 2021 (date of inception) through December 31, 2021, the Company incurred and paid $48,000 of administrative service fees under the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Professional Service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Company reimburses its Sponsor for services provided by one of the Sponsor’s employees who serve as the Company’s Chief of Staff (“COS”). The COS receives $12,500 per month for services rendered, commencing September 25, 2021, through the closing of an Initial Business Combination. For the year ended December 31, 2022, the Company incurred and paid $150,000 of compensation for services provided. For the period from January 27, 2021 (date of inception) through December 31, 2021, the Company incurred and paid $40,000 of compensation for services provided.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Consulting Fees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of December 31, 2022 and 2021, the Company has incurred and paid $41,667 and $0 of fees to an affiliate of our Sponsor for consulting services related to the business combination. These fees are reflected as formation and operational costs on the statements of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Reimbursable Expenses to Related Party</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During the years ended December 31, 2022 and 2021, the Company had incurred $112,480 and $63,678 in related party transactions related to out of pocket expenses from the Sponsor, respectively. As of December 31, 2022, there was $112,448 and $1,032 included in the due to related party on the accompanying balance sheets,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 Purchase Agreement</w:t>
      </w:r>
    </w:p>
    <w:p>
      <w:pPr>
        <w:spacing w:after="0" w:line="14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On September 21, 2021, the Company entered into a forward purchase agreement (“FPA”) pursuant to which certain affiliates of the Sponsor (“Kingstown”) agreed to purchase up to 5,000,000 forward purchase Class A ordinary shares (“Forward Purchase Shares”), for $10.00 per share, or an aggregate amount of up to $50,000,000, in a private placement that will close concurrently with the closing of an Initial Business Combination, subject to approval by the Kingstown investment committee. The proceeds from the sale of these Forward Purchase Shares, together with the amounts available to the Company from the Trust Account (after giving effect to any redemptions of Public Shares) and any other equity or debt financing obtained by the Company in connection with an Initial Business Combination, will be used to satisfy the cash requirements of an Initial Business Combination, including funding the purchase price and paying expenses and retaining specified amounts to be used by the post-Initial Business Combination company for working capital or other purposes. To the extent that the amounts available from the Trust Account and other financing are sufficient for such cash requirements, Kingstown may purchase less than 5,000,000 Forward Purchase Shares. In addition, Kingstown’s commitment under the FPA will be subject to approval of its investment committee prior to the closing of an Initial Business Combination. Accordingly, if Kingstown’s investment committee does not give its approval, Kingstown will not be obligated to purchase the Forward Purchase Shares. Further, the Company has the right, in its sole discretion, to reduce the amount of Forward Purchase Shares that Kingstown may purchase pursuant to the FPA. Pursuant to the terms of the FPA, Kingstown will have the option to assign its commitment to one of its affiliates. The Forward Purchase Shares will be identical to the Class A ordinary shares included in the Units sold in the Public Offering, except that they will be subject to transfer restrictions and registration rights.</w:t>
      </w:r>
    </w:p>
    <w:p>
      <w:pPr>
        <w:spacing w:after="0" w:line="119"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The Company evaluated the FPA under ASC 480 and ASC 815-40 to determine the appropriate accounting treatment. The FPA does not meet the criteria to be classified as a liability under ASC 480. In addition, there is no net cash settlement feature and settlement will be in gross physical delivery of Class A ordinary shares; therefore, the FPA should be classified as equity. However, as the issuance of Forward Purchase Shares is contingent on several factors, including the consummation of an Initial, approval by the Kingstown board of directors, and the Company’s discretion, the Company will record the FPA when it becomes probable that the triggering events will occur.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November 30, 2022, the FPA was terminated.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holders of the (i) Founder Shares, which were issued in a private placement prior to the closing of the IPO,</w:t>
      </w:r>
    </w:p>
    <w:p>
      <w:pPr>
        <w:spacing w:after="0" w:line="46" w:lineRule="exact"/>
        <w:rPr>
          <w:sz w:val="20"/>
          <w:szCs w:val="20"/>
          <w:color w:val="auto"/>
        </w:rPr>
      </w:pPr>
    </w:p>
    <w:p>
      <w:pPr>
        <w:jc w:val="both"/>
        <w:ind w:left="460" w:right="459" w:hanging="6"/>
        <w:spacing w:after="0" w:line="266" w:lineRule="auto"/>
        <w:tabs>
          <w:tab w:leader="none" w:pos="7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Forward Purchase Shares, (iii) Private Placement Warrants which were issued in private placements simultaneously with the closing of the IPO and the Over-Allotment and the Class A ordinary shares underlying such Private Placement Warrants and (iv) warrants that may be issued upon conversion of Working Capital Loans and the Class A ordinary shares underlying such warrants will have registration rights to require the Company to register a sale of any of the Company’s securities held by them and any other securities of the Company acquired by them prior to the consummation of an Initial Business Combination pursuant to a registration rights agreement entered into in connection with the IPO. Pursuant to the registration rights agreement and assuming $1,500,000 of Working Capital Loans are converted into additional warrants, the Company will be obligated to register up to 21,588,750 Class A ordinary shares and 8,345,000 warrants. The number of Class A ordinary shares includes (i) 8,243,750 Class A ordinary shares to be issued upon conversion of the Founder Shares, (ii) 5,000,000 Forward Purchase Shares, (iii) 6,845,000 Class A ordinary shares underlying the Private Placement Warrants and (iv) 1,500,000 Class A ordinary shares underlying the warrants issuable upon conversion of Working Capital Loans. The number of warrants includes 6,845,000 Private Placement Warrants and 1,500,000 additional warrants issuable upon the conversion of Working Capital Loans. The holders of these securities are entitled to make up to three demands, excluding short form demands, that the Company register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such securities. In addition, the holders have certain “piggy-back” registration rights with respect to registration statements filed subsequent to the Company’s completion of an Initial Business Combination. The Company will bear the expenses incurred in connection with the filing of any such registration statements. The Company evaluated the registration rights agreement in accordance with the guidance in ASC 825-20 “Registration Payment Arrangements,” ASC 470-20 “Debt with Conversion and Other Options,” and ASC 450 “Contingencies.” The registration rights agreement does not contain liquidating damages, penalty payment, or other cash settlement provisions resulting from delays in registering the Company’s securities. As such, there are no accounting implications that arise due to the registration rights.</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At the Closing, the Company, the Sponsor and certain securityholders of Intuitive Machines entered into an amended and restated registration rights agreement (the “A&amp;R Registration Rights Agreement”), pursuant to which, among other things, the Sponsor and such securityholders were granted certain customary registration rights, on the terms and subject to the conditions therein, with respect to securities of New Intuitive Machines that they will hold following the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granted the underwriters a 45-day option from the Effective Date to purchase up to an additional 4,500,000 Units to cover over-allotments, if any.</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On September 24, 2021, the Company paid a cash underwriting discount of 2.0% per Unit, or $4,000,000, excluding the proceeds from the purchase of an aggregate of 10,000,000 Units by certain of our anchor investors. The Company paid an underwriting fee at the closing of the Over-Allotment of $595,000.</w:t>
      </w:r>
    </w:p>
    <w:p>
      <w:pPr>
        <w:spacing w:after="0" w:line="98"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underwriting agreement states that Citi will be entitled to a deferred underwriting discount of 3.5% of the gross proceeds of the Public Offering, or $11,541,250, held in the Trust Account upon the completion of an Initial Business Combination, which would be payable from the amounts held in the Trust Account solely in the event that we complete an Initial Business Combination, subject to the terms of the underwriting agreement.</w:t>
      </w:r>
    </w:p>
    <w:p>
      <w:pPr>
        <w:spacing w:after="0" w:line="7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November 27, 2022, in connection with the proposed Business Combination, Citi agreed to waive its entitlement to the deferred underwriting commission of $11,541,250 to which it became entitled upon completion of the Company’s Initial Public Offering, subject to the completion of an Initial Business Combination. As a result, the Company $11,541,250 was recorded to additional paid-in capital in relation to the reduction of the deferred underwriter fee in the accompanying condensed financial statements. As of December 31, 2022 and December 31, 2021, the deferred underwriting fee payable is $0 and $11,541,250,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with Intuitive Machines</w:t>
      </w:r>
    </w:p>
    <w:p>
      <w:pPr>
        <w:spacing w:after="0" w:line="162"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As more fully described in Note 1, the Company entered into a number of agreements as part of its Business Combination with Intuitive Machines. These agreements included but are not limited to the Business Combination Agreement, the Series A Purchase Agreement, the Cantor Purchase Agreement and Sponsor Purchase Agreement, each of which contained terms and conditions which commit the Company to certain obligations in the event the Business Combination is successful.</w:t>
      </w:r>
    </w:p>
    <w:p>
      <w:pPr>
        <w:spacing w:after="0" w:line="12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On February 13, 2023 (the “Closing Date”), the Company consummated the previously announced business combination and related transactions (the “Transactions”) contemplated by that certain business combination agreement, dated as of September 16, 2022 (the “Business Combination Agreement”), by and between IPAX and Intuitive Machines, LLC, a Delaware limited liability company (formerly, a Texas limited liability company) (“Intuitive Machines OpCo”),following which we were renamed “Intuitive Machines, Inc.”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is authorized to issue 5,000,000 preference shares with a par value of $0.0001 per share. At December 31, 2022 and 2021, there were no preference shares issued or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Ordinary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is authorized to issue 500,000,000 Class A ordinary shares with a par value of $0.0001 per share. Holders of Class A ordinary shares are entitled to one vote for each share. At December 31, 2022 and 2021, there were 1,386,989 Class A ordinary shares issued and outstanding, excluding 31,588,011 Class A ordinary shares subject to possible redemption.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is authorized to issue 50,000,000 Class B ordinary shares with a par value of $0.0001 per share. Holders of the Class B ordinary shares are entitled to one vote for each ordinary share. On February 3, 2021, the Sponsor paid $25,000, or approximately $0.003 per share, to cover certain offering and formation costs in consideration for 7,187,500 Founder Shares. On March 5, 2021, the Company effected a 1.2 to 1 share recapitalization with respect to its Class B ordinary shares, resulting in the Sponsor holding an aggregate of 8,625,000 Founder Shares. Up to 1,125,000 Founder Shares were subject to forfeiture by the Sponsor depending on the extent to which the underwriters’ over-allotment option was exercised. On October 29, 2021, as a result of the partial exercise of the over-allotment option, the Sponsor forfeited 381,250 of these shares and the remaining Class B ordinary shares are no longer subject to forfeiture. At December 31, 2022 and 2021, there were 8,243,750 Class B ordinary shares issued and outstanding.</w:t>
      </w:r>
    </w:p>
    <w:p>
      <w:pPr>
        <w:spacing w:after="0" w:line="10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Prior to the closing of the Company’s Initial Business Combination, only holders of the Class B ordinary shares will be entitled to vote on continuing the Company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On all other matters submitted to a vote of the Company’s shareholders, holders of Class A ordinary shares and holders of Class B ordinary shares will vote together as a single class except as required by law. Unless specified in the Company’s amended and restated memorandum and articles of association, or as required by applicable provisions of the Companies Act (As Revised) of the Cayman Islands or applicable stock exchange rules, the affirmative vote of a majority of the Company’s ordinary shares that are voted is required to approve any such matter voted on by its shareholders.</w:t>
      </w:r>
    </w:p>
    <w:p>
      <w:pPr>
        <w:spacing w:after="0" w:line="10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Founder Shares will equal, in the aggregate, 20% of the total number of Class A ordinary shares outstanding after such conversion (after giving effect to any redemptions of Public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(including the Forward Purchase Shares), excluding any Class A ordinary shares or equity-linked securities exercisable for or convertible into Class A ordinary shares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FAIR VALUE MEASUREMENTS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7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7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fair value hierarchy is used to classify assets and liabilities based on the observable inputs and unobservable inputs used in order to value the assets and liabilities:</w:t>
      </w:r>
    </w:p>
    <w:p>
      <w:pPr>
        <w:spacing w:after="0" w:line="62" w:lineRule="exact"/>
        <w:rPr>
          <w:sz w:val="20"/>
          <w:szCs w:val="20"/>
          <w:color w:val="auto"/>
        </w:rPr>
      </w:pPr>
    </w:p>
    <w:p>
      <w:pPr>
        <w:jc w:val="both"/>
        <w:ind w:left="1760" w:right="479" w:hanging="863"/>
        <w:spacing w:after="0" w:line="286" w:lineRule="auto"/>
        <w:tabs>
          <w:tab w:leader="none" w:pos="17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7" w:lineRule="exact"/>
        <w:rPr>
          <w:sz w:val="20"/>
          <w:szCs w:val="20"/>
          <w:color w:val="auto"/>
        </w:rPr>
      </w:pPr>
    </w:p>
    <w:p>
      <w:pPr>
        <w:jc w:val="both"/>
        <w:ind w:left="1760" w:right="459" w:hanging="863"/>
        <w:spacing w:after="0" w:line="263" w:lineRule="auto"/>
        <w:tabs>
          <w:tab w:leader="none" w:pos="17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76" w:lineRule="exact"/>
        <w:rPr>
          <w:sz w:val="20"/>
          <w:szCs w:val="20"/>
          <w:color w:val="auto"/>
        </w:rPr>
      </w:pPr>
    </w:p>
    <w:p>
      <w:pPr>
        <w:jc w:val="both"/>
        <w:ind w:left="1760" w:right="479" w:hanging="863"/>
        <w:spacing w:after="0" w:line="277" w:lineRule="auto"/>
        <w:tabs>
          <w:tab w:leader="none" w:pos="1740" w:val="left"/>
        </w:tabs>
        <w:rPr>
          <w:sz w:val="20"/>
          <w:szCs w:val="20"/>
          <w:color w:val="auto"/>
        </w:rPr>
      </w:pPr>
      <w:r>
        <w:rPr>
          <w:rFonts w:ascii="Arial" w:cs="Arial" w:eastAsia="Arial" w:hAnsi="Arial"/>
          <w:sz w:val="18"/>
          <w:szCs w:val="18"/>
          <w:color w:val="auto"/>
        </w:rPr>
        <w:t>Level 3:</w:t>
        <w:tab/>
        <w:t>Unobservable inputs based on our assessment of the assumptions that market participants would use in pricing the asset or liability.</w:t>
      </w:r>
    </w:p>
    <w:p>
      <w:pPr>
        <w:spacing w:after="0" w:line="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2022 and December 31, 2021, and indicates the fair value hierarchy of the valuation inputs the Company utilized to determine such fair value: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Level</w:t>
            </w:r>
          </w:p>
        </w:tc>
        <w:tc>
          <w:tcPr>
            <w:tcW w:w="12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6"/>
              <w:spacing w:after="0"/>
              <w:rPr>
                <w:sz w:val="20"/>
                <w:szCs w:val="20"/>
                <w:color w:val="auto"/>
              </w:rPr>
            </w:pPr>
            <w:r>
              <w:rPr>
                <w:rFonts w:ascii="Arial" w:cs="Arial" w:eastAsia="Arial" w:hAnsi="Arial"/>
                <w:sz w:val="16"/>
                <w:szCs w:val="16"/>
                <w:b w:val="1"/>
                <w:bCs w:val="1"/>
                <w:color w:val="auto"/>
              </w:rPr>
              <w:t>2021</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140" w:type="dxa"/>
            <w:vAlign w:val="bottom"/>
          </w:tcPr>
          <w:p>
            <w:pPr>
              <w:jc w:val="right"/>
              <w:ind w:right="435"/>
              <w:spacing w:after="0"/>
              <w:rPr>
                <w:sz w:val="20"/>
                <w:szCs w:val="20"/>
                <w:color w:val="auto"/>
              </w:rPr>
            </w:pPr>
            <w:r>
              <w:rPr>
                <w:rFonts w:ascii="Arial" w:cs="Arial" w:eastAsia="Arial" w:hAnsi="Arial"/>
                <w:sz w:val="18"/>
                <w:szCs w:val="18"/>
                <w:color w:val="auto"/>
              </w:rPr>
              <w:t>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  334,589,588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329,755,798</w:t>
            </w:r>
          </w:p>
        </w:tc>
      </w:tr>
    </w:tbl>
    <w:p>
      <w:pPr>
        <w:spacing w:after="0" w:line="21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During the period from January 27, 2021 (date of inception) through December 31, 2021 the over-allotment option was accounted for as a liability in accordance with ASC-480 and was presented within liabilities on the accompanying balance sheet. The over-allotment option was measured at fair value at inception and on a recurring basis until it was exercised or expired, with changes in fair value presented in the statement of operations. On October 29, 2021, the underwriters partially exercised their over-allotment option to purchase an additional 2,975,000 Units at $10.00 per Unit and forfeited the remaining over-allotment option. The over-allotment liability was eliminated upon the expiration of the unexercised option on November 8, 2021. The over-allotment option liability was valued using a Black Scholes Model.</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quantitative information regarding Level 3 fair value measurement inputs: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October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September 24,</w:t>
            </w:r>
          </w:p>
        </w:tc>
      </w:tr>
      <w:tr>
        <w:trPr>
          <w:trHeight w:val="210"/>
        </w:trPr>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3500" w:type="dxa"/>
            <w:vAlign w:val="bottom"/>
            <w:tcBorders>
              <w:bottom w:val="single" w:sz="8" w:color="CCEEFF"/>
            </w:tcBorders>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Exercise Price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10.00</w:t>
            </w:r>
          </w:p>
        </w:tc>
      </w:tr>
      <w:tr>
        <w:trPr>
          <w:trHeight w:val="41"/>
        </w:trPr>
        <w:tc>
          <w:tcPr>
            <w:tcW w:w="35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Term (years)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0.12</w:t>
            </w:r>
          </w:p>
        </w:tc>
      </w:tr>
      <w:tr>
        <w:trPr>
          <w:trHeight w:val="41"/>
        </w:trPr>
        <w:tc>
          <w:tcPr>
            <w:tcW w:w="35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Risk Free Rate-Daily Treasury Yield Curve</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432"/>
        </w:trPr>
        <w:tc>
          <w:tcPr>
            <w:tcW w:w="3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F-27</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 (F/K/A INFLECTION POINT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FAIR VALUE MEASUREMENTS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the fair value of the Level 3 over-allotment liability:</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Over-allotment</w:t>
            </w:r>
          </w:p>
        </w:tc>
      </w:tr>
      <w:tr>
        <w:trPr>
          <w:trHeight w:val="210"/>
        </w:trPr>
        <w:tc>
          <w:tcPr>
            <w:tcW w:w="68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Option Liability</w:t>
            </w:r>
          </w:p>
        </w:tc>
      </w:tr>
      <w:tr>
        <w:trPr>
          <w:trHeight w:val="46"/>
        </w:trPr>
        <w:tc>
          <w:tcPr>
            <w:tcW w:w="68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27, 2021 (inception)</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Initial measurement on September 24, 2021</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281,301</w:t>
            </w: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at October 29, 2021</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(148,449)</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Fair value of expired over-allotment option at November 8, 2021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(45,022)</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Partial exercise of over-allotment liability at October 29, 2021</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Fair value as of December 31, 2021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SUBSEQUENT EVENTS</w:t>
      </w:r>
    </w:p>
    <w:p>
      <w:pPr>
        <w:spacing w:after="0" w:line="162"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financial statements were issued. Based upon this review, other than below, the Company did not identify any subsequent events that would have required adjustment or disclosure in the financial statements.</w:t>
      </w:r>
    </w:p>
    <w:p>
      <w:pPr>
        <w:spacing w:after="0" w:line="8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February 13, 2023, the Company consummated the Business Combination pursuant to that certain Business Combination Agreement, dated September 16, 2022 as further described in the Current Report on Form 8-K filed by the Company on February 14, 2023.</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Prior to the Company’s extraordinary general meeting held on February 8, 2023, 27,481,818 holders of IPAX Class A Ordinary Shares exercised their right to redeem those shares for cash at a price of approximately $10.1843 per share, for an aggregate of $279,884,314 (the “Redemptions”). As previously announced, on February 9, 2023, IPAX and Intuitive Machines OpCo entered into separate agreements (each, a “Forward Purchase Agreement”, and together, the “Forward Purchase Agreements”) with each of Polar Multi-Strategy Master Fund (“Polar”) and The HGC Fund LP (“HGC” and, each of Polar and HGC, individually, a “Seller” and, together, the “Sellers”) for over-the-counter Equity Prepaid Forward Transactions, pursuant to which each Seller agreed to hold, and waive any redemption rights with respect to, a maximum of 1,250,000 Cayman Class A Shares in connection with the closing of the Business Combination. Each Seller, acting separately and solely for its own account, was entitled to (i) reverse its previous election to redeem its Cayman Class A Shares in connection with the Business Combination or (ii) purchase Cayman Class A Shares through a broker in the open market from holders of Cayman Class A Shares (other than IPAX), including from holders who had previously elected to redeem their Cayman Class A Shares in connection with the Business Combination, such that, in the aggregate, such Seller owned up to 1,250,000 Cayman Class A Shares as of the Closing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Managers and Unitholders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Intuitive Machines, LLC and subsidiaries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audited the accompanying consolidated balance sheets of Intuitive Machines, LLC and subsidiaries (the “Company”) as of December 31, 2022 and 2021, the related consolidated statements of operations, members’ equity, and cash flows for each of the two years in the period ended December 31, 2022, and the related notes (collectively referred to as the “financial statements”). In our opinion, the consolidated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95"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GRANT THORNTON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amounts and par value)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25,764</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29,289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Trade accounts receivable, net of allowance for expected credit losses of</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$836 and $0,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67,004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43,449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6,081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affiliated companies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16,098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liabilities, current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56,656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49,629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15,178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Contract liabilities, non-current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Simple Agreements for Future Equity (“SAFE agreements”)</w:t>
            </w:r>
          </w:p>
        </w:tc>
        <w:tc>
          <w:tcPr>
            <w:tcW w:w="10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18,314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units, $0.00001 par value, unlimited units authorized, 122,505,500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122,500,000 units issued and outstanding at December 31, 2022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Paid in capital</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(72,587)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(66,182)</w:t>
            </w:r>
          </w:p>
        </w:tc>
        <w:tc>
          <w:tcPr>
            <w:tcW w:w="0" w:type="dxa"/>
            <w:vAlign w:val="bottom"/>
          </w:tcPr>
          <w:p>
            <w:pPr>
              <w:spacing w:after="0"/>
              <w:rPr>
                <w:sz w:val="1"/>
                <w:szCs w:val="1"/>
                <w:color w:val="auto"/>
              </w:rPr>
            </w:pPr>
          </w:p>
        </w:tc>
      </w:tr>
      <w:tr>
        <w:trPr>
          <w:trHeight w:val="23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Total members’ equity</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(51,844</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67,004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43,449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171"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72,550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 (excluding depreciation)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100,307</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 (excluding depreciation)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91,453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110,438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SAFE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56"/>
        </w:trPr>
        <w:tc>
          <w:tcPr>
            <w:tcW w:w="55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(35,648</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Net loss per unit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units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122,501,241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122,500,000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122,501,241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122,500,000</w:t>
            </w:r>
          </w:p>
        </w:tc>
        <w:tc>
          <w:tcPr>
            <w:tcW w:w="0" w:type="dxa"/>
            <w:vAlign w:val="bottom"/>
          </w:tcPr>
          <w:p>
            <w:pPr>
              <w:spacing w:after="0"/>
              <w:rPr>
                <w:sz w:val="1"/>
                <w:szCs w:val="1"/>
                <w:color w:val="auto"/>
              </w:rPr>
            </w:pPr>
          </w:p>
        </w:tc>
      </w:tr>
      <w:tr>
        <w:trPr>
          <w:trHeight w:val="40"/>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INTUITIVE MACHINES, LLC CONSOLIDATED STATEMENTS OF MEMBERS’ EQUITY (in thousands, except unit data)</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5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Members Units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6"/>
                <w:szCs w:val="16"/>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5"/>
              </w:rPr>
              <w:t>Accumulated</w:t>
            </w:r>
          </w:p>
        </w:tc>
        <w:tc>
          <w:tcPr>
            <w:tcW w:w="11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8"/>
              </w:rPr>
              <w:t>Noncontrolling</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100" w:type="dxa"/>
            <w:vAlign w:val="bottom"/>
            <w:gridSpan w:val="5"/>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240" w:type="dxa"/>
            <w:vAlign w:val="bottom"/>
          </w:tcPr>
          <w:p>
            <w:pPr>
              <w:spacing w:after="0"/>
              <w:rPr>
                <w:sz w:val="5"/>
                <w:szCs w:val="5"/>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Units</w:t>
            </w: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2020</w:t>
            </w:r>
          </w:p>
        </w:tc>
        <w:tc>
          <w:tcPr>
            <w:tcW w:w="84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122,500,000</w:t>
            </w:r>
          </w:p>
        </w:tc>
        <w:tc>
          <w:tcPr>
            <w:tcW w:w="72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14,168</w:t>
            </w: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(30,534)</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(15,014)</w:t>
            </w: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0"/>
                <w:szCs w:val="20"/>
                <w:color w:val="auto"/>
              </w:rPr>
            </w:pPr>
            <w:r>
              <w:rPr>
                <w:rFonts w:ascii="Arial" w:cs="Arial" w:eastAsia="Arial" w:hAnsi="Arial"/>
                <w:sz w:val="14"/>
                <w:szCs w:val="14"/>
                <w:color w:val="auto"/>
                <w:w w:val="97"/>
              </w:rPr>
              <w:t>Share-based compensation expense</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Investment in Intuitive Aviation</w:t>
            </w:r>
          </w:p>
        </w:tc>
        <w:tc>
          <w:tcPr>
            <w:tcW w:w="84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77"/>
        </w:trPr>
        <w:tc>
          <w:tcPr>
            <w:tcW w:w="224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(35,648)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(35,648)</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2021</w:t>
            </w:r>
          </w:p>
        </w:tc>
        <w:tc>
          <w:tcPr>
            <w:tcW w:w="8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122,500,000</w:t>
            </w: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(66,182)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(51,844)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5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5"/>
              </w:rPr>
              <w:t>Members Units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Paid-in</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6"/>
                <w:szCs w:val="16"/>
                <w:color w:val="auto"/>
              </w:rPr>
            </w:pPr>
          </w:p>
        </w:tc>
        <w:tc>
          <w:tcPr>
            <w:tcW w:w="1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240" w:type="dxa"/>
            <w:vAlign w:val="bottom"/>
          </w:tcPr>
          <w:p>
            <w:pPr>
              <w:spacing w:after="0"/>
              <w:rPr>
                <w:sz w:val="5"/>
                <w:szCs w:val="5"/>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Units</w:t>
            </w: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2021</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122,500,000</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14,337</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(51,844)</w:t>
            </w: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0"/>
                <w:szCs w:val="20"/>
                <w:color w:val="auto"/>
              </w:rPr>
            </w:pPr>
            <w:r>
              <w:rPr>
                <w:rFonts w:ascii="Arial" w:cs="Arial" w:eastAsia="Arial" w:hAnsi="Arial"/>
                <w:sz w:val="14"/>
                <w:szCs w:val="14"/>
                <w:color w:val="auto"/>
              </w:rPr>
              <w:t>Issuance of Units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5,500</w:t>
            </w:r>
          </w:p>
        </w:tc>
        <w:tc>
          <w:tcPr>
            <w:tcW w:w="720" w:type="dxa"/>
            <w:vAlign w:val="bottom"/>
          </w:tcPr>
          <w:p>
            <w:pPr>
              <w:spacing w:after="0"/>
              <w:rPr>
                <w:sz w:val="22"/>
                <w:szCs w:val="22"/>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7"/>
              </w:rPr>
              <w:t>Share-based compensation expense</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78"/>
        </w:trPr>
        <w:tc>
          <w:tcPr>
            <w:tcW w:w="224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(6,405)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(6,405)</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122,505,500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98"/>
              <w:spacing w:after="0"/>
              <w:rPr>
                <w:sz w:val="20"/>
                <w:szCs w:val="20"/>
                <w:color w:val="auto"/>
              </w:rPr>
            </w:pPr>
            <w:r>
              <w:rPr>
                <w:rFonts w:ascii="Arial" w:cs="Arial" w:eastAsia="Arial" w:hAnsi="Arial"/>
                <w:sz w:val="10"/>
                <w:szCs w:val="10"/>
                <w:color w:val="auto"/>
                <w:w w:val="71"/>
              </w:rPr>
              <w:t>$</w:t>
            </w:r>
          </w:p>
        </w:tc>
        <w:tc>
          <w:tcPr>
            <w:tcW w:w="2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14,967</w:t>
            </w: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(72,587)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(57,619)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(6,405)</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loss to net cash provided by (used in)</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Change in fair value of SAFE agreements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Trade accounts receivable, net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 affiliated companies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payable – affiliated companies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liabilities – current and long-term</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(16,405)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issuance of units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25,107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(decrease) increase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29,351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23,988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Less: restricted cash</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25,764</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BUSINESS DESCRIPTION</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Intuitive Machines, LLC (the “Company”, “IM”, “Intuitive Machines”, “we”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Company’s consolidated financial statements as of and for the years ended December 31, 2022 and 2021 have been prepared in accordance with United States generally accepted accounting principles (“GAAP”) and pursuant to the rules and regulations of the SEC. Our consolidated financial statements include the accounts of Intuitive Machines, the accounts of Intuitive Aviation Inc. (“IA” or “Intuitive Aviation”), a wholly owned subsidiary, Space Network Solutions, LLC (“SNS” or “Space Network Solutions”), and IX, LLC, variable interest entities (“VIE”) for which we are the primary beneficiary. All intercompany balances and transactions have been eliminated in consolidation.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the amounts reported in the consolidated financial statements and the accompanying notes. Due to the inherent uncertainty involved in making estimates, actual results could differ from those estimates.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bases its estimates and assumptions on historical experience, other factors, including the current economic environment and on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 Split</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May 25, 2021, in accordance with the amended and restated limited liability company agreement of IM, Class A Unit Interests increased by a multiple of one hundred thousand (100,000) or 1 to 100,000 unit (the “Unit Split”). The Class A members and their respective unit interests uniformly increased. Unless otherwise indicated, all share and per share amounts presented herein have been retroactively adjusted to reflect the impact of the Unit Split.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Reporting</w:t>
      </w:r>
    </w:p>
    <w:p>
      <w:pPr>
        <w:spacing w:after="0" w:line="162"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spacing w:after="0" w:line="115"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Major customers are defined as those individually comprising more than 10% of revenue. For the years ended December 31, 2022 and 2021, there was one major customer that accounted for 83% and 83%, respectively, of the Company’s total revenue. The largest customer did not have any accounts receivable as of December 31, 2022, while two other customers accounted for 35% and 14% of the accounts receivable balance as of December 31, 2022. The largest customer did not have any accounts receivable as of December 31, 2021, while two other customers accounted for 40% and 30% of the accounts receivable balance as of December 31, 2021.</w:t>
      </w:r>
    </w:p>
    <w:p>
      <w:pPr>
        <w:spacing w:after="0" w:line="97"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Major suppliers are defined as those individually comprising more than 10% of the annual goods or services purchased. For the years ended December 31, 2022 and 2021, the Company had one major supplier representing 63% and 42% of goods and services purchased, respectively. As of December 31, 2022, the largest supplier represented 21% of the accounts payable balance. As of December 31, 2021, the largest supplier did not have any accounts payable, while two other suppliers accounted for 17% and 13% of the accounts payable balance.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As of December 31, 2022, the Company had cash and cash equivalents of $25.8 million and a working capital deficit of $53.5 million. The Company has historically funded its operations through internally generated cash on hand, proceeds from sales of our capital stock including the execution of SAFE agreements, and proceeds from the issuance of bank debt.</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further described in Note 17, on February 13, 2023, as contemplated by the business combination agreement entered into as of September 16, 2022, the Company and Intuitive Machines, Inc. (formerly Inflection Point Acquisition Corp. or “IPAX”) consummated the business combination to effect the merger of the Company and IPAX. Upon the close of the business combination, the Company received approximately $34.1 million of gross proceeds to fund operations. Additionally, as a result of the close, the Company entered into a common stock purchase agreement relating to an equity facility under which the Company may direct the counterparty to purchase up to $50 million of newly issued common stock subject to certain requirements and limitations.</w:t>
      </w:r>
    </w:p>
    <w:p>
      <w:pPr>
        <w:spacing w:after="0" w:line="99"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Management believes that the cash available from the consummation of the business combination and related transactions will be sufficient to fund the short-term liquidity needs and the execution of the business plan through at least the twelve-month period from the date the financial statements are issued.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cash, time deposits and other highly liquid investments purchased with an initial maturity of three months or less to be cash equivalents.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Restricted cash consists of cash not readily available for general purpose cash needs. Restricted cash relates to cash held at commercial banks to support credit accounts. Restricted cash serving as collateral will be released upon full repayment of the credit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Accounts receivable are recorded at the invoiced amount and unbilled receivable, less an allowance for any potential expected uncollectible amounts and do not bear interest.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Prepayments and Other Current Assets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Prepaid and other current assets primarily consist of prepaid service fees, security deposits and other general prepayments.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 Net</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Property and equipment which are not in service are classified as construction-in-process.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is computed using the straight-line method over the following estimated useful lives of assets:</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420" w:type="dxa"/>
            <w:vAlign w:val="bottom"/>
            <w:gridSpan w:val="2"/>
          </w:tcPr>
          <w:p>
            <w:pPr>
              <w:spacing w:after="0"/>
              <w:rPr>
                <w:sz w:val="20"/>
                <w:szCs w:val="20"/>
                <w:color w:val="auto"/>
              </w:rPr>
            </w:pPr>
            <w:r>
              <w:rPr>
                <w:rFonts w:ascii="Arial" w:cs="Arial" w:eastAsia="Arial" w:hAnsi="Arial"/>
                <w:sz w:val="16"/>
                <w:szCs w:val="16"/>
                <w:b w:val="1"/>
                <w:bCs w:val="1"/>
                <w:color w:val="auto"/>
              </w:rPr>
              <w:t>Asset</w:t>
            </w:r>
          </w:p>
        </w:tc>
        <w:tc>
          <w:tcPr>
            <w:tcW w:w="1680" w:type="dxa"/>
            <w:vAlign w:val="bottom"/>
            <w:gridSpan w:val="2"/>
          </w:tcPr>
          <w:p>
            <w:pPr>
              <w:ind w:left="460"/>
              <w:spacing w:after="0"/>
              <w:rPr>
                <w:sz w:val="20"/>
                <w:szCs w:val="20"/>
                <w:color w:val="auto"/>
              </w:rPr>
            </w:pPr>
            <w:r>
              <w:rPr>
                <w:rFonts w:ascii="Arial" w:cs="Arial" w:eastAsia="Arial" w:hAnsi="Arial"/>
                <w:sz w:val="16"/>
                <w:szCs w:val="16"/>
                <w:b w:val="1"/>
                <w:bCs w:val="1"/>
                <w:color w:val="auto"/>
              </w:rPr>
              <w:t>Useful Life</w:t>
            </w:r>
          </w:p>
        </w:tc>
      </w:tr>
      <w:tr>
        <w:trPr>
          <w:trHeight w:val="46"/>
        </w:trPr>
        <w:tc>
          <w:tcPr>
            <w:tcW w:w="6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9"/>
              </w:rPr>
              <w:t>1</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Vehicles and trailers</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3</w:t>
            </w:r>
          </w:p>
        </w:tc>
        <w:tc>
          <w:tcPr>
            <w:tcW w:w="112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53"/>
        </w:trPr>
        <w:tc>
          <w:tcPr>
            <w:tcW w:w="6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3"/>
        </w:trPr>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5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53"/>
        </w:trPr>
        <w:tc>
          <w:tcPr>
            <w:tcW w:w="6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3</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53"/>
        </w:trPr>
        <w:tc>
          <w:tcPr>
            <w:tcW w:w="6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Expenditures for maintenance and repairs that do not extend the useful lives of property and equipment are recognized as expenses when incurred. Upon retirement or sale of assets, the cost and related accumulated depreciation and amortization is written off. No material gains or losses related to the sale of assets have been recognized in the accompanying consolidated statements of operations.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Long-Lived Assets</w:t>
      </w:r>
    </w:p>
    <w:p>
      <w:pPr>
        <w:spacing w:after="0" w:line="14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No impairment charges were recorded for the years ended December 31, 2022 and 2021.</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Lease Liabilities and Right-of-Use Assets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determine whether a contract is or contains a lease when we have the right to control the use of the identified asset in exchange for consideration. Lease liabilities and right-of-use assets (“ROU assets”) are recognized at the commencement date based on the present value of lease payments over the lease term. We use our incremental borrowing rate in the calculation of present value unless the implicit rate can be readily determined, however, the lease liability associated with leases calculated using implicit rates is not significant. Certain leases include provisions for the renewal or termination. We only consider fixed payments and those options that are reasonably certain to be exercised in the determination of the lease term and the initial measurement of lease liabilities and ROU assets. Expense for operating lease payments is recognized as lease expense on a straight-line basis over the lease term. We do not separate lease and non-lease components of a contract. Operating lease ROU assets are presented within Operating lease right-of-use assets on our consolidated balance sheet. See Note 5 — Leases for further disclosures and information on leases.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Company’s financial instruments consist of cash and cash equivalents, restricted cash, trade receivables, trade payables, amounts receivable or payable to related parties and long-term debt. The carrying amount of cash and cash equivalents, trade receivables, trade payables and receivables and payables from affiliates approximates fair value because of the short-term nature of the instruments. The fair value of debt approximates its carrying value because the cost of borrowing fluctuates based upon market conditions.</w:t>
      </w:r>
    </w:p>
    <w:p>
      <w:pPr>
        <w:spacing w:after="0" w:line="9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spacing w:after="0" w:line="80" w:lineRule="exact"/>
        <w:rPr>
          <w:sz w:val="20"/>
          <w:szCs w:val="20"/>
          <w:color w:val="auto"/>
        </w:rPr>
      </w:pPr>
    </w:p>
    <w:p>
      <w:pPr>
        <w:ind w:left="1280" w:hanging="39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2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 and</w:t>
      </w:r>
    </w:p>
    <w:p>
      <w:pPr>
        <w:spacing w:after="0" w:line="116" w:lineRule="exact"/>
        <w:rPr>
          <w:rFonts w:ascii="Arial" w:cs="Arial" w:eastAsia="Arial" w:hAnsi="Arial"/>
          <w:sz w:val="18"/>
          <w:szCs w:val="18"/>
          <w:color w:val="auto"/>
        </w:rPr>
      </w:pPr>
    </w:p>
    <w:p>
      <w:pPr>
        <w:ind w:left="1280" w:hanging="39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3:  Significant inputs to the valuation model are unobservable.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and Administrative Expense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General, selling, and administrative expenses consist of human capital related expenses for employees involved in general corporate functions, including executive management and administration, accounting, finance, tax, legal, information technology, marketing, and human resources; rent relating to the Company’s office space; professional fees and other general corporate costs. Human capital expenses primarily include salaries and benefits.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Most of our revenues are from long-term contracts associated with the engineering services for the research, design, development, manufacturing, integration and sustainment of advanced technology aerospace systems. 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Combination</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To determine the proper revenue recognition method for contracts, we evaluate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a combined or single contract into multiple performance obligations could change the amount of revenue and profit recorded in each period. Contracts are considered to have a single performance obligation if the promise to transfer the individual goods or services is not separately identifiable from other promises in the contracts primarily because we provide a significant service of integrating a complex set of tasks and components into a single project or capability.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Types</w:t>
      </w:r>
    </w:p>
    <w:p>
      <w:pPr>
        <w:spacing w:after="0" w:line="15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 performs work under contracts that broadly consist of fixed-price, time and materials or a combination of the two. Pricing for all customers is based on specific negotiations with each customer.</w:t>
      </w:r>
    </w:p>
    <w:p>
      <w:pPr>
        <w:spacing w:after="0" w:line="7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87"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For a small portion of our business, where we have the right to consideration from the customer in an amount that corresponds directly with the value received by the customer based on our performance to date, revenue is recognized when services are performed and contractually billable. Under the typical payment terms of our services contracts, amounts are billed as work progresses in accordance with agreed-upon contractual terms, either at periodic intervals (e.g., weekly, biweekly, or monthly) or upon achievement of contractual milestones.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Costs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Contract costs include all direct materials, labor and subcontractor costs and an allocation of indirect costs related to contract performance. Customer-furnished materials are included in both contract revenue and cost of revenue when management concludes that the company is acting as a principal rather than as an agent. Revenue for uninstalled materials is recognized when the cost is incurred and control is transferred to the customer, which revenue is recognized using the cost-to-cost method. Certain costs associated with significant long-term service arrangements are capitalized and amortized across the life of the contract. Capitalized contract costs primarily relate to prepaid pre-launch integration and engineering services and launch services subcontracted with a third-party. Pre-launch integration and engineering services and launch services are capitalized and amortized over the term of the contract on a systematic basis that is consistent with the transfer of the goods and services to our end customer. Project mobilization costs are generally charged to the project as incurred when they are an integrated part of the performance obligation being transferred to the client. Costs to obtain a contract are expensed as incurred unless they are expected to be recovered from the customer.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Variable Consideration</w:t>
      </w:r>
    </w:p>
    <w:p>
      <w:pPr>
        <w:spacing w:after="0" w:line="15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It is common for our contracts to contain variable consideration in the form of award fees, incentive fees, performance bonuses, liquidated damages or penalties that may increase or decrease the transaction price. These variable amounts generally are awarded upon achievement of certain performance metrics, program milestones or targets and can be based on customer discretion. We estimate the amount of variable consideration based on a weighted probability or the most likely amount to which we expect to be entitled. Variable consideration is included in the transaction price when it is probable that a significant reversal of cumulative revenue recognized will not occur or when the uncertainty associated with the variable consideration is resolved. Our estimates of variable consideration and determination of whether to include such amounts in the transaction price are based largely on our assessment of legal enforceability, anticipated performance, and any other information (historical, current or forecasted) that is reasonably available to us.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Estimates and Modifications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and subject to many variables and requires significant judgment. As a significant change in estimated total revenue and cost could affect the profitability of our contracts, we routinely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review and update our contract-related estimates through a disciplined project review process in which management reviews the progress and execution of our performance obligations and the estimate at completion. As part of this process, management reviews information including, but not limited to, outstanding contract matters, progress towards completion, program schedule and the associated changes in estimates of revenues and costs. Management must make assumptions and estimates regarding the availability and productivity of labor, the complexity of the work to be performed, the availability and cost of materials, the performance of subcontractors and the availability and timing of funding from the customer, along with other risks inherent in performing services under all contracts where we recognize revenue over time using the cost-to-cost method.</w:t>
      </w:r>
    </w:p>
    <w:p>
      <w:pPr>
        <w:spacing w:after="0" w:line="8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typically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Contracts are often modified to account for changes in contract specifications and requirements.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our measure of progress for the performance obligation to which it relates, is recognized as an adjustment to revenue (either as an increase in or a reduction of revenue) on a cumulative catch-up basis. We account for contract modifications prospectively when the modification results in the promise to deliver additional goods or services that are distinct and the increase in price of the contract is for the same amount as the stand-alone selling price of the additional goods or services included in the modification.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Unbilled Receivables and Deferred Revenue</w:t>
      </w:r>
    </w:p>
    <w:p>
      <w:pPr>
        <w:spacing w:after="0" w:line="158"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Billing practices are governed by the contract terms of each project based upon costs incurred, achievement of milestones or predetermined schedules. Billings do not necessarily correlate with revenue recognized over time using the cost-to-cost method. Unbilled receivables (contract assets) include unbilled amounts typically resulting from revenue under long-term contracts when the cost-to-cost method of revenue recognition is utilized, and revenue recognized exceeds the amount billed to the customer. Deferred revenue (contract liabilities) consists of advance payments and billings in excess of revenue recognized. Our unbilled receivables and deferred revenue are reported in a net position on a contract-by-contract basis at the end of each reporting period.</w:t>
      </w:r>
    </w:p>
    <w:p>
      <w:pPr>
        <w:spacing w:after="0" w:line="11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payment terms of our contracts from time to time require the customer to make advance payments as well as interim payments as work progresses. The advance payment generally is not considered to contain a significant financing component as we expect to recognize those amounts in revenue within a year of receipt as work progresses on the related performance obligation.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Intuitive Machines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Intuitive Machines has elected to be treated as a partnership for income tax purposes. Partnerships are not subject to U.S. federal income taxes. Rather, the partnership’s taxable income flows through to the owners, who are responsible for paying the applicable income taxes on the income allocated to them. Accordingly, no provision for federal income taxes has been recorded for Intuitive Machines, LLC. However, the Company is subject to Texas Margin Taxes. The Company recorded $23 thousand of income tax benefit and $2 thousand of income tax expense for the years ended December 31, 2022 and 2021, respectively, in the accompanying consolidated statements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Intuitive Machines is subject to partnership audit rules enacted as part of the Bipartisan Budget Act of 2015 (“the Centralized Partnership audit Regime”). Under the Centralized Partnership Audit Regime, any Internal Revenue Service (“IRS”) audit of Intuitive Machines would be conducted at the Company level, and if the IRS determines an adjustment, the default rule is that Intuitive Machines would pay an “imputed underpayment” including interest and penalties, if applicable. Intuitive Machines may instead elect to make a “push-out” election, in which case the partners for the year that is under audit would be required to take into account the adjustments on their own personal or business tax returns. If Intuitive Machines receives an imputed underpayment, a determination will be made based on the relevant facts and circumstances that exist at that time to allocate such imputed underpayment to each partner based on their specific share of such imputed underpayment. Any payments that Intuitive Machines ultimately makes on behalf of its current partners will be reflected as a distribution, rather than tax expense, at the time that such distribution is declared.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Intuitive Aviation</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Intuitive Aviation is a corporation for tax purposes and is subject to U.S. federal income taxes. Accordingly, provision for income taxes has been recorded for Intuitive Aviation, Inc. We use the asset and liability method of accounting for income taxes for Intuitive Aviation. Under the asset and liability method, deferred tax assets and liabilities are recognized for the future tax consequences attributable to differences between the financial statement carrying amounts of existing assets and liabilities and their respective tax bases and net operating loss (“NOL”) and tax credit carry forwards. Deferred tax assets and liabilities are measured using enacted income tax rates expected to apply to taxable income in the years in which those differences are expected to be recovered or settled. The effect on deferred tax assets and liabilities of a change in income tax rates is recognized in the results of operations in the period that includes the enactment date. The realizability of deferred tax assets is evaluated quarterly based on a “more likely than not” standard and, to the extent this threshold is not met, a valuation allowance is recorded.</w:t>
      </w:r>
    </w:p>
    <w:p>
      <w:pPr>
        <w:spacing w:after="0" w:line="11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have determined that there are not any tax positions outstanding that would fail to meet a “more likely than not” standard, and therefore there have not been any uncertain tax positions identified.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Space Network Solutions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Space Network Solutions has elected to be treated as a partnership for income tax purposes. Partnerships are not subject to U.S. federal income taxes. Rather, the partnership’s taxable income flows through to the owners, who are responsible for paying the applicable income taxes on the income allocated to them. Accordingly, no provision for federal income taxes has been recorded for Space Network Solutions, LLC. However, Space Network Solutions is subject to Texas Margin Taxes. The Company recorded $0 for the years ended December 31, 2022 and 2021, respectively, in income tax expense in the accompanying consolidated statements of operations.</w:t>
      </w:r>
    </w:p>
    <w:p>
      <w:pPr>
        <w:spacing w:after="0" w:line="11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Space Network Solutions is subject to partnership audit rules enacted as part of the Bipartisan Budget Act of 2015 (“the Centralized Partnership audit Regime”). Under the Centralized Partnership Audit Regime, any Internal Revenue Service (“IRS”) audit of Space Network Solutions would be conducted at the Company level, and if the IRS determines an adjustment, the default rule is that Space Network Solutions would pay an “imputed underpayment” including interest and penalties, if applicable. Space Network Solutions may instead elect to make a “push-out” election, in which case the partners for the year that is under audit would be required to take into account the adjustments on their own personal or business tax returns. If Space Network Solutions receives an imputed underpayment, a determination will be made based on the relevant facts and circumstances that exist at that time to allocate such imputed underpayment to each partner based on their specific share of such imputed underpayment. Any payments that Space Network Solutions ultimately makes on behalf of its current partners will be reflected as a distribution, rather than tax expense, at the time that such distribution is declared.</w:t>
      </w:r>
    </w:p>
    <w:p>
      <w:pPr>
        <w:spacing w:after="0" w:line="111"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 xml:space="preserve">The Company follows the guidance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Interest and penalties associated with tax positions are recorded in the period assessed as general and administrative expenses. The open tax years for Intuitive Machines’ and Intuitive Aviation’s tax returns include 2019 through 2021 for state and federal reporting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Unit-Based Compensation</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recognize all unit-based awards to employees and directors as unit-based compensation expense based upon their fair values on the date of grant.</w:t>
      </w:r>
    </w:p>
    <w:p>
      <w:pPr>
        <w:spacing w:after="0" w:line="103"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estimate the fair value of unit-based payment awards on the date of grant. The value of the portion of the award that is ultimately expected to vest is recognized as an expense during the requisite service periods. We have estimated the fair value for each option award as of the date of grant using the Black-Scholes option pricing model. The Black-Scholes option pricing model considers, among other factors, the expected life of the award and the expected volatility of our unit price. We recognize the unit-based compensation expense over the requisite service period using the straight-line method for service condition only awards, which is generally a vesting term of five years. Forfeitures are accounted for in the period in which they occur.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Principles Recently Adopted</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December 2019, the FASB issued ASU 2019-12, Income Taxes (Topic 740), which removes specific exceptions to the general principles in ASC Topic 740 related to the incremental approach for intra-period tax allocation, accounting for basis differences for ownership changes in foreign investments and interim period income tax accounting for year-to-date losses that exceed anticipated losses. The ASU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For private entities, this ASU is effective for fiscal years beginning after December 15, 2021, and interim periods within those years. Early adoption is permitted. The adoption of ASU 2019-12 did not have a material impact on our financial condition, results of operations, and cash flows.</w:t>
      </w:r>
    </w:p>
    <w:p>
      <w:pPr>
        <w:spacing w:after="0" w:line="10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October 2020, the FASB issued ASU 2020-10, Codification Improvements, which removes references to various FASB Concepts Statements, properly situates all disclosure guidance in the appropriate disclosure section of the Codification as well as makes other improvements and technical corrections to the Codification that are not expected to have a significant effect on current accounting practice. The changes of this ASU are effective for annual periods beginning after December 15, 2021. The adoption of ASU 2020-10 did not have a material impact on our financial condition, results of operations, or cash flows.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Disaggregated Revenues</w:t>
      </w:r>
    </w:p>
    <w:p>
      <w:pPr>
        <w:spacing w:after="0" w:line="16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disaggregate our revenue from contracts with customers by contract type. The following tables provide information about disaggregated revenue for the years ended December 31, 2022 and 2021 (in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7"/>
          </w:tcPr>
          <w:p>
            <w:pPr>
              <w:jc w:val="right"/>
              <w:ind w:right="820"/>
              <w:spacing w:after="0"/>
              <w:rPr>
                <w:sz w:val="20"/>
                <w:szCs w:val="20"/>
                <w:color w:val="auto"/>
              </w:rPr>
            </w:pPr>
            <w:r>
              <w:rPr>
                <w:rFonts w:ascii="Arial" w:cs="Arial" w:eastAsia="Arial" w:hAnsi="Arial"/>
                <w:sz w:val="16"/>
                <w:szCs w:val="16"/>
                <w:b w:val="1"/>
                <w:bCs w:val="1"/>
                <w:color w:val="auto"/>
                <w:w w:val="96"/>
              </w:rPr>
              <w:t>Year Ended December 31,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3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 by Contract Type</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Fixed price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80,801</w:t>
            </w:r>
          </w:p>
        </w:tc>
        <w:tc>
          <w:tcPr>
            <w:tcW w:w="2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68,487</w:t>
            </w:r>
          </w:p>
        </w:tc>
        <w:tc>
          <w:tcPr>
            <w:tcW w:w="5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40"/>
        </w:trPr>
        <w:tc>
          <w:tcPr>
            <w:tcW w:w="3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and materials</w:t>
            </w:r>
          </w:p>
        </w:tc>
        <w:tc>
          <w:tcPr>
            <w:tcW w:w="3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5,145</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c>
          <w:tcPr>
            <w:tcW w:w="5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85,946</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72,550</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 Assets and Liabilities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consolidated balance sheets. Contract assets related to deferred contract costs 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REVENUE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consolidated balance sheets. Long-term deferred revenue and provisions for loss contracts are recorded in long-term contract liabilities on our consolidated balance sheets.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contract assets as of December 31, 2022 and December 31, 2021 (in thousands):</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Unbilled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For the years ended December 31, 2022 and 2021, amortization expense associated with deferred contract costs for subcontracted launch services is recorded in cost of services and was $43.3 million and $45.7 million, respectively.</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table presents contract liabilities as of December 31, 2022 and December 31, 2021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Contract liabilities – current</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Contract loss provision</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10,120</w:t>
            </w: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launch costs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contract liabilities – current</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56,656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 liabilities – long-term</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Contract loss provision</w:t>
            </w: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liabilities – long-term</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contract liabilities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58,844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60,159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Revenue recognized from amounts included in contract liabilities at the beginning of the period was $31.4 million and $30.5 million during the years ended December 31, 2022 and 2021,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Contracts</w:t>
      </w:r>
    </w:p>
    <w:p>
      <w:pPr>
        <w:spacing w:after="0" w:line="162"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Contract losses are a result of constraining variable consideration and estimated contract costs exceeding current contract price. The Company experiences favorable or unfavorable changes to contract losses from time to time due to changes in estimated contract costs and modifications that result in changes to contract price. In the year ended December 31, 2022 and 2021, we recorded $(9.3) million and $31.5 million in cumulative (favorable) and unfavorable changes, respectively, related to contracts with customers.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REVENUE </w:t>
      </w:r>
      <w:r>
        <w:rPr>
          <w:rFonts w:ascii="Arial" w:cs="Arial" w:eastAsia="Arial" w:hAnsi="Arial"/>
          <w:sz w:val="18"/>
          <w:szCs w:val="18"/>
          <w:color w:val="auto"/>
        </w:rPr>
        <w:t>(cont.)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the status of these loss contracts were as follows:</w:t>
      </w:r>
    </w:p>
    <w:p>
      <w:pPr>
        <w:spacing w:after="0" w:line="144" w:lineRule="exact"/>
        <w:rPr>
          <w:sz w:val="20"/>
          <w:szCs w:val="20"/>
          <w:color w:val="auto"/>
        </w:rPr>
      </w:pPr>
    </w:p>
    <w:p>
      <w:pPr>
        <w:jc w:val="both"/>
        <w:ind w:left="1320" w:right="459" w:hanging="434"/>
        <w:spacing w:after="0" w:line="270" w:lineRule="auto"/>
        <w:tabs>
          <w:tab w:leader="none" w:pos="127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first contract, for commercial lunar payload services, became a loss contract in 2019 due to the constraint of variable consideration. Variable consideration has been constrained to $0 from a total potential amount of $8.1 million. For the years ended December 31, 2022, and 2021, changes in contract price and estimated contract costs resulted in (favorable) and unfavorable changes of $(11.1) million and $11.7 million, respectively. As of December 31, 2022, and 2021, this contract was approximately 96% complete and 83% complete, respectively. The contract is anticipated to be 100% complete as of March 2023. As of December 31, 2022 and 2021, the reserve for estimated contract losses recorded in other current liabilities in our consolidated balance sheets was $0.4 million and $3.9 million, respectively.</w:t>
      </w:r>
    </w:p>
    <w:p>
      <w:pPr>
        <w:spacing w:after="0" w:line="113" w:lineRule="exact"/>
        <w:rPr>
          <w:rFonts w:ascii="Arial" w:cs="Arial" w:eastAsia="Arial" w:hAnsi="Arial"/>
          <w:sz w:val="17"/>
          <w:szCs w:val="17"/>
          <w:color w:val="auto"/>
        </w:rPr>
      </w:pPr>
    </w:p>
    <w:p>
      <w:pPr>
        <w:jc w:val="both"/>
        <w:ind w:left="1320" w:right="459" w:hanging="434"/>
        <w:spacing w:after="0" w:line="269" w:lineRule="auto"/>
        <w:tabs>
          <w:tab w:leader="none" w:pos="127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second contract, for commercial lunar payload services, became a loss contract in 2021 due to the constraint of variable consideration and estimated contract costs exceeding current contract price. Variable consideration has been constrained to $0 from a total potential amount of $7.8 million. For the years ended December 31, 2022, and 2021, changes in estimated contract costs resulted in (favorable) and unfavorable changes of $(4.7) million and $19.3 million, respectively. As of December 31, 2022, and 2021, this contract was approximately 32.5% complete and 4% complete, respectively. The contract is anticipated to be 85% complete and 100% complete as of December 2023 and 2024, respectively. As of December 31, 2022 and 2021, the reserve for estimated contract losses recorded in other current liabilities in our consolidated balance sheets was $9.9 million and $18.5, respectively.</w:t>
      </w:r>
    </w:p>
    <w:p>
      <w:pPr>
        <w:spacing w:after="0" w:line="117" w:lineRule="exact"/>
        <w:rPr>
          <w:rFonts w:ascii="Arial" w:cs="Arial" w:eastAsia="Arial" w:hAnsi="Arial"/>
          <w:sz w:val="17"/>
          <w:szCs w:val="17"/>
          <w:color w:val="auto"/>
        </w:rPr>
      </w:pPr>
    </w:p>
    <w:p>
      <w:pPr>
        <w:jc w:val="both"/>
        <w:ind w:left="1320" w:right="459" w:hanging="434"/>
        <w:spacing w:after="0" w:line="271" w:lineRule="auto"/>
        <w:tabs>
          <w:tab w:leader="none" w:pos="127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third contract, for commercial lunar payload services, became a loss contract in 2022 due to the constraint of variable consideration and estimated contract costs exceeding current contract price. Variable consideration has been constrained to $0 from a total potential amount of $8.4 million. For the years ended December 31, 2022, and 2021, changes in estimated contract costs resulted in an additional $6.0 million and $0 contract loss, respectively. As of December 31, 2022 this contract was approximately 69.1% complete. The contract is anticipated to be 100% complete as of May 2024. As of December 31, 2022, the reserve for estimated contract losses recorded in other current liabilities in our consolidated balance sheet was $1.9 million.</w:t>
      </w:r>
    </w:p>
    <w:p>
      <w:pPr>
        <w:spacing w:after="0" w:line="97" w:lineRule="exact"/>
        <w:rPr>
          <w:sz w:val="20"/>
          <w:szCs w:val="20"/>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remaining loss contracts are individually and collectively immaterial.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Remaining performance obligations represent the remaining transaction price of firm orders for which work has not been performed and excludes unexercised contract options. As of December 31, 2022, the aggregate amount of the transaction price allocated to remaining fixed price performance obligations was $101.4 million. The Company expects to recognize revenue on approximately 80-85% of the remaining performance obligations over the next 12 months, 15-20% recognized in 2024 and the remaining thereafter. Remaining performance obligations do not include variable consideration that was determined to be constrained as of December 31, 2022.</w:t>
      </w:r>
    </w:p>
    <w:p>
      <w:pPr>
        <w:spacing w:after="0" w:line="12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For time and materials contracts, we have adopted the practical expedient that allows us to recognize revenue based on our right to invoice; therefore, we do not report unfulfilled performance obligations for time and materials agreements.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PROPERTY AND EQUIPMENT,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2022, and 2021, property and equipment, net consisted of the following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Vehicles and trailers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2,282</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Total depreciation related to property and equipment for the years ended December 31, 2022 and 2021 was $1.1 and $0.8 million, respectively.</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of December 31, 2022 and 2021, the Company pledged property and equipment with net book value of approximately $20.3 million and $4.7 million, respectively, as security for its comprehensive credit facilities with Live Oak Bank.</w:t>
      </w:r>
    </w:p>
    <w:p>
      <w:pPr>
        <w:spacing w:after="0" w:line="11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As of December 31, 2022, Construction in progress includes $10.3 million of construction costs for a lunar operations center as further described in Note 5 — Leases as well as $7.3 million of costs associated with the fabrication of a commercial communications satellite. The Company capitalized interest in connection with construction in progress of $247 thousand and $33 for the years ended December 31, 2022 and 2021,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LEASES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leases real estate for office space and for administrative, research, marketing and light manufacturing operations of the Lessee’s aerospace related research and development business under operating leases. There are no finance leases.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has six real estate leases with lease terms ranging from 16 months to 250 months, some of which contain options to extend and some of which contain options to terminate the lease without cause at the option of lessee.</w:t>
      </w:r>
    </w:p>
    <w:p>
      <w:pPr>
        <w:spacing w:after="0" w:line="116"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For the years ended December 31, 2022 and 2021, there were no significant variable lease costs. There are no restrictions or covenants imposed by any of the leases, and none of the Company’s leases contain material residual value guarantees.</w:t>
      </w:r>
    </w:p>
    <w:p>
      <w:pPr>
        <w:spacing w:after="0" w:line="9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the year ended December 31, 2021, the Company signed a ground lease agreement for the development of a lunar operations center that will serve as a production and testing facility of lunar lander components and other aerospace related operations. The facility is currently under construction, and the lessor will reimburse up to $40 million for certain costs incurred by the Company for design, construction, and development. The Company concluded that it was deemed the owner, for accounting purposes only, of the facility under build-to-suit lease accounting due to its involvement in the construction activities of the facility. Accordingly, the Company is accounting for the construction of the facility as a financing arrangement. As of December 31, 2022, the Company has capitalized $10.3 million of construction in progress and a corresponding financing obligation of $9.1 million. Upon completion of the construction project, the ground lease agreement will have an initial term of 20 years with four optional renewal periods of 5 years each. During the fourth quarter of 2022, construction was completed for a portion of the lunar operations center, and the Company took possession of the completed facility. Upon commencement of the lease, the Company determined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LEASES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that the facility qualified for sale and leaseback accounting, with the leaseback being classified as an operating lease. The Company recorded right-of-use assets and corresponding lease liabilities of approximately $3.1 million. No gain or loss was recognized or deferred on the sale of the facility, as the fair value upon completion was determined to be equal to the carrying value.</w:t>
      </w:r>
    </w:p>
    <w:p>
      <w:pPr>
        <w:spacing w:after="0" w:line="10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As of December 31, 2022, the Company had entered into an operating lease for additional office space that had not yet commenced. The lease commenced in January 2023 with a lease term of 8 months.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total lease expense are as follows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gridSpan w:val="3"/>
          </w:tcPr>
          <w:p>
            <w:pPr>
              <w:jc w:val="right"/>
              <w:ind w:right="384"/>
              <w:spacing w:after="0"/>
              <w:rPr>
                <w:sz w:val="20"/>
                <w:szCs w:val="20"/>
                <w:color w:val="auto"/>
              </w:rPr>
            </w:pPr>
            <w:r>
              <w:rPr>
                <w:rFonts w:ascii="Arial" w:cs="Arial" w:eastAsia="Arial" w:hAnsi="Arial"/>
                <w:sz w:val="16"/>
                <w:szCs w:val="16"/>
                <w:b w:val="1"/>
                <w:bCs w:val="1"/>
                <w:color w:val="auto"/>
                <w:w w:val="99"/>
              </w:rPr>
              <w:t>Year Ended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3"/>
          </w:tcPr>
          <w:p>
            <w:pPr>
              <w:jc w:val="right"/>
              <w:ind w:right="324"/>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88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components of supplemental cash flow information related to operating leases are as follows (in thousands):</w:t>
      </w:r>
    </w:p>
    <w:p>
      <w:pPr>
        <w:spacing w:after="0" w:line="130"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5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Cash paid (received) for amounts included in the measurement of lease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Cash flow from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832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633</w:t>
            </w:r>
          </w:p>
        </w:tc>
      </w:tr>
      <w:tr>
        <w:trPr>
          <w:trHeight w:val="40"/>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Lease Term (months)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recorded $10.3 million and zero in property and equipment related to reimbursable leasehold improvement costs incurred as of December 31, 2022 and 2021, respectively.</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supplemental balance sheet information related to operating leases for the period is as follows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right-of-use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5,078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table below includes the estimated future undiscounted cash flows for operating leases as of December 31, 2022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318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2024</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41"/>
        </w:trPr>
        <w:tc>
          <w:tcPr>
            <w:tcW w:w="31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3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2026</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41"/>
        </w:trPr>
        <w:tc>
          <w:tcPr>
            <w:tcW w:w="31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3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7"/>
        </w:trPr>
        <w:tc>
          <w:tcPr>
            <w:tcW w:w="31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3,345</w:t>
            </w:r>
          </w:p>
        </w:tc>
      </w:tr>
      <w:tr>
        <w:trPr>
          <w:trHeight w:val="27"/>
        </w:trPr>
        <w:tc>
          <w:tcPr>
            <w:tcW w:w="31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8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right"/>
              <w:ind w:right="2767"/>
              <w:spacing w:after="0"/>
              <w:rPr>
                <w:sz w:val="20"/>
                <w:szCs w:val="20"/>
                <w:color w:val="auto"/>
              </w:rPr>
            </w:pPr>
            <w:r>
              <w:rPr>
                <w:rFonts w:ascii="Arial" w:cs="Arial" w:eastAsia="Arial" w:hAnsi="Arial"/>
                <w:sz w:val="18"/>
                <w:szCs w:val="18"/>
                <w:color w:val="auto"/>
              </w:rPr>
              <w:t>F-45</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852"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DEBT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debt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Mobilization Facility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First Insurance Funding Loan</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long-term debt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Less: deferred financing costs</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maturities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2022, the weighted-average interest rate on short-term borrowings outstanding was 6.55%.</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2021, the weighted-average interest rate on short-term borrowings outstanding was 5.25%.</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Live Oak Credit Mobilization Credit Facility Line of Credit</w:t>
      </w:r>
    </w:p>
    <w:p>
      <w:pPr>
        <w:spacing w:after="0" w:line="148" w:lineRule="exact"/>
        <w:rPr>
          <w:sz w:val="20"/>
          <w:szCs w:val="20"/>
          <w:color w:val="auto"/>
        </w:rPr>
      </w:pPr>
    </w:p>
    <w:p>
      <w:pPr>
        <w:jc w:val="both"/>
        <w:ind w:left="460" w:right="479"/>
        <w:spacing w:after="0" w:line="268" w:lineRule="auto"/>
        <w:rPr>
          <w:sz w:val="20"/>
          <w:szCs w:val="20"/>
          <w:color w:val="auto"/>
        </w:rPr>
      </w:pPr>
      <w:r>
        <w:rPr>
          <w:rFonts w:ascii="Arial" w:cs="Arial" w:eastAsia="Arial" w:hAnsi="Arial"/>
          <w:sz w:val="17"/>
          <w:szCs w:val="17"/>
          <w:color w:val="auto"/>
        </w:rPr>
        <w:t>On December 12, 2019, we entered into a loan agreement with Live Oak Banking Company which provided a $12.0 million Credit Mobilization Facility with a due date of December 12, 2022 and a $1.0 million line of credit with a due date of December 12, 2020. Both the Credit Mobilization Facility and line of credit bear interest (payable monthly) at a rate per annum equal to 6.0%. The Credit Mobilization Facility and line of credit are secured by substantially all of the assets of the Company. On December 8, 2020 the Company entered into a Loan Modification Agreement with Live Oak Banking Company which amended the terms of the line of credit, including decreasing the maximum principal from $1.0 million to $400 thousand, extending the maturity date from December 12, 2020 to December 10, 2021, and changing the interest rate from 6.0% to a variable interest rate at the prime rate, as published in the Wall Street Journal newspaper, plus 2.0%. On April 30, 2021, we entered into a commitment with Live Oak Banking Company which provided a $12.0 million contract mobilization credit facility with a loan maturity of November 15, 2022, which superseded the existing contract mobilization credit facility. On December 10, 2021 the line of credit expired. The Company had no balance outstanding at that time and did not renew the line of credit.</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On July 14, 2022, we entered into the Second Amended and Restated Loan Agreement with Live Oak Banking Company which provided an $8.0 million mobilization credit facility with a loan maturity of July 14, 2024 and extended the maturity date of our existing $12.0 million mobilization credit facility to November 14, 2023. The $8.0 million mobilization credit facility requires early payment of principal upon the completion of certain mission milestones. If the milestones are completed, principal payments of $4.1 million and $3.9 million would be due prior to loan maturity in 2023 and 2024, respectively. The $12.0 million mobilization credit facility requires principal payments of $8.0 million on August 15, 2023 and $4.0 million on November 14, 2023. The mobilization credit facilities bear interest (payable monthly) at a rate per annum equal to the greater of (a) the prime rate, as published in the Wall Street Journal newspaper, plus 2% and (b) 5%. The mobilization credit facilities require the Company to meet certain financial and other covenants and are secured by substantially all of the assets of the Company. There was $20 and $12 million outstanding under the credit mobilization facilities as of December 31, 2022 and 2021, respectively.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Paycheck Protection Program</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On April 7, 2020, the Company received loan proceeds of $1.8 million (the “PPP Loan”) pursuant to the Paycheck Protection Program (“PPP”) under the Coronavirus Aid, Relief, and Economic Security Act (“CARES Act”). The PPP Loan, which was in the form of a promissory note (the “Note”), dated April 7, 2020, between Intuitive Machines and Live Oak Banking Company, as the lender, originally matured on April 7, 2022. Under the terms of the PPP, some or all of the PPP Loan amount may be forgiven if the PPP Loan proceeds are used for qualifying expenses as described in the CARES Act and the Note, such as payroll costs, benefits, rent, and utilities. The Company applied for forgiveness to the Small Business Association (“SBA”) on December 14, 2020. On April 4, 2021, the Company was notified that the PPP Loan was forgiven and recorded a $1.8 million gain on extinguishment of debt.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DEBT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 Insurance Funding Loans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August 24, 2021, we entered into a loan agreement with First Insurance Funding (“First FIF Loan”) which provided $0.1 million in credit to be used to purchase certain insurance policies with a due date of May 21, 2022. On December 3, 2021, we entered into a second loan agreement with First Insurance Funding (“Second FIF Loan”) which provided an additional $0.1 million in credit to be used to purchase certain insurance policies with a due date of May 21, 2022. Both the First FIF Loan and the Second FIF Loan, collectively the “FIF Loans”, bear interest (payable monthly) at a rate per annum equal to 5.9%. There was $— and $0.1 million outstanding under the FIF Loans as of December 31, 2022 and 2021, respectively.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INCOME TAXES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is treated as a partnership for tax purposes and therefore not subject to U.S. federal income tax. The Company is subject to Texas Margins Tax. The Company also has a corporate subsidiary, Intuitive Aviation, Inc., that is subject to U.S. federal and state income taxes.</w:t>
      </w:r>
    </w:p>
    <w:p>
      <w:pPr>
        <w:spacing w:after="0" w:line="10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Beginning in 2022, the Tax Cuts and Jobs Act of 2017 (“TCJA”) eliminates the option to deduct research and development expenditures currently and requires taxpayers to capitalize and amortize them. Research and development expenses must be amortized over five years for research performed in the U.S. and 15 years for research performed outside the U.S. Although Congress is considering legislation that would defer the amortization requirement to later years, it is not certain that the provision will be repealed or otherwise modified. The legislation did not have an impact on the tax provision currently because of the Company’s status as a non-taxable entity; however, the Company will monitor this legislation.</w:t>
      </w:r>
    </w:p>
    <w:p>
      <w:pPr>
        <w:spacing w:after="0" w:line="11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On August 16, 2022, the Inflation Reduction Act of 2022 (“IRA”) was enacted into law. The IRA contains significant tax law changes, including a corporate alternative minimum tax (“CAMT”) of 15% on adjusted financial statement income for applicable corporations, and a 1% excise tax on stock repurchases after December 31, 2022. The IRA also extends certain federal tax credits and creates new tax credits to promote sustainability initiatives. The IRA did not have a material impact on our consolidated financial statements.</w:t>
      </w:r>
    </w:p>
    <w:p>
      <w:pPr>
        <w:spacing w:after="0" w:line="9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July 2020, the U.S. Treasury Department released final and proposed regulations on IRC Section 163(j) which limits business interest expense deductions. These regulations apply to tax years beginning January 1, 2021. However, taxpayers may choose to apply these regulations to tax years beginning after December 31, 2017. The Company adopted the final regulations for the year ended December 31, 2021. This did not result in any material impact to the provision.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consolidated income tax provision consisted of the following components (in thousands):</w:t>
      </w: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Federal</w:t>
            </w:r>
          </w:p>
        </w:tc>
        <w:tc>
          <w:tcPr>
            <w:tcW w:w="34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2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4"/>
              </w:rPr>
              <w:t>(16</w:t>
            </w:r>
          </w:p>
        </w:tc>
        <w:tc>
          <w:tcPr>
            <w:tcW w:w="140" w:type="dxa"/>
            <w:vAlign w:val="bottom"/>
            <w:vMerge w:val="continue"/>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2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Federal</w:t>
            </w:r>
          </w:p>
        </w:tc>
        <w:tc>
          <w:tcPr>
            <w:tcW w:w="2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27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4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right"/>
              <w:ind w:right="2050"/>
              <w:spacing w:after="0"/>
              <w:rPr>
                <w:sz w:val="20"/>
                <w:szCs w:val="20"/>
                <w:color w:val="auto"/>
              </w:rPr>
            </w:pPr>
            <w:r>
              <w:rPr>
                <w:rFonts w:ascii="Arial" w:cs="Arial" w:eastAsia="Arial" w:hAnsi="Arial"/>
                <w:sz w:val="18"/>
                <w:szCs w:val="18"/>
                <w:color w:val="auto"/>
              </w:rPr>
              <w:t>F-47</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INCOME TAXES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reconciliation of the income tax provision computed at the Company’s effective tax rate is as follows (in thousands except for rates):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7"/>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(35,646)</w:t>
            </w: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Statutory income tax rates</w:t>
            </w:r>
          </w:p>
        </w:tc>
        <w:tc>
          <w:tcPr>
            <w:tcW w:w="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income tax benefit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Nontaxable entity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1,348</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7,486</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income tax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Company’s effective tax rates for the years ended December 31, 2022 and 2021 were (0.36)% and 0.01%, respectively. The difference between the Company’s effective tax rate for the period ended December 31, 2022, and the U.S. statutory tax rate of 21% was primarily due to non-taxable income/(loss) passed through and taxable to our partners, a full valuation allowance recorded on the Company’s net US deferred tax assets of Intuitive Aviation, and state taxes.</w:t>
      </w:r>
    </w:p>
    <w:p>
      <w:pPr>
        <w:spacing w:after="0" w:line="12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Significant components of the Company’s deferred tax assets and liabilities related to Intuitive Aviation are as follows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165</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481(a) 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deferred tax liabilities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vMerge w:val="continue"/>
          </w:tcPr>
          <w:p>
            <w:pPr>
              <w:spacing w:after="0"/>
              <w:rPr>
                <w:sz w:val="20"/>
                <w:szCs w:val="20"/>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 (liability)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As of December 31, 2022, Intuitive Aviation had approximately $787 thousand of federal net operating loss carryforwards (“NOL carryforwards”), which do not have an expiration date. The Company’s deferred tax assets, including these NOL carryforwards have been reduced by a valuation allowance due to a determination made that it is more likely than not that some or all of the deferred assets will not be realized based on the weight of all available evidence. The Company continues to closely monitor and weigh all available evidence, including both positive and negative, in making its determination whether to maintain a valuation allowance. As a result of the significant negative weight placed on the Intuitive Aviation’s cumulative negative earnings position, the Company continued to maintain a valuation allowance against its remaining net deferred tax asset at December 31, 2022 and December 31, 2021.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INCOME TAXES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Company files income tax returns in the U.S., including federal and various state filings. The number of years that are open under the statute of limitations and subject to audit varies depending on the tax jurisdiction. We remain subject to U.S. federal tax examinations for years after 2018.</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For the periods ending December 31, 2022, and 2021, the Company has no reserves for uncertain tax positions. The Company has elected to record interest and penalties associated with uncertain tax positions as general and administrative expenses.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SAFE AGREEMENTS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As of December 31, 2022, the Company received $4.3 million in proceeds from three new SAFE Agreements which were executed on January 4, 2022, January 5, 2022 and February 8, 2022 (the “New SAFE Agreements”). Proceeds from the New SAFE Agreements will be used to fund operations. The New SAFE Agreements are subject to the same terms and conditions as previous SAFE Agreements.</w:t>
      </w:r>
    </w:p>
    <w:p>
      <w:pPr>
        <w:spacing w:after="0" w:line="10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As of December 31, 2021, the Company received $13.0 million in cash related to two SAFE Agreements and 555,556 shares of Series X Convertible Preferred Stock of Intuitive Aviation valued at $1.5 million related to one SAFE Agreement. The SAFE Agreements were executed on September 29, 2021, November 4, 2021 and December 8, 2021. Cash proceeds from the SAFE were used to fund operations.</w:t>
      </w:r>
    </w:p>
    <w:p>
      <w:pPr>
        <w:spacing w:after="0" w:line="9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an equity financing transaction event, pursuant to which the Company issues and sells preferred stock at a fixed valuation, occurs before the termination of the SAFE, the Company will issue preferred stock to the investor. On the initial close of the equity financing transaction, the SAFE will convert into the number of shares equal to the investment amount divided by either (i) the price per share equal to the valuation cap, as established in the SAFE, divided by the Company capitalization or (ii) 90% of the lowest price per share sold in the equity financing transaction, whichever calculation results in the greatest number of shares.</w:t>
      </w:r>
    </w:p>
    <w:p>
      <w:pPr>
        <w:spacing w:after="0" w:line="110"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If a liquidity event, including a change of control, direct listing, or initial public offering, occurs before the termination of the SAFE, the investor will receive consideration equal to the greater of (i) the investment amount or (ii) the amount payable on the number of shares equal to the investment amount divided by the price per share as determined by taking the valuation cap (defined in the SAFE) divided by the Company capitalization.</w:t>
      </w:r>
    </w:p>
    <w:p>
      <w:pPr>
        <w:spacing w:after="0" w:line="12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a dissolution event, as defined in the SAFE, the Company will pay the investor an amount equal to the purchase price, due and payable immediately prior to the consummation of the dissolution event.</w:t>
      </w:r>
    </w:p>
    <w:p>
      <w:pPr>
        <w:spacing w:after="0" w:line="8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As of December 31, 2022, the SAFE Agreements along with New SAFE Agreements had not yet converted as a qualifying financing event. Pursuant to the guidance under ASC 480, the Company determined that the SAFE agreements should be recorded as liabilities on the Company’s balance sheet and should be initially and subsequently measured at fair value with the changes in fair value recognized in earnings.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MEMBERS’ EQUITY</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Company has two classes of common equity, Class A Common Units (“Class A Units” or “Class A Unit Interests”) and Class B Common Units (“Class B Units” or “Class B Unit Interests”) which are held by Members.</w:t>
      </w:r>
    </w:p>
    <w:p>
      <w:pPr>
        <w:spacing w:after="0" w:line="1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Class A Unit Interests have all the rights, privileges, preferences, and obligations provided for in the amended and restated LLC Agreement dated May 25, 2021, which are generally consistent with an ordinary equity ownership interest. The Company is authorized to issue an unlimited number of Class A Unit Interests. The Class A Unit Interests of the Company are based upon the fair market value of the Company as a whole, at the time of monetary contribution. In accordance with the amended and restated LLC agreement, Class A Unit Interests increased by a multiple of one hundred thousand (100,000) or 1 to 100,000 unit split on May 25, 2021. The Class A members and their respective unit interests uniformly increased. Unless otherwise indicated, the number of Members’ Units outstanding and per-unit amounts in these consolidated financial statements and accompanying notes have been retroactively adjusted to reflect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MEMBERS’ EQUITY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effect of the unit split. As part of the Unit Split, the par value of our Members’ Units was adjusted from $1 per unit to $0.00001 per unit. As of December 31, 2022 and 2021, there were 122,505,500 and 122,500,000 Class A Units issued and outstanding, respectively.</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Class B Unit Interests are non-voting interests and shall not have the right to approve, vote or take action on any issue requiring Member approval, Member voting or Member action as stated in the amended and restated LLC Agreement dated May 25, 2021. The Company is authorized to issue 6,125,000 of Class B Unit Interests. The Unit Interests of the Company are based upon the fair market value of the Company as a whole, at the date of purchase. As of December 31, 2022 and 2021, there were 5,500 and zero Class B Units issued and outstanding. Distributions (including liquidating distributions) are to be made to the Class A Unit Interest owners at a time to be determined by the Board of Managers. Member’s profit and loss distributions are dispersed based on their allocated Class A Unit Interests. Each Member’s equity account will be adjusted for distributions paid to the Member and additional capital contributions that are made by the Member. All revenues, costs and expenses of the Company are allocated to the Member in accordance with the LLC Agreements. Except as otherwise expressly agreed in writing, members of the Company are not personally liable for any obligations of the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UNIT-BASED COMPENSATION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2021 Unit Option Plan</w:t>
      </w:r>
    </w:p>
    <w:p>
      <w:pPr>
        <w:spacing w:after="0" w:line="162"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On May 25, 2021, the Company’s board of directors adopted, and its members approved the 2021 Unit Option Plan, or the 2021 Plan. The 2021 Plan allows the Company to grant Incentive Unit Options to purchase Class B Unit Interests. Pursuant to the plan, up to 6,125,000 shares of Class B units have been reserved for issuance, upon exercise of the aforementioned Incentive Unit Options made to employees, directors and consultants.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 Option Activity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summary of unit option activity under the 2022 Plan: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w:t>
            </w: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(000’s)</w:t>
            </w:r>
          </w:p>
        </w:tc>
        <w:tc>
          <w:tcPr>
            <w:tcW w:w="0" w:type="dxa"/>
            <w:vAlign w:val="bottom"/>
          </w:tcPr>
          <w:p>
            <w:pPr>
              <w:spacing w:after="0"/>
              <w:rPr>
                <w:sz w:val="1"/>
                <w:szCs w:val="1"/>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(791,180)</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(234,500)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3,353,000</w:t>
            </w:r>
          </w:p>
        </w:tc>
        <w:tc>
          <w:tcPr>
            <w:tcW w:w="2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10,643,900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2022</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1,195,550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4,543,090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Aggregate intrinsic value represents the difference between the exercise price of the options and the estimated fair value of the Company’s units determined by our Board of Directors for each of the respective periods.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UNIT-BASED COMPENSATION </w:t>
      </w:r>
      <w:r>
        <w:rPr>
          <w:rFonts w:ascii="Arial" w:cs="Arial" w:eastAsia="Arial" w:hAnsi="Arial"/>
          <w:sz w:val="18"/>
          <w:szCs w:val="18"/>
          <w:color w:val="auto"/>
        </w:rPr>
        <w:t>(cont.)</w:t>
      </w:r>
    </w:p>
    <w:p>
      <w:pPr>
        <w:spacing w:after="0" w:line="20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following table sets forth the summary of weighted-average grant-date fair value of unit options under the 2022 Plan:</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96"/>
              </w:rPr>
              <w:t>Fair Value</w:t>
            </w:r>
          </w:p>
        </w:tc>
      </w:tr>
      <w:tr>
        <w:trPr>
          <w:trHeight w:val="46"/>
        </w:trPr>
        <w:tc>
          <w:tcPr>
            <w:tcW w:w="6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2021</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68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Unit-Based Compensation</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Unit-based compensation expense was classified in the consolidated statement of operations under general and administrative expense. As of December 31, 2022, the Company had $1.6 million in estimated unrecognized unit-based compensation costs related to outstanding unit options that is expected to be recognized over a weighted average period of 1.90 years.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Valuation of Unit-Based Compensation Awards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weighted average assumptions were used to calculate the fair value of each unit option award under the Black-Scholes option pricing model:</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54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5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5560" w:type="dxa"/>
            <w:vAlign w:val="bottom"/>
          </w:tcPr>
          <w:p>
            <w:pPr>
              <w:spacing w:after="0"/>
              <w:rPr>
                <w:sz w:val="20"/>
                <w:szCs w:val="20"/>
                <w:color w:val="auto"/>
              </w:rPr>
            </w:pPr>
          </w:p>
        </w:tc>
        <w:tc>
          <w:tcPr>
            <w:tcW w:w="1180" w:type="dxa"/>
            <w:vAlign w:val="bottom"/>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unit price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 70%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 – 3.6%</w:t>
            </w: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annual dividend yield</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1.04</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FAIR VALUE MEASUREMENTS</w:t>
      </w:r>
    </w:p>
    <w:p>
      <w:pPr>
        <w:spacing w:after="0" w:line="14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following tables summarize the fair value of assets and liabilities that are recorded in the Company’s consolidated balance sheets as of December 31, 2022 and 2021 at fair value on a recurring basis.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7"/>
          </w:tcPr>
          <w:p>
            <w:pPr>
              <w:jc w:val="right"/>
              <w:ind w:right="40"/>
              <w:spacing w:after="0"/>
              <w:rPr>
                <w:sz w:val="20"/>
                <w:szCs w:val="20"/>
                <w:color w:val="auto"/>
              </w:rPr>
            </w:pPr>
            <w:r>
              <w:rPr>
                <w:rFonts w:ascii="Arial" w:cs="Arial" w:eastAsia="Arial" w:hAnsi="Arial"/>
                <w:sz w:val="16"/>
                <w:szCs w:val="16"/>
                <w:b w:val="1"/>
                <w:bCs w:val="1"/>
                <w:color w:val="auto"/>
              </w:rPr>
              <w:t>December 31, 2022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10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Frequency 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Measurement</w:t>
            </w: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5"/>
              </w:rPr>
              <w:t>Level 1</w:t>
            </w: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Level 3</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SAFE Agreement liabilities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18,314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18,314</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Total liabilities measured at fair value</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18,314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7"/>
          </w:tcPr>
          <w:p>
            <w:pPr>
              <w:jc w:val="right"/>
              <w:ind w:right="40"/>
              <w:spacing w:after="0"/>
              <w:rPr>
                <w:sz w:val="20"/>
                <w:szCs w:val="20"/>
                <w:color w:val="auto"/>
              </w:rPr>
            </w:pPr>
            <w:r>
              <w:rPr>
                <w:rFonts w:ascii="Arial" w:cs="Arial" w:eastAsia="Arial" w:hAnsi="Arial"/>
                <w:sz w:val="16"/>
                <w:szCs w:val="16"/>
                <w:b w:val="1"/>
                <w:bCs w:val="1"/>
                <w:color w:val="auto"/>
              </w:rPr>
              <w:t>December 31, 2021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10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Frequency 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Measurement</w:t>
            </w: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5"/>
              </w:rPr>
              <w:t>Level 1</w:t>
            </w: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Level 3</w:t>
            </w:r>
          </w:p>
        </w:tc>
        <w:tc>
          <w:tcPr>
            <w:tcW w:w="0" w:type="dxa"/>
            <w:vAlign w:val="bottom"/>
          </w:tcPr>
          <w:p>
            <w:pPr>
              <w:spacing w:after="0"/>
              <w:rPr>
                <w:sz w:val="1"/>
                <w:szCs w:val="1"/>
                <w:color w:val="auto"/>
              </w:rPr>
            </w:pPr>
          </w:p>
        </w:tc>
      </w:tr>
      <w:tr>
        <w:trPr>
          <w:trHeight w:val="46"/>
        </w:trPr>
        <w:tc>
          <w:tcPr>
            <w:tcW w:w="32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0"/>
                <w:szCs w:val="20"/>
                <w:color w:val="auto"/>
              </w:rPr>
            </w:pPr>
            <w:r>
              <w:rPr>
                <w:rFonts w:ascii="Arial" w:cs="Arial" w:eastAsia="Arial" w:hAnsi="Arial"/>
                <w:sz w:val="18"/>
                <w:szCs w:val="18"/>
                <w:color w:val="auto"/>
              </w:rPr>
              <w:t>SAFE Agreement liabilities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13,973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Total liabilities measured at fair value</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ind w:left="600"/>
              <w:spacing w:after="0"/>
              <w:rPr>
                <w:sz w:val="20"/>
                <w:szCs w:val="20"/>
                <w:color w:val="auto"/>
              </w:rPr>
            </w:pPr>
            <w:r>
              <w:rPr>
                <w:rFonts w:ascii="Arial" w:cs="Arial" w:eastAsia="Arial" w:hAnsi="Arial"/>
                <w:sz w:val="18"/>
                <w:szCs w:val="18"/>
                <w:color w:val="auto"/>
              </w:rPr>
              <w:t>F-51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FAIR VALUE MEASUREMENTS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tables provides a rollforward of the Company’s SAFE Agreement liabilities discussed in Note 8 — SAFE Agreements.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2022</w:t>
            </w: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December 31,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18,314</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fair value of the SAFE Agreements under the equity financing scenario is estimated using a Monte Carlo simulation approach. The fair value of the SAFE Agreements under the liquidity event and dissolution event scenarios is estimated based on the present value of the purchase amount.</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unobservable inputs used in the fair value measurement of the Company’s SAFE Agreements are the probabilities of future scenarios, volatility, discount rate and risk-free rate. As of December 31, 2022, the probability of an equity financing was 0%, the probability of a liquidity event was 95% and the probability of a dissolution event was 5%. The value under the liquidity event and dissolution event scenarios is based on the present value of the purchase amount. The present value factors are estimated based on a 16.4% discount rate based on venture capital rates of return for December 31, 2022. The periods in which the scenarios are expected to occur for the liquidity event and dissolution events are 0.25 years and 1.0 year, respectively as of December 31, 2022.</w:t>
      </w:r>
    </w:p>
    <w:p>
      <w:pPr>
        <w:spacing w:after="0" w:line="12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2021, the probability of an equity financing was 45.0%, the probability of a liquidity event was 50.0% and the probability of a dissolution event was 5.0%. As of December 31, 2021, the volatility utilized in the Monte Carlo simulation is 65.0%. The value under the liquidity event and dissolution event scenarios is based on the present value of the purchase amount. The present value factors are estimated based on a 9.6% discount rate based on venture capital rates of return for December 31, 2021. The periods in which the scenarios are expected to occur for the equity financing, liquidity event, and dissolution events are 0.5 years, 1.0 year, and 2.0 years, respectively as of December 31, 2021.</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EARNINGS PER UNIT</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Basic income (loss) per share is computed by dividing net income (loss) attributable to Class A Common Unit holders by the sum of the weighted-average number of units outstanding, representing 122,501,241 units and 122,500,000 for the years ended December 31, 2022 and 2021, respectively. For the years ended December 31, 2022 and 2021, there were no dilutive units outstanding.</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As a result, the calculation of diluted income (loss) per unit was equal to the calculation of basic income (loss) per unit.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net loss per unit and related information:</w:t>
      </w:r>
    </w:p>
    <w:p>
      <w:pPr>
        <w:spacing w:after="0" w:line="185"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47"/>
        </w:trPr>
        <w:tc>
          <w:tcPr>
            <w:tcW w:w="37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3"/>
          </w:tcPr>
          <w:p>
            <w:pPr>
              <w:spacing w:after="0"/>
              <w:rPr>
                <w:sz w:val="4"/>
                <w:szCs w:val="4"/>
                <w:color w:val="auto"/>
              </w:rPr>
            </w:pPr>
          </w:p>
        </w:tc>
      </w:tr>
      <w:tr>
        <w:trPr>
          <w:trHeight w:val="217"/>
        </w:trPr>
        <w:tc>
          <w:tcPr>
            <w:tcW w:w="3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right"/>
              <w:ind w:right="12"/>
              <w:spacing w:after="0"/>
              <w:rPr>
                <w:sz w:val="20"/>
                <w:szCs w:val="20"/>
                <w:color w:val="auto"/>
              </w:rPr>
            </w:pPr>
            <w:r>
              <w:rPr>
                <w:rFonts w:ascii="Arial" w:cs="Arial" w:eastAsia="Arial" w:hAnsi="Arial"/>
                <w:sz w:val="16"/>
                <w:szCs w:val="16"/>
                <w:i w:val="1"/>
                <w:iCs w:val="1"/>
                <w:color w:val="auto"/>
                <w:w w:val="91"/>
              </w:rPr>
              <w:t>(in thousands, except per unit data)</w:t>
            </w:r>
          </w:p>
        </w:tc>
      </w:tr>
      <w:tr>
        <w:trPr>
          <w:trHeight w:val="47"/>
        </w:trPr>
        <w:tc>
          <w:tcPr>
            <w:tcW w:w="37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(35,648)</w:t>
            </w:r>
          </w:p>
        </w:tc>
      </w:tr>
      <w:tr>
        <w:trPr>
          <w:trHeight w:val="40"/>
        </w:trPr>
        <w:tc>
          <w:tcPr>
            <w:tcW w:w="37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Weighted-average common shares outstanding</w:t>
            </w: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1"/>
              </w:rPr>
              <w:t>122,501,241</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1"/>
              </w:rPr>
              <w:t>122,500,000</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Basic and diluted net loss per unit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432"/>
        </w:trPr>
        <w:tc>
          <w:tcPr>
            <w:tcW w:w="3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460"/>
              <w:spacing w:after="0"/>
              <w:rPr>
                <w:sz w:val="20"/>
                <w:szCs w:val="20"/>
                <w:color w:val="auto"/>
              </w:rPr>
            </w:pPr>
            <w:r>
              <w:rPr>
                <w:rFonts w:ascii="Arial" w:cs="Arial" w:eastAsia="Arial" w:hAnsi="Arial"/>
                <w:sz w:val="18"/>
                <w:szCs w:val="18"/>
                <w:color w:val="auto"/>
              </w:rPr>
              <w:t>F-52</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RELATED PARTY TRANSACTIONS</w:t>
      </w:r>
    </w:p>
    <w:p>
      <w:pPr>
        <w:spacing w:after="0" w:line="16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Intuitive Machines, Intuitive Aviation, and Space Network Solutions have entered into recurring transaction agreements with certain related parties, including sales agreements and loan agreements.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Axiom Space, Inc.</w:t>
      </w:r>
    </w:p>
    <w:p>
      <w:pPr>
        <w:spacing w:after="0" w:line="16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For years ended December 31, 2022 and 2021, the Company had $1.6 million and $0.8 million, respectively, in revenue with Axiom Space, Inc. (“Axiom”) related to engineering services. As of December 31, 2022 and 2021, there were $0.8 million and $0.3 million, respectively, of affiliate accounts receivable related to Axiom. As of December 31, 2022, the affiliate accounts receivable balance has been fully reserved. Kamal Ghaffarian is a member of Management at Intuitive Machines and a member of Management at Axiom. Revenues related to Axiom are incurred in the normal course of business and amounts are settled under normal business terms.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IBX, LLC</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For years ended December 31, 2022 and 2021, the Company had $2.1 million and $0.3 million, respectively, in expenses with IBX, LLC (“IBX”) related to management fees. As of December 31, 2022 and 2021, there were $0.4 million and $0.2 million, respectively, of affiliate accounts payable related to IBX expenses. Kamal Ghaffarian is a member of Management at Intuitive Machines and a member of Management at IBX. Expenses related to IBX are incurred in the normal course of business and amounts are settled under normal business terms.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KBR, Inc.</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 November 12, 2020, KBR, Inc. (“KBR”) made an initial capital contribution in SNS resulting in a 10% ownership of SNS, previously a wholly owned subsidiary of the Company. For years ended December 31, 2022 and 2021, the Company had $1.9 million and $1.3 million, respectively, in affiliate revenue with KBR related to engineering services. As of December 31, 2022 and 2021, there was $0.3 million and $0.2 million, respectively, of affiliate accounts receivable related to KBR revenue. Revenues related to KBR are incurred in the normal course of business and amounts are settled under normal business terms.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X Energy, LLC</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of December 31, 2022 and 2021, there were $0.1 million and $0 million, respectively, of affiliate accounts payable related to X Energy expenses. Expenses related to X Energy are incurred in the normal course of business and amounts are settled under normal business terms.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Penumbra, LLC</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For years ended December 31, 2022 and 2021, the Company had $0.1 million and $0.2 million, respectively, in expenses with Penumbra, LLC (“Penumbra”) related to license fees. Certain members of executive management at Intuitive Machines have an ownership interest in Penumbra. Expenses related to Penumbra are incurred in the normal course of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14 — 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concluded that a loss is probable and reasonably estimable. While the resolution of these legal proceedings and claims cannot be predicted with certainty, management believes the outcome of such matters will not have a material adverse effect on our consolidated financial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VARIABLE INTEREST ENTITY</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spacing w:after="0" w:line="10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IX, LLC Joint Venture</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Company participates in the IX, LLC joint venture (“IX LLC JV”) with X-energy, LLC (X-energy), a nuclear reactor and fuel design engineering company, developing high-temperature gas cooled nuclear reactors and fuel to power them. We hold a 51% interest in the IX LLC JV and X-energy holds a 49% interest. The co-founder and executive chairman of Intuitive Machines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IX LLC JV was formed to pursue nuclear space propulsion and surface power systems in support of future space exploration goals. In the third quarter of 2022, the IX LLC JV received an award from Battelle Energy Alliance (“BAE”) to design a fission power system that can operate on the surface of the Moon to support sustained lunar presence and exploration of Mars. As of December 31, 2022, the IX LLC JV had total assets of $1.3 million and total liabilities of $1.3 million associated with project execution activities subcontracted to the JV partners and other third parties.</w:t>
      </w:r>
    </w:p>
    <w:p>
      <w:pPr>
        <w:spacing w:after="0" w:line="188" w:lineRule="exact"/>
        <w:rPr>
          <w:sz w:val="20"/>
          <w:szCs w:val="20"/>
          <w:color w:val="auto"/>
        </w:rPr>
      </w:pPr>
    </w:p>
    <w:p>
      <w:pPr>
        <w:ind w:left="460" w:right="2999"/>
        <w:spacing w:after="0" w:line="496" w:lineRule="auto"/>
        <w:rPr>
          <w:sz w:val="20"/>
          <w:szCs w:val="20"/>
          <w:color w:val="auto"/>
        </w:rPr>
      </w:pPr>
      <w:r>
        <w:rPr>
          <w:rFonts w:ascii="Arial" w:cs="Arial" w:eastAsia="Arial" w:hAnsi="Arial"/>
          <w:sz w:val="16"/>
          <w:szCs w:val="16"/>
          <w:b w:val="1"/>
          <w:bCs w:val="1"/>
          <w:color w:val="auto"/>
        </w:rPr>
        <w:t xml:space="preserve">NOTE 16 — SUPPLEMENTAL CASH FLOW INFORMATION </w:t>
      </w:r>
      <w:r>
        <w:rPr>
          <w:rFonts w:ascii="Arial" w:cs="Arial" w:eastAsia="Arial" w:hAnsi="Arial"/>
          <w:sz w:val="16"/>
          <w:szCs w:val="16"/>
          <w:color w:val="auto"/>
        </w:rPr>
        <w:t>Supplemental cash flow information consists of the following (in thousands):</w:t>
      </w: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3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3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2021</w:t>
            </w:r>
          </w:p>
        </w:tc>
      </w:tr>
      <w:tr>
        <w:trPr>
          <w:trHeight w:val="47"/>
        </w:trPr>
        <w:tc>
          <w:tcPr>
            <w:tcW w:w="328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Cash paid for interest, net</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1,013</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40"/>
        </w:trPr>
        <w:tc>
          <w:tcPr>
            <w:tcW w:w="32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Texas margin tax</w:t>
            </w:r>
          </w:p>
        </w:tc>
        <w:tc>
          <w:tcPr>
            <w:tcW w:w="2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3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right"/>
              <w:ind w:right="1640"/>
              <w:spacing w:after="0"/>
              <w:rPr>
                <w:sz w:val="20"/>
                <w:szCs w:val="20"/>
                <w:color w:val="auto"/>
              </w:rPr>
            </w:pPr>
            <w:r>
              <w:rPr>
                <w:rFonts w:ascii="Arial" w:cs="Arial" w:eastAsia="Arial" w:hAnsi="Arial"/>
                <w:sz w:val="18"/>
                <w:szCs w:val="18"/>
                <w:color w:val="auto"/>
              </w:rPr>
              <w:t>F-54</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LLC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 amounts in thousands, except unit and per unit data)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SUBSEQUENT EVENTS</w:t>
      </w:r>
    </w:p>
    <w:p>
      <w:pPr>
        <w:spacing w:after="0" w:line="16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Management has evaluated subsequent events occurring after the date of the financial statements but before the financial statements were issued on March 30, 2023 to determine if there were any such events or transactions that require potential adjustment to or disclosure in the consolidated financial statements. The Company has concluded that all such events that would require adjustment or disclosure have been recognized or disclosed.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Combination with Inflection Point Acquisition Corp.</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On February 13, 2023 (the “Closing Date”), Intuitive Machines, Inc. (formerly Inflection Point Acquisition Corp. or “IPAX”) and the Company consummated the previously announced transactions contemplated by that certain Business Combination Agreement (the “Business Combination”), whereby the Company issued certain equity securities to Intuitive Machines, Inc. and appointed Intuitive Machines, Inc. as its managing member in exchange for voting equity securities of Intuitive Machines, Inc. (without economic rights) issued or to be issued to the Company’s existing members prior to the Closing Date. In addition, Intuitive Machines, Inc. contributed approximately $34.1 million in available closing cash to the Company after redemptions of shares by shareholders of IPAX prior to the Closing Date. As a result of the transaction, substantially all of the assets and business of the combined entities are held by the Company. The Business Combination was accounted for as a common control transaction with respect to the Company which is akin to a reverse capitalization, with no goodwill or other intangible assets recorded. Under this method of accounting, IPAX was treated as the “accounting acquiree” and the Company as the “accounting acquirer” for financial reporting purposes. Accordingly, for accounting purposes, the Business Combination was treated as the equivalent of the Company issuing shares for the net assets IPAX, followed by a recapitalization.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following table sets forth the estimated expenses to be borne by the registrant in connection with the issuance and distribution of the securities being registered hereby. All of such expenses are estimates, other than the filing fee payable to the SEC.</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143,742.79</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Financial printing and miscellaneous expenses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479" w:hanging="426"/>
        <w:spacing w:after="0" w:line="293" w:lineRule="auto"/>
        <w:tabs>
          <w:tab w:leader="none" w:pos="8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These fees are calculated based on the securities offered and the number of issuances and accordingly cannot be determined at this time.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7"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following list sets forth information as to all of the registrant’s securities sold in the last three years which were not registered under the Securities Act. The descriptions of these issuances are historical and have not been adjusted to give effect to the Transactions. Capitalized terms used and not defined in this Item 15 have the meaning given to them in the prospectus which forms a part of this registration statement.</w:t>
      </w:r>
    </w:p>
    <w:p>
      <w:pPr>
        <w:spacing w:after="0" w:line="9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February 13, 2023, in connection with the consummation of the Transactions and as contemplated by the Business Combination Agreement, we issued and sold 2,166,667 shares of Series A Preferred Stock and 541,667 Preferred Investor Warrants to the Series A Investors for aggregate consideration of $26,000,000, as further described in the disclosure set forth under “Introductory Note” above.</w:t>
      </w:r>
    </w:p>
    <w:p>
      <w:pPr>
        <w:spacing w:after="0" w:line="10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Series A Preferred Stock is convertible into shares of Class A Common Stock in accordance with the terms of the Certificate of Designation of Preferences, Rights and Limitations of 10% Series A Cumulative Convertible Preferred Stock.</w:t>
      </w:r>
    </w:p>
    <w:p>
      <w:pPr>
        <w:spacing w:after="0" w:line="11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issued the foregoing shares of Series A Preferred Stock and Preferred Investor Warrants in transactions not involving an underwriter and not requiring registration under Section 5 of the Securities Act, as amended, in reliance on the exemption afforded by Section 4(a)(2) thereof.</w:t>
      </w:r>
    </w:p>
    <w:p>
      <w:pPr>
        <w:spacing w:after="0" w:line="103" w:lineRule="exact"/>
        <w:rPr>
          <w:sz w:val="20"/>
          <w:szCs w:val="20"/>
          <w:color w:val="auto"/>
        </w:rPr>
      </w:pPr>
    </w:p>
    <w:p>
      <w:pPr>
        <w:jc w:val="both"/>
        <w:ind w:left="460" w:right="479"/>
        <w:spacing w:after="0" w:line="274" w:lineRule="auto"/>
        <w:rPr>
          <w:sz w:val="20"/>
          <w:szCs w:val="20"/>
          <w:color w:val="auto"/>
        </w:rPr>
      </w:pPr>
      <w:r>
        <w:rPr>
          <w:rFonts w:ascii="Arial" w:cs="Arial" w:eastAsia="Arial" w:hAnsi="Arial"/>
          <w:sz w:val="17"/>
          <w:szCs w:val="17"/>
          <w:color w:val="auto"/>
        </w:rPr>
        <w:t>The registrant issued the foregoing securities in transactions not involving an underwriter and not requiring registration under Section 5 of the Securities Act in reliance on the exemption afforded by Section 4(a)</w:t>
      </w:r>
    </w:p>
    <w:p>
      <w:pPr>
        <w:ind w:left="460"/>
        <w:spacing w:after="0"/>
        <w:rPr>
          <w:sz w:val="20"/>
          <w:szCs w:val="20"/>
          <w:color w:val="auto"/>
        </w:rPr>
      </w:pPr>
      <w:r>
        <w:rPr>
          <w:rFonts w:ascii="Arial" w:cs="Arial" w:eastAsia="Arial" w:hAnsi="Arial"/>
          <w:sz w:val="18"/>
          <w:szCs w:val="18"/>
          <w:color w:val="auto"/>
        </w:rPr>
        <w:t>(2) thereof.</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58" w:lineRule="exact"/>
        <w:rPr>
          <w:sz w:val="20"/>
          <w:szCs w:val="20"/>
          <w:color w:val="auto"/>
        </w:rPr>
      </w:pPr>
    </w:p>
    <w:p>
      <w:pPr>
        <w:ind w:left="1320" w:right="479" w:hanging="434"/>
        <w:spacing w:after="0" w:line="282" w:lineRule="auto"/>
        <w:tabs>
          <w:tab w:leader="none" w:pos="131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See the exhibit index immediately preceding the signature pages hereto,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as if fully set forth herein.</w:t>
      </w:r>
    </w:p>
    <w:p>
      <w:pPr>
        <w:spacing w:after="0" w:line="94" w:lineRule="exact"/>
        <w:rPr>
          <w:rFonts w:ascii="Arial" w:cs="Arial" w:eastAsia="Arial" w:hAnsi="Arial"/>
          <w:sz w:val="18"/>
          <w:szCs w:val="18"/>
          <w:color w:val="auto"/>
        </w:rPr>
      </w:pPr>
    </w:p>
    <w:p>
      <w:pPr>
        <w:ind w:left="1280" w:hanging="39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None.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 xml:space="preserve">Undertakings. </w:t>
      </w:r>
      <w:r>
        <w:rPr>
          <w:rFonts w:ascii="Arial" w:cs="Arial" w:eastAsia="Arial" w:hAnsi="Arial"/>
          <w:sz w:val="16"/>
          <w:szCs w:val="16"/>
          <w:color w:val="auto"/>
        </w:rPr>
        <w:t>The undersigned registrant hereby undertakes as follows: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w:t>
      </w:r>
    </w:p>
    <w:p>
      <w:pPr>
        <w:spacing w:after="0" w:line="158" w:lineRule="exact"/>
        <w:rPr>
          <w:sz w:val="20"/>
          <w:szCs w:val="20"/>
          <w:color w:val="auto"/>
        </w:rPr>
      </w:pPr>
    </w:p>
    <w:p>
      <w:pPr>
        <w:ind w:left="1760" w:right="479" w:hanging="442"/>
        <w:spacing w:after="0" w:line="277" w:lineRule="auto"/>
        <w:tabs>
          <w:tab w:leader="none" w:pos="17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140" w:hanging="390"/>
        <w:spacing w:after="0"/>
        <w:tabs>
          <w:tab w:leader="none" w:pos="2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7" w:lineRule="exact"/>
        <w:rPr>
          <w:rFonts w:ascii="Arial" w:cs="Arial" w:eastAsia="Arial" w:hAnsi="Arial"/>
          <w:sz w:val="18"/>
          <w:szCs w:val="18"/>
          <w:color w:val="auto"/>
        </w:rPr>
      </w:pPr>
    </w:p>
    <w:p>
      <w:pPr>
        <w:jc w:val="both"/>
        <w:ind w:left="2180" w:right="459" w:hanging="430"/>
        <w:spacing w:after="0" w:line="269" w:lineRule="auto"/>
        <w:tabs>
          <w:tab w:leader="none" w:pos="2143"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jc w:val="both"/>
        <w:ind w:left="2180" w:right="479" w:hanging="430"/>
        <w:spacing w:after="0" w:line="263" w:lineRule="auto"/>
        <w:tabs>
          <w:tab w:leader="none" w:pos="21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2" w:lineRule="exact"/>
        <w:rPr>
          <w:rFonts w:ascii="Arial" w:cs="Arial" w:eastAsia="Arial" w:hAnsi="Arial"/>
          <w:sz w:val="18"/>
          <w:szCs w:val="18"/>
          <w:color w:val="auto"/>
        </w:rPr>
      </w:pPr>
    </w:p>
    <w:p>
      <w:pPr>
        <w:jc w:val="both"/>
        <w:ind w:left="1760" w:right="459" w:hanging="442"/>
        <w:spacing w:after="0" w:line="259" w:lineRule="auto"/>
        <w:tabs>
          <w:tab w:leader="none" w:pos="17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760" w:right="459" w:hanging="442"/>
        <w:spacing w:after="0" w:line="277" w:lineRule="auto"/>
        <w:tabs>
          <w:tab w:leader="none" w:pos="17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760" w:right="459" w:hanging="442"/>
        <w:spacing w:after="0" w:line="269" w:lineRule="auto"/>
        <w:tabs>
          <w:tab w:leader="none" w:pos="171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Arial" w:cs="Arial" w:eastAsia="Arial" w:hAnsi="Arial"/>
          <w:sz w:val="17"/>
          <w:szCs w:val="17"/>
          <w:color w:val="auto"/>
        </w:rPr>
      </w:pPr>
    </w:p>
    <w:p>
      <w:pPr>
        <w:jc w:val="both"/>
        <w:ind w:left="1760" w:right="459" w:hanging="442"/>
        <w:spacing w:after="0" w:line="272" w:lineRule="auto"/>
        <w:tabs>
          <w:tab w:leader="none" w:pos="171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Arial" w:cs="Arial" w:eastAsia="Arial" w:hAnsi="Arial"/>
          <w:sz w:val="17"/>
          <w:szCs w:val="17"/>
          <w:color w:val="auto"/>
        </w:rPr>
      </w:pPr>
    </w:p>
    <w:p>
      <w:pPr>
        <w:ind w:left="2180" w:right="479" w:hanging="430"/>
        <w:spacing w:after="0" w:line="277" w:lineRule="auto"/>
        <w:tabs>
          <w:tab w:leader="none" w:pos="21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180" w:right="479" w:hanging="430"/>
        <w:spacing w:after="0" w:line="277" w:lineRule="auto"/>
        <w:tabs>
          <w:tab w:leader="none" w:pos="2143"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2180" w:right="479" w:hanging="430"/>
        <w:spacing w:after="0" w:line="263" w:lineRule="auto"/>
        <w:tabs>
          <w:tab w:leader="none" w:pos="215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59" w:hanging="430"/>
        <w:spacing w:after="0" w:line="277" w:lineRule="auto"/>
        <w:tabs>
          <w:tab w:leader="none" w:pos="214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jc w:val="both"/>
        <w:ind w:left="1760" w:right="459" w:hanging="442"/>
        <w:spacing w:after="0" w:line="273" w:lineRule="auto"/>
        <w:tabs>
          <w:tab w:leader="none" w:pos="171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6" w:lineRule="exact"/>
        <w:rPr>
          <w:rFonts w:ascii="Arial" w:cs="Arial" w:eastAsia="Arial" w:hAnsi="Arial"/>
          <w:sz w:val="17"/>
          <w:szCs w:val="17"/>
          <w:color w:val="auto"/>
        </w:rPr>
      </w:pPr>
    </w:p>
    <w:p>
      <w:pPr>
        <w:ind w:left="1700" w:hanging="382"/>
        <w:spacing w:after="0"/>
        <w:tabs>
          <w:tab w:leader="none" w:pos="17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the immediately preceding paragraph, or</w:t>
      </w:r>
    </w:p>
    <w:p>
      <w:pPr>
        <w:spacing w:after="0" w:line="34" w:lineRule="exact"/>
        <w:rPr>
          <w:rFonts w:ascii="Arial" w:cs="Arial" w:eastAsia="Arial" w:hAnsi="Arial"/>
          <w:sz w:val="17"/>
          <w:szCs w:val="17"/>
          <w:color w:val="auto"/>
        </w:rPr>
      </w:pPr>
    </w:p>
    <w:p>
      <w:pPr>
        <w:jc w:val="both"/>
        <w:ind w:left="1760" w:right="459" w:hanging="10"/>
        <w:spacing w:after="0" w:line="269" w:lineRule="auto"/>
        <w:tabs>
          <w:tab w:leader="none" w:pos="2026" w:val="left"/>
        </w:tabs>
        <w:numPr>
          <w:ilvl w:val="2"/>
          <w:numId w:val="101"/>
        </w:numPr>
        <w:rPr>
          <w:rFonts w:ascii="Arial" w:cs="Arial" w:eastAsia="Arial" w:hAnsi="Arial"/>
          <w:sz w:val="17"/>
          <w:szCs w:val="17"/>
          <w:color w:val="auto"/>
        </w:rPr>
      </w:pPr>
      <w:r>
        <w:rPr>
          <w:rFonts w:ascii="Arial" w:cs="Arial" w:eastAsia="Arial" w:hAnsi="Arial"/>
          <w:sz w:val="17"/>
          <w:szCs w:val="17"/>
          <w:color w:val="auto"/>
        </w:rPr>
        <w:t>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Arial" w:cs="Arial" w:eastAsia="Arial" w:hAnsi="Arial"/>
          <w:sz w:val="17"/>
          <w:szCs w:val="17"/>
          <w:color w:val="auto"/>
        </w:rPr>
      </w:pPr>
    </w:p>
    <w:p>
      <w:pPr>
        <w:jc w:val="both"/>
        <w:ind w:left="1760" w:right="459" w:hanging="442"/>
        <w:spacing w:after="0" w:line="287" w:lineRule="auto"/>
        <w:tabs>
          <w:tab w:leader="none" w:pos="171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rFonts w:ascii="Arial" w:cs="Arial" w:eastAsia="Arial" w:hAnsi="Arial"/>
          <w:sz w:val="16"/>
          <w:szCs w:val="16"/>
          <w:color w:val="auto"/>
        </w:rPr>
      </w:pPr>
    </w:p>
    <w:p>
      <w:pPr>
        <w:jc w:val="both"/>
        <w:ind w:left="1320" w:right="459" w:hanging="434"/>
        <w:spacing w:after="0" w:line="255" w:lineRule="auto"/>
        <w:tabs>
          <w:tab w:leader="none" w:pos="12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1" w:lineRule="exact"/>
        <w:rPr>
          <w:rFonts w:ascii="Arial" w:cs="Arial" w:eastAsia="Arial" w:hAnsi="Arial"/>
          <w:sz w:val="18"/>
          <w:szCs w:val="18"/>
          <w:color w:val="auto"/>
        </w:rPr>
      </w:pPr>
    </w:p>
    <w:p>
      <w:pPr>
        <w:jc w:val="both"/>
        <w:ind w:left="1320" w:right="479" w:hanging="434"/>
        <w:spacing w:after="0" w:line="311" w:lineRule="auto"/>
        <w:tabs>
          <w:tab w:leader="none" w:pos="131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274" w:right="1440" w:bottom="1440" w:gutter="0" w:footer="0" w:header="0"/>
        </w:sectPr>
      </w:pP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719"/>
        <w:spacing w:after="0"/>
        <w:rPr>
          <w:sz w:val="20"/>
          <w:szCs w:val="20"/>
          <w:color w:val="auto"/>
        </w:rPr>
      </w:pPr>
      <w:r>
        <w:rPr>
          <w:rFonts w:ascii="Arial" w:cs="Arial" w:eastAsia="Arial" w:hAnsi="Arial"/>
          <w:sz w:val="14"/>
          <w:szCs w:val="14"/>
          <w:b w:val="1"/>
          <w:bCs w:val="1"/>
          <w:color w:val="auto"/>
        </w:rPr>
        <w:t>Description</w:t>
      </w:r>
    </w:p>
    <w:p>
      <w:pPr>
        <w:spacing w:after="0" w:line="95"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ind w:left="460"/>
        <w:spacing w:after="0"/>
        <w:tabs>
          <w:tab w:leader="none" w:pos="12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1260" w:right="479" w:hanging="795"/>
        <w:spacing w:after="0" w:line="259"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201">
        <w:r>
          <w:rPr>
            <w:rFonts w:ascii="Arial" w:cs="Arial" w:eastAsia="Arial" w:hAnsi="Arial"/>
            <w:sz w:val="18"/>
            <w:szCs w:val="18"/>
            <w:u w:val="single" w:color="auto"/>
            <w:color w:val="0000EE"/>
          </w:rPr>
          <w:t>Business Combination Agreement, dated as of September 16, 2022, by and between Inflection Point</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Acquisition Corp. and Intuitive Machines, LLC (incorporated by reference to Exhibit 2.1 to</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Amendment No. 4 to the Registration Statement on Form S-4 (File No. 333-267846) filed</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January 20, 2023).</w:t>
        </w:r>
      </w:hyperlink>
    </w:p>
    <w:p>
      <w:pPr>
        <w:spacing w:after="0" w:line="11" w:lineRule="exact"/>
        <w:rPr>
          <w:rFonts w:ascii="Arial" w:cs="Arial" w:eastAsia="Arial" w:hAnsi="Arial"/>
          <w:sz w:val="18"/>
          <w:szCs w:val="18"/>
          <w:u w:val="single" w:color="auto"/>
          <w:color w:val="0000EE"/>
        </w:rPr>
      </w:pPr>
    </w:p>
    <w:p>
      <w:pPr>
        <w:jc w:val="both"/>
        <w:ind w:left="1260" w:right="47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02">
        <w:r>
          <w:rPr>
            <w:rFonts w:ascii="Arial" w:cs="Arial" w:eastAsia="Arial" w:hAnsi="Arial"/>
            <w:sz w:val="18"/>
            <w:szCs w:val="18"/>
            <w:u w:val="single" w:color="auto"/>
            <w:color w:val="0000EE"/>
          </w:rPr>
          <w:t>Certificate of Incorporation of Intuitive Machines, Inc. (incorporated by reference to Exhibit 3.1 to</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the Registrant’s Current Report on Form 8-K (File No. 001-40823), filed with the SEC on</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260" w:right="479" w:hanging="795"/>
        <w:spacing w:after="0" w:line="290" w:lineRule="auto"/>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204">
        <w:r>
          <w:rPr>
            <w:rFonts w:ascii="Arial" w:cs="Arial" w:eastAsia="Arial" w:hAnsi="Arial"/>
            <w:sz w:val="17"/>
            <w:szCs w:val="17"/>
            <w:u w:val="single" w:color="auto"/>
            <w:color w:val="0000EE"/>
          </w:rPr>
          <w:t>By-Laws of Intuitive Machines, Inc. (incorporated by reference to Exhibit 3.2 to the Registrant’s</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Current Report on Form 8-K (File No. 001-40823), filed with the SEC on February 14, 2023).</w:t>
        </w:r>
      </w:hyperlink>
    </w:p>
    <w:p>
      <w:pPr>
        <w:jc w:val="both"/>
        <w:ind w:left="1260" w:right="47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205">
        <w:r>
          <w:rPr>
            <w:rFonts w:ascii="Arial" w:cs="Arial" w:eastAsia="Arial" w:hAnsi="Arial"/>
            <w:sz w:val="18"/>
            <w:szCs w:val="18"/>
            <w:u w:val="single" w:color="auto"/>
            <w:color w:val="0000EE"/>
          </w:rPr>
          <w:t>Certificate of Designation relating to the 10.0% Series A Cumulative Convertible Preferred Stock.</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(incorporated by reference to Exhibit 3.3 to the Registrant’s Current Report on Form 8-K</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(File No. 001-40823), filed with the SEC on 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jc w:val="both"/>
        <w:ind w:left="1260" w:right="479" w:hanging="795"/>
        <w:spacing w:after="0" w:line="27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07">
        <w:r>
          <w:rPr>
            <w:rFonts w:ascii="Arial" w:cs="Arial" w:eastAsia="Arial" w:hAnsi="Arial"/>
            <w:sz w:val="18"/>
            <w:szCs w:val="18"/>
            <w:u w:val="single" w:color="auto"/>
            <w:color w:val="0000EE"/>
          </w:rPr>
          <w:t>Warrant Agreement (incorporated by reference to Exhibit 4.1 of Inflection Point’s Current Report on</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Form 8-K, filed with the SEC on September 24, 2021).</w:t>
        </w:r>
      </w:hyperlink>
    </w:p>
    <w:p>
      <w:pPr>
        <w:spacing w:after="0" w:line="2" w:lineRule="exact"/>
        <w:rPr>
          <w:sz w:val="20"/>
          <w:szCs w:val="20"/>
          <w:color w:val="auto"/>
        </w:rPr>
      </w:pPr>
    </w:p>
    <w:p>
      <w:pPr>
        <w:jc w:val="both"/>
        <w:ind w:left="1260" w:right="45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08">
        <w:r>
          <w:rPr>
            <w:rFonts w:ascii="Arial" w:cs="Arial" w:eastAsia="Arial" w:hAnsi="Arial"/>
            <w:sz w:val="18"/>
            <w:szCs w:val="18"/>
            <w:u w:val="single" w:color="auto"/>
            <w:color w:val="0000EE"/>
          </w:rPr>
          <w:t>Specimen Class A Common Stock Certificate of Intuitive Machines, Inc. (incorporated by reference</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to Exhibit 4.5 to Amendment No. 4 to the Registration Statement on Form S-4 (File No. 333-</w:t>
        </w:r>
      </w:hyperlink>
      <w:hyperlink r:id="rId208">
        <w:r>
          <w:rPr>
            <w:rFonts w:ascii="Arial" w:cs="Arial" w:eastAsia="Arial" w:hAnsi="Arial"/>
            <w:sz w:val="18"/>
            <w:szCs w:val="18"/>
            <w:u w:val="single" w:color="auto"/>
            <w:color w:val="0000EE"/>
          </w:rPr>
          <w:t>267846) filed January 20,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260" w:right="45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210">
        <w:r>
          <w:rPr>
            <w:rFonts w:ascii="Arial" w:cs="Arial" w:eastAsia="Arial" w:hAnsi="Arial"/>
            <w:sz w:val="18"/>
            <w:szCs w:val="18"/>
            <w:u w:val="single" w:color="auto"/>
            <w:color w:val="0000EE"/>
          </w:rPr>
          <w:t>Specimen Warrant Certificate of Intuitive Machines, Inc. (incorporated by reference to Exhibit 4.6 to</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Amendment No. 4 to the Registration Statement on Form S-4 (File No. 333-267846) filed</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January 20, 2023).</w:t>
        </w:r>
      </w:hyperlink>
    </w:p>
    <w:p>
      <w:pPr>
        <w:spacing w:after="0" w:line="8" w:lineRule="exact"/>
        <w:rPr>
          <w:rFonts w:ascii="Arial" w:cs="Arial" w:eastAsia="Arial" w:hAnsi="Arial"/>
          <w:sz w:val="18"/>
          <w:szCs w:val="18"/>
          <w:u w:val="single" w:color="auto"/>
          <w:color w:val="0000EE"/>
        </w:rPr>
      </w:pPr>
    </w:p>
    <w:p>
      <w:pPr>
        <w:ind w:left="460"/>
        <w:spacing w:after="0"/>
        <w:tabs>
          <w:tab w:leader="none" w:pos="12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215E9E"/>
        </w:rPr>
        <w:t>Opinion of Latham &amp; Watkins LLP as to the validity of the securities being registered.</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EE"/>
        </w:rPr>
      </w:pPr>
    </w:p>
    <w:p>
      <w:pPr>
        <w:jc w:val="both"/>
        <w:ind w:left="1260" w:right="459" w:hanging="795"/>
        <w:spacing w:after="0" w:line="259"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212">
        <w:r>
          <w:rPr>
            <w:rFonts w:ascii="Arial" w:cs="Arial" w:eastAsia="Arial" w:hAnsi="Arial"/>
            <w:sz w:val="18"/>
            <w:szCs w:val="18"/>
            <w:u w:val="single" w:color="auto"/>
            <w:color w:val="0000EE"/>
          </w:rPr>
          <w:t>Tax Receivable Agreement, dated February 13, 2023, by and among Intuitive Machines, Inc.,</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Intuitive Machines, LLC, the TRA Parties and other persons from time to time party thereto</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(incorporated by reference to Exhibit 10.1 to the Registrant’s Current Report on Form 8-K</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(File No. 001-40823), filed with the SEC on February 14, 2023).</w:t>
        </w:r>
      </w:hyperlink>
    </w:p>
    <w:p>
      <w:pPr>
        <w:spacing w:after="0" w:line="11" w:lineRule="exact"/>
        <w:rPr>
          <w:rFonts w:ascii="Arial" w:cs="Arial" w:eastAsia="Arial" w:hAnsi="Arial"/>
          <w:sz w:val="18"/>
          <w:szCs w:val="18"/>
          <w:u w:val="single" w:color="auto"/>
          <w:color w:val="0000EE"/>
        </w:rPr>
      </w:pPr>
    </w:p>
    <w:p>
      <w:pPr>
        <w:jc w:val="both"/>
        <w:ind w:left="1260" w:right="47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213">
        <w:r>
          <w:rPr>
            <w:rFonts w:ascii="Arial" w:cs="Arial" w:eastAsia="Arial" w:hAnsi="Arial"/>
            <w:sz w:val="18"/>
            <w:szCs w:val="18"/>
            <w:u w:val="single" w:color="auto"/>
            <w:color w:val="0000EE"/>
          </w:rPr>
          <w:t>Second A&amp;R Operating Agreement of Intuitive Machines, LLC, dated February 13, 2023</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(incorporated by reference to Exhibit 10.2 to the Registrant’s Current Report on Form 8-K</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(File No. 001-40823), filed with the SEC on 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260" w:right="479" w:hanging="795"/>
        <w:spacing w:after="0" w:line="299" w:lineRule="auto"/>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215">
        <w:r>
          <w:rPr>
            <w:rFonts w:ascii="Arial" w:cs="Arial" w:eastAsia="Arial" w:hAnsi="Arial"/>
            <w:sz w:val="16"/>
            <w:szCs w:val="16"/>
            <w:u w:val="single" w:color="auto"/>
            <w:color w:val="0000EE"/>
          </w:rPr>
          <w:t>Form of Indemnification Agreements, dated February 13, 2023 between Intuitive Machines, Inc. and</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each of its officers and directors (incorporated by reference to Exhibit 10.3 to the Registrant’s</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Current Report on Form 8-K (File No. 001-40823), filed with the SEC on February 14, 2023).</w:t>
        </w:r>
      </w:hyperlink>
    </w:p>
    <w:p>
      <w:pPr>
        <w:spacing w:after="0" w:line="1" w:lineRule="exact"/>
        <w:rPr>
          <w:rFonts w:ascii="Arial" w:cs="Arial" w:eastAsia="Arial" w:hAnsi="Arial"/>
          <w:sz w:val="16"/>
          <w:szCs w:val="16"/>
          <w:u w:val="single" w:color="auto"/>
          <w:color w:val="0000EE"/>
        </w:rPr>
      </w:pPr>
    </w:p>
    <w:p>
      <w:pPr>
        <w:jc w:val="both"/>
        <w:ind w:left="1260" w:right="459" w:hanging="795"/>
        <w:spacing w:after="0" w:line="259"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216">
        <w:r>
          <w:rPr>
            <w:rFonts w:ascii="Arial" w:cs="Arial" w:eastAsia="Arial" w:hAnsi="Arial"/>
            <w:sz w:val="18"/>
            <w:szCs w:val="18"/>
            <w:u w:val="single" w:color="auto"/>
            <w:color w:val="0000EE"/>
          </w:rPr>
          <w:t>Sponsor Lock-Up Agreement, dated February 13, 2023, by and among Intuitive Machines, Inc.,</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Inflection Point Holdings LLC and the Securityholders (incorporated by reference to Exhibit 10.4 to</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the Registrant’s Current Report on Form 8-K (File No. 001-40823), filed with the SEC on</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-557530</wp:posOffset>
            </wp:positionV>
            <wp:extent cx="5143500" cy="5746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5143500" cy="574675"/>
                    </a:xfrm>
                    <a:prstGeom prst="rect">
                      <a:avLst/>
                    </a:prstGeom>
                    <a:noFill/>
                  </pic:spPr>
                </pic:pic>
              </a:graphicData>
            </a:graphic>
          </wp:anchor>
        </w:drawing>
      </w:r>
    </w:p>
    <w:p>
      <w:pPr>
        <w:jc w:val="both"/>
        <w:ind w:left="1260" w:right="479" w:hanging="795"/>
        <w:spacing w:after="0" w:line="259"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218">
        <w:r>
          <w:rPr>
            <w:rFonts w:ascii="Arial" w:cs="Arial" w:eastAsia="Arial" w:hAnsi="Arial"/>
            <w:sz w:val="18"/>
            <w:szCs w:val="18"/>
            <w:u w:val="single" w:color="auto"/>
            <w:color w:val="0000EE"/>
          </w:rPr>
          <w:t>Intuitive Machines Lock-Up Agreement, dated February 13, 2023, by and among Intuitive Machines,</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Inc., Inflection Point Holdings LLC and the Securityholders (incorporated by reference to Exhibit</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10.5 to the Registrant’s Current Report on Form 8-K (File No. 001-40823), filed with the SEC on</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February 14, 2023).</w:t>
        </w:r>
      </w:hyperlink>
    </w:p>
    <w:p>
      <w:pPr>
        <w:spacing w:after="0" w:line="11" w:lineRule="exact"/>
        <w:rPr>
          <w:rFonts w:ascii="Arial" w:cs="Arial" w:eastAsia="Arial" w:hAnsi="Arial"/>
          <w:sz w:val="18"/>
          <w:szCs w:val="18"/>
          <w:u w:val="single" w:color="auto"/>
          <w:color w:val="0000EE"/>
        </w:rPr>
      </w:pPr>
    </w:p>
    <w:p>
      <w:pPr>
        <w:jc w:val="both"/>
        <w:ind w:left="1260" w:right="479" w:hanging="795"/>
        <w:spacing w:after="0" w:line="259"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219">
        <w:r>
          <w:rPr>
            <w:rFonts w:ascii="Arial" w:cs="Arial" w:eastAsia="Arial" w:hAnsi="Arial"/>
            <w:sz w:val="18"/>
            <w:szCs w:val="18"/>
            <w:u w:val="single" w:color="auto"/>
            <w:color w:val="0000EE"/>
          </w:rPr>
          <w:t>Common Stock Purchase Agreement, dated September 16, 2022, by and between Inflection Point</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Acquisition Corp. and CF Principal Investments LLC (incorporated by reference to Exhibit 10.10 to</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Amendment No. 4 to the Registration Statement on Form S-4 (File No. 333-267846) filed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January 20,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-557530</wp:posOffset>
            </wp:positionV>
            <wp:extent cx="5143500" cy="5746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5143500" cy="574675"/>
                    </a:xfrm>
                    <a:prstGeom prst="rect">
                      <a:avLst/>
                    </a:prstGeom>
                    <a:noFill/>
                  </pic:spPr>
                </pic:pic>
              </a:graphicData>
            </a:graphic>
          </wp:anchor>
        </w:drawing>
      </w:r>
    </w:p>
    <w:p>
      <w:pPr>
        <w:jc w:val="both"/>
        <w:ind w:left="1260" w:right="459" w:hanging="795"/>
        <w:spacing w:after="0" w:line="277" w:lineRule="auto"/>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221">
        <w:r>
          <w:rPr>
            <w:rFonts w:ascii="Arial" w:cs="Arial" w:eastAsia="Arial" w:hAnsi="Arial"/>
            <w:sz w:val="17"/>
            <w:szCs w:val="17"/>
            <w:u w:val="single" w:color="auto"/>
            <w:color w:val="0000EE"/>
          </w:rPr>
          <w:t>Amended and Restated Registration Rights Agreement, dated February 13, 2023, by and among</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Intuitive Machines, Inc. and each of the shareholders of Intuitive Machines, Inc. identified on the</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signature pages thereto (incorporated by reference to Exhibit 10.6 to the Registrant’s Current Report</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on Form 8-K (File No. 001-40823), filed with the SEC on February 14, 2023).</w:t>
        </w:r>
      </w:hyperlink>
    </w:p>
    <w:p>
      <w:pPr>
        <w:spacing w:after="0" w:line="2" w:lineRule="exact"/>
        <w:rPr>
          <w:rFonts w:ascii="Arial" w:cs="Arial" w:eastAsia="Arial" w:hAnsi="Arial"/>
          <w:sz w:val="17"/>
          <w:szCs w:val="17"/>
          <w:u w:val="single" w:color="auto"/>
          <w:color w:val="0000EE"/>
        </w:rPr>
      </w:pPr>
    </w:p>
    <w:p>
      <w:pPr>
        <w:jc w:val="both"/>
        <w:ind w:left="1260" w:right="47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222">
        <w:r>
          <w:rPr>
            <w:rFonts w:ascii="Arial" w:cs="Arial" w:eastAsia="Arial" w:hAnsi="Arial"/>
            <w:sz w:val="18"/>
            <w:szCs w:val="18"/>
            <w:u w:val="single" w:color="auto"/>
            <w:color w:val="0000EE"/>
          </w:rPr>
          <w:t>Intuitive Machines, Inc. 2023 Long Term Omnibus Incentive Plan (incorporated by reference to</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Exhibit 10.7 to the Registrant’s Current Report on Form 8-K (File No. 001-40823), filed with the</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SEC on 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jc w:val="both"/>
        <w:ind w:left="1260" w:right="479" w:hanging="795"/>
        <w:spacing w:after="0" w:line="281" w:lineRule="auto"/>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224">
        <w:r>
          <w:rPr>
            <w:rFonts w:ascii="Arial" w:cs="Arial" w:eastAsia="Arial" w:hAnsi="Arial"/>
            <w:sz w:val="17"/>
            <w:szCs w:val="17"/>
            <w:u w:val="single" w:color="auto"/>
            <w:color w:val="0000EE"/>
          </w:rPr>
          <w:t>Form Restricted Stock Unit Award Agreement (under Intuitive Machines, Inc. 2023 Long Term</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Omnibus Incentive Plan) (incorporated by reference to Exhibit 10.8 to the Registrant’s Current</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Report on Form 8-K (File No. 001-40823), filed with the SEC on February 14, 2023).</w:t>
        </w:r>
      </w:hyperlink>
    </w:p>
    <w:p>
      <w:pPr>
        <w:spacing w:after="0" w:line="2" w:lineRule="exact"/>
        <w:rPr>
          <w:rFonts w:ascii="Arial" w:cs="Arial" w:eastAsia="Arial" w:hAnsi="Arial"/>
          <w:sz w:val="17"/>
          <w:szCs w:val="17"/>
          <w:u w:val="single" w:color="auto"/>
          <w:color w:val="0000EE"/>
        </w:rPr>
      </w:pPr>
    </w:p>
    <w:p>
      <w:pPr>
        <w:jc w:val="both"/>
        <w:ind w:left="1260" w:right="479" w:hanging="795"/>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25">
        <w:r>
          <w:rPr>
            <w:rFonts w:ascii="Arial" w:cs="Arial" w:eastAsia="Arial" w:hAnsi="Arial"/>
            <w:sz w:val="18"/>
            <w:szCs w:val="18"/>
            <w:u w:val="single" w:color="auto"/>
            <w:color w:val="0000EE"/>
          </w:rPr>
          <w:t>Intuitive Machines, Inc. Non-Employee Director Compensation Program (incorporated by reference</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to Exhibit 10.9 to the Registrant’s Current Report on Form 8-K (File No. 001-40823), filed with the</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SEC on February 14, 2023).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4" w:name="page185"/>
    <w:bookmarkEnd w:id="1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7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10.11</w:t>
            </w:r>
          </w:p>
        </w:tc>
        <w:tc>
          <w:tcPr>
            <w:tcW w:w="80" w:type="dxa"/>
            <w:vAlign w:val="bottom"/>
            <w:tcBorders>
              <w:bottom w:val="single" w:sz="8" w:color="CCEEFF"/>
            </w:tcBorders>
            <w:shd w:val="clear" w:color="auto" w:fill="CCEEFF"/>
          </w:tcPr>
          <w:p>
            <w:pPr>
              <w:spacing w:after="0"/>
              <w:rPr>
                <w:sz w:val="14"/>
                <w:szCs w:val="14"/>
                <w:color w:val="auto"/>
              </w:rPr>
            </w:pPr>
          </w:p>
        </w:tc>
        <w:tc>
          <w:tcPr>
            <w:tcW w:w="7300" w:type="dxa"/>
            <w:vAlign w:val="bottom"/>
            <w:tcBorders>
              <w:bottom w:val="single" w:sz="8" w:color="0000EE"/>
            </w:tcBorders>
            <w:gridSpan w:val="8"/>
            <w:shd w:val="clear" w:color="auto" w:fill="CCEEFF"/>
          </w:tcPr>
          <w:p>
            <w:pPr>
              <w:spacing w:after="0" w:line="169" w:lineRule="exact"/>
              <w:rPr>
                <w:rFonts w:ascii="Arial" w:cs="Arial" w:eastAsia="Arial" w:hAnsi="Arial"/>
                <w:sz w:val="18"/>
                <w:szCs w:val="18"/>
                <w:color w:val="0000EE"/>
                <w:w w:val="95"/>
              </w:rPr>
            </w:pPr>
            <w:hyperlink r:id="rId228">
              <w:r>
                <w:rPr>
                  <w:rFonts w:ascii="Arial" w:cs="Arial" w:eastAsia="Arial" w:hAnsi="Arial"/>
                  <w:sz w:val="18"/>
                  <w:szCs w:val="18"/>
                  <w:color w:val="0000EE"/>
                  <w:w w:val="95"/>
                </w:rPr>
                <w:t>Forward Purchase Agreement, dated February 9, 2023, by and among IPAX, Intuitive Machines</w:t>
              </w:r>
            </w:hyperlink>
          </w:p>
        </w:tc>
      </w:tr>
      <w:tr>
        <w:trPr>
          <w:trHeight w:val="196"/>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300" w:type="dxa"/>
            <w:vAlign w:val="bottom"/>
            <w:gridSpan w:val="8"/>
            <w:shd w:val="clear" w:color="auto" w:fill="CCEEFF"/>
          </w:tcPr>
          <w:p>
            <w:pPr>
              <w:spacing w:after="0" w:line="196" w:lineRule="exact"/>
              <w:rPr>
                <w:rFonts w:ascii="Arial" w:cs="Arial" w:eastAsia="Arial" w:hAnsi="Arial"/>
                <w:sz w:val="18"/>
                <w:szCs w:val="18"/>
                <w:color w:val="0000EE"/>
                <w:w w:val="93"/>
              </w:rPr>
            </w:pPr>
            <w:hyperlink r:id="rId228">
              <w:r>
                <w:rPr>
                  <w:rFonts w:ascii="Arial" w:cs="Arial" w:eastAsia="Arial" w:hAnsi="Arial"/>
                  <w:sz w:val="18"/>
                  <w:szCs w:val="18"/>
                  <w:color w:val="0000EE"/>
                  <w:w w:val="93"/>
                </w:rPr>
                <w:t>OpCo, and Polar (incorporated by reference to Exhibit 10.10 to the Registrant’s Current Report on</w:t>
              </w:r>
            </w:hyperlink>
          </w:p>
        </w:tc>
      </w:tr>
      <w:tr>
        <w:trPr>
          <w:trHeight w:val="196"/>
        </w:trPr>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Form 8-K (File No. 001-40823), filed with the SEC on February 14, 2023).</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2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80" w:type="dxa"/>
            <w:vAlign w:val="bottom"/>
          </w:tcPr>
          <w:p>
            <w:pPr>
              <w:spacing w:after="0"/>
              <w:rPr>
                <w:sz w:val="15"/>
                <w:szCs w:val="15"/>
                <w:color w:val="auto"/>
              </w:rPr>
            </w:pPr>
          </w:p>
        </w:tc>
        <w:tc>
          <w:tcPr>
            <w:tcW w:w="7300" w:type="dxa"/>
            <w:vAlign w:val="bottom"/>
            <w:tcBorders>
              <w:bottom w:val="single" w:sz="8" w:color="0000EE"/>
            </w:tcBorders>
            <w:gridSpan w:val="8"/>
          </w:tcPr>
          <w:p>
            <w:pPr>
              <w:spacing w:after="0" w:line="176" w:lineRule="exact"/>
              <w:rPr>
                <w:rFonts w:ascii="Arial" w:cs="Arial" w:eastAsia="Arial" w:hAnsi="Arial"/>
                <w:sz w:val="18"/>
                <w:szCs w:val="18"/>
                <w:color w:val="0000EE"/>
                <w:w w:val="95"/>
              </w:rPr>
            </w:pPr>
            <w:hyperlink r:id="rId229">
              <w:r>
                <w:rPr>
                  <w:rFonts w:ascii="Arial" w:cs="Arial" w:eastAsia="Arial" w:hAnsi="Arial"/>
                  <w:sz w:val="18"/>
                  <w:szCs w:val="18"/>
                  <w:color w:val="0000EE"/>
                  <w:w w:val="95"/>
                </w:rPr>
                <w:t>Forward Purchase Agreement, dated February 9, 2023, by and among IPAX, Intuitive Machines</w:t>
              </w:r>
            </w:hyperlink>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00" w:type="dxa"/>
            <w:vAlign w:val="bottom"/>
            <w:gridSpan w:val="8"/>
          </w:tcPr>
          <w:p>
            <w:pPr>
              <w:spacing w:after="0" w:line="196" w:lineRule="exact"/>
              <w:rPr>
                <w:rFonts w:ascii="Arial" w:cs="Arial" w:eastAsia="Arial" w:hAnsi="Arial"/>
                <w:sz w:val="18"/>
                <w:szCs w:val="18"/>
                <w:color w:val="0000EE"/>
                <w:w w:val="93"/>
              </w:rPr>
            </w:pPr>
            <w:hyperlink r:id="rId229">
              <w:r>
                <w:rPr>
                  <w:rFonts w:ascii="Arial" w:cs="Arial" w:eastAsia="Arial" w:hAnsi="Arial"/>
                  <w:sz w:val="18"/>
                  <w:szCs w:val="18"/>
                  <w:color w:val="0000EE"/>
                  <w:w w:val="93"/>
                </w:rPr>
                <w:t>OpCo, and HGC (incorporated by reference to Exhibit 10.11 to the Registrant’s Current Report on</w:t>
              </w:r>
            </w:hyperlink>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Form 8-K (File No. 001-40823), filed with the SEC on February 14, 2023).</w:t>
              </w:r>
            </w:hyperlink>
          </w:p>
        </w:tc>
        <w:tc>
          <w:tcPr>
            <w:tcW w:w="20" w:type="dxa"/>
            <w:vAlign w:val="bottom"/>
          </w:tcPr>
          <w:p>
            <w:pPr>
              <w:spacing w:after="0"/>
              <w:rPr>
                <w:sz w:val="17"/>
                <w:szCs w:val="17"/>
                <w:color w:val="auto"/>
              </w:rPr>
            </w:pPr>
          </w:p>
        </w:tc>
      </w:tr>
      <w:tr>
        <w:trPr>
          <w:trHeight w:val="61"/>
        </w:trPr>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5"/>
                <w:szCs w:val="15"/>
                <w:color w:val="auto"/>
              </w:rPr>
            </w:pPr>
          </w:p>
        </w:tc>
        <w:tc>
          <w:tcPr>
            <w:tcW w:w="73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Subsidiaries of Intuitive Machines, Inc.</w:t>
            </w:r>
          </w:p>
        </w:tc>
      </w:tr>
      <w:tr>
        <w:trPr>
          <w:trHeight w:val="88"/>
        </w:trPr>
        <w:tc>
          <w:tcPr>
            <w:tcW w:w="7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25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7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80" w:type="dxa"/>
            <w:vAlign w:val="bottom"/>
          </w:tcPr>
          <w:p>
            <w:pPr>
              <w:spacing w:after="0"/>
              <w:rPr>
                <w:sz w:val="15"/>
                <w:szCs w:val="15"/>
                <w:color w:val="auto"/>
              </w:rPr>
            </w:pPr>
          </w:p>
        </w:tc>
        <w:tc>
          <w:tcPr>
            <w:tcW w:w="7300" w:type="dxa"/>
            <w:vAlign w:val="bottom"/>
            <w:gridSpan w:val="8"/>
          </w:tcPr>
          <w:p>
            <w:pPr>
              <w:spacing w:after="0" w:line="176" w:lineRule="exact"/>
              <w:rPr>
                <w:sz w:val="20"/>
                <w:szCs w:val="20"/>
                <w:color w:val="auto"/>
              </w:rPr>
            </w:pPr>
            <w:r>
              <w:rPr>
                <w:rFonts w:ascii="Arial" w:cs="Arial" w:eastAsia="Arial" w:hAnsi="Arial"/>
                <w:sz w:val="18"/>
                <w:szCs w:val="18"/>
                <w:color w:val="0000EE"/>
              </w:rPr>
              <w:t>Consent of Marcum LLP.</w:t>
            </w:r>
          </w:p>
        </w:tc>
      </w:tr>
      <w:tr>
        <w:trPr>
          <w:trHeight w:val="88"/>
        </w:trPr>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Borders>
              <w:top w:val="single" w:sz="8" w:color="0000EE"/>
            </w:tcBorders>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5"/>
                <w:szCs w:val="15"/>
                <w:color w:val="auto"/>
              </w:rPr>
            </w:pPr>
          </w:p>
        </w:tc>
        <w:tc>
          <w:tcPr>
            <w:tcW w:w="73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Consent of Grant Thornton LLP.</w:t>
            </w:r>
          </w:p>
        </w:tc>
      </w:tr>
      <w:tr>
        <w:trPr>
          <w:trHeight w:val="88"/>
        </w:trPr>
        <w:tc>
          <w:tcPr>
            <w:tcW w:w="7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25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720" w:type="dxa"/>
            <w:vAlign w:val="bottom"/>
          </w:tcPr>
          <w:p>
            <w:pPr>
              <w:spacing w:after="0" w:line="176" w:lineRule="exact"/>
              <w:rPr>
                <w:sz w:val="20"/>
                <w:szCs w:val="20"/>
                <w:color w:val="auto"/>
              </w:rPr>
            </w:pPr>
            <w:r>
              <w:rPr>
                <w:rFonts w:ascii="Arial" w:cs="Arial" w:eastAsia="Arial" w:hAnsi="Arial"/>
                <w:sz w:val="18"/>
                <w:szCs w:val="18"/>
                <w:color w:val="auto"/>
              </w:rPr>
              <w:t>23.3</w:t>
            </w:r>
          </w:p>
        </w:tc>
        <w:tc>
          <w:tcPr>
            <w:tcW w:w="80" w:type="dxa"/>
            <w:vAlign w:val="bottom"/>
          </w:tcPr>
          <w:p>
            <w:pPr>
              <w:spacing w:after="0"/>
              <w:rPr>
                <w:sz w:val="15"/>
                <w:szCs w:val="15"/>
                <w:color w:val="auto"/>
              </w:rPr>
            </w:pPr>
          </w:p>
        </w:tc>
        <w:tc>
          <w:tcPr>
            <w:tcW w:w="7300" w:type="dxa"/>
            <w:vAlign w:val="bottom"/>
            <w:gridSpan w:val="8"/>
          </w:tcPr>
          <w:p>
            <w:pPr>
              <w:spacing w:after="0" w:line="176" w:lineRule="exact"/>
              <w:rPr>
                <w:sz w:val="20"/>
                <w:szCs w:val="20"/>
                <w:color w:val="auto"/>
              </w:rPr>
            </w:pPr>
            <w:r>
              <w:rPr>
                <w:rFonts w:ascii="Arial" w:cs="Arial" w:eastAsia="Arial" w:hAnsi="Arial"/>
                <w:sz w:val="18"/>
                <w:szCs w:val="18"/>
                <w:color w:val="215E9E"/>
              </w:rPr>
              <w:t>Consent of Latham &amp; Watkins LLP (included as part of Exhibit 5.1 hereto).</w:t>
            </w:r>
          </w:p>
        </w:tc>
      </w:tr>
      <w:tr>
        <w:trPr>
          <w:trHeight w:val="88"/>
        </w:trPr>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Borders>
              <w:top w:val="single" w:sz="8" w:color="215E9E"/>
            </w:tcBorders>
          </w:tcPr>
          <w:p>
            <w:pPr>
              <w:spacing w:after="0"/>
              <w:rPr>
                <w:sz w:val="7"/>
                <w:szCs w:val="7"/>
                <w:color w:val="auto"/>
              </w:rPr>
            </w:pPr>
          </w:p>
        </w:tc>
        <w:tc>
          <w:tcPr>
            <w:tcW w:w="500" w:type="dxa"/>
            <w:vAlign w:val="bottom"/>
            <w:tcBorders>
              <w:top w:val="single" w:sz="8" w:color="215E9E"/>
            </w:tcBorders>
          </w:tcPr>
          <w:p>
            <w:pPr>
              <w:spacing w:after="0"/>
              <w:rPr>
                <w:sz w:val="7"/>
                <w:szCs w:val="7"/>
                <w:color w:val="auto"/>
              </w:rPr>
            </w:pPr>
          </w:p>
        </w:tc>
        <w:tc>
          <w:tcPr>
            <w:tcW w:w="500" w:type="dxa"/>
            <w:vAlign w:val="bottom"/>
            <w:tcBorders>
              <w:top w:val="single" w:sz="8" w:color="215E9E"/>
            </w:tcBorders>
          </w:tcPr>
          <w:p>
            <w:pPr>
              <w:spacing w:after="0"/>
              <w:rPr>
                <w:sz w:val="7"/>
                <w:szCs w:val="7"/>
                <w:color w:val="auto"/>
              </w:rPr>
            </w:pPr>
          </w:p>
        </w:tc>
        <w:tc>
          <w:tcPr>
            <w:tcW w:w="2580" w:type="dxa"/>
            <w:vAlign w:val="bottom"/>
            <w:tcBorders>
              <w:top w:val="single" w:sz="8" w:color="215E9E"/>
            </w:tcBorders>
          </w:tcPr>
          <w:p>
            <w:pPr>
              <w:spacing w:after="0"/>
              <w:rPr>
                <w:sz w:val="7"/>
                <w:szCs w:val="7"/>
                <w:color w:val="auto"/>
              </w:rPr>
            </w:pPr>
          </w:p>
        </w:tc>
        <w:tc>
          <w:tcPr>
            <w:tcW w:w="20" w:type="dxa"/>
            <w:vAlign w:val="bottom"/>
            <w:tcBorders>
              <w:top w:val="single" w:sz="8" w:color="215E9E"/>
            </w:tcBorders>
          </w:tcPr>
          <w:p>
            <w:pPr>
              <w:spacing w:after="0"/>
              <w:rPr>
                <w:sz w:val="7"/>
                <w:szCs w:val="7"/>
                <w:color w:val="auto"/>
              </w:rPr>
            </w:pPr>
          </w:p>
        </w:tc>
        <w:tc>
          <w:tcPr>
            <w:tcW w:w="1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5"/>
                <w:szCs w:val="15"/>
                <w:color w:val="auto"/>
              </w:rPr>
            </w:pPr>
          </w:p>
        </w:tc>
        <w:tc>
          <w:tcPr>
            <w:tcW w:w="73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w w:val="97"/>
              </w:rPr>
              <w:t>Power of Attorney (included on signature page to the initial filing of this registration statement).</w:t>
            </w:r>
          </w:p>
        </w:tc>
      </w:tr>
      <w:tr>
        <w:trPr>
          <w:trHeight w:val="88"/>
        </w:trPr>
        <w:tc>
          <w:tcPr>
            <w:tcW w:w="7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25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5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3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53"/>
        </w:trPr>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73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3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3"/>
        </w:trPr>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73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3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3"/>
        </w:trPr>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7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3"/>
        </w:trPr>
        <w:tc>
          <w:tcPr>
            <w:tcW w:w="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ind w:left="1260" w:hanging="806"/>
        <w:spacing w:after="0"/>
        <w:tabs>
          <w:tab w:leader="none" w:pos="1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62" w:lineRule="exact"/>
        <w:rPr>
          <w:rFonts w:ascii="Arial" w:cs="Arial" w:eastAsia="Arial" w:hAnsi="Arial"/>
          <w:sz w:val="18"/>
          <w:szCs w:val="18"/>
          <w:color w:val="auto"/>
        </w:rPr>
      </w:pPr>
    </w:p>
    <w:p>
      <w:pPr>
        <w:ind w:left="1260" w:hanging="806"/>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215E9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5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2"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Pursuant to the requirements of the U.S. Securities Act of 1933, as amended, the registrant has duly caused this registration statement to be signed on its behalf by the undersigned, thereunto duly authorized, in the City of Houston, State of Texas, on March 30, 2023.</w:t>
      </w:r>
    </w:p>
    <w:p>
      <w:pPr>
        <w:spacing w:after="0" w:line="15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INTUITIVE MACHINES, INC.</w:t>
      </w:r>
    </w:p>
    <w:p>
      <w:pPr>
        <w:spacing w:after="0" w:line="216"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Erik Sallee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Erik Sallee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-121920</wp:posOffset>
            </wp:positionV>
            <wp:extent cx="1423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Title:</w:t>
        <w:tab/>
        <w:t>Chief Financial Officer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Stephen Altemus and Erik Sallee,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March 30, 2023.</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ind w:left="114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020" w:type="dxa"/>
            <w:vAlign w:val="bottom"/>
          </w:tcPr>
          <w:p>
            <w:pPr>
              <w:spacing w:after="0"/>
              <w:rPr>
                <w:sz w:val="20"/>
                <w:szCs w:val="20"/>
                <w:color w:val="auto"/>
              </w:rPr>
            </w:pPr>
            <w:r>
              <w:rPr>
                <w:rFonts w:ascii="Arial" w:cs="Arial" w:eastAsia="Arial" w:hAnsi="Arial"/>
                <w:sz w:val="18"/>
                <w:szCs w:val="18"/>
                <w:color w:val="auto"/>
              </w:rPr>
              <w:t>/s/ Stephen Altemus</w:t>
            </w:r>
          </w:p>
        </w:tc>
        <w:tc>
          <w:tcPr>
            <w:tcW w:w="100" w:type="dxa"/>
            <w:vAlign w:val="bottom"/>
          </w:tcPr>
          <w:p>
            <w:pPr>
              <w:spacing w:after="0"/>
              <w:rPr>
                <w:sz w:val="24"/>
                <w:szCs w:val="24"/>
                <w:color w:val="auto"/>
              </w:rPr>
            </w:pPr>
          </w:p>
        </w:tc>
        <w:tc>
          <w:tcPr>
            <w:tcW w:w="4980" w:type="dxa"/>
            <w:vAlign w:val="bottom"/>
            <w:vMerge w:val="restart"/>
          </w:tcPr>
          <w:p>
            <w:pPr>
              <w:jc w:val="center"/>
              <w:spacing w:after="0"/>
              <w:rPr>
                <w:sz w:val="20"/>
                <w:szCs w:val="20"/>
                <w:color w:val="auto"/>
              </w:rPr>
            </w:pPr>
            <w:r>
              <w:rPr>
                <w:rFonts w:ascii="Arial" w:cs="Arial" w:eastAsia="Arial" w:hAnsi="Arial"/>
                <w:sz w:val="18"/>
                <w:szCs w:val="18"/>
                <w:color w:val="auto"/>
                <w:w w:val="92"/>
              </w:rPr>
              <w:t>Chief Executive Officer, President, and Director</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Stephen Altemus</w:t>
            </w:r>
          </w:p>
        </w:tc>
        <w:tc>
          <w:tcPr>
            <w:tcW w:w="10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Erik Sallee</w:t>
            </w:r>
          </w:p>
        </w:tc>
        <w:tc>
          <w:tcPr>
            <w:tcW w:w="100" w:type="dxa"/>
            <w:vAlign w:val="bottom"/>
          </w:tcPr>
          <w:p>
            <w:pPr>
              <w:spacing w:after="0"/>
              <w:rPr>
                <w:sz w:val="24"/>
                <w:szCs w:val="24"/>
                <w:color w:val="auto"/>
              </w:rPr>
            </w:pPr>
          </w:p>
        </w:tc>
        <w:tc>
          <w:tcPr>
            <w:tcW w:w="4980" w:type="dxa"/>
            <w:vAlign w:val="bottom"/>
            <w:vMerge w:val="restart"/>
          </w:tcPr>
          <w:p>
            <w:pPr>
              <w:jc w:val="center"/>
              <w:spacing w:after="0"/>
              <w:rPr>
                <w:sz w:val="20"/>
                <w:szCs w:val="20"/>
                <w:color w:val="auto"/>
              </w:rPr>
            </w:pPr>
            <w:r>
              <w:rPr>
                <w:rFonts w:ascii="Arial" w:cs="Arial" w:eastAsia="Arial" w:hAnsi="Arial"/>
                <w:sz w:val="18"/>
                <w:szCs w:val="18"/>
                <w:color w:val="auto"/>
                <w:w w:val="92"/>
              </w:rPr>
              <w:t>Chief Financial Officer and Secretary</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Erik Sallee</w:t>
            </w:r>
          </w:p>
        </w:tc>
        <w:tc>
          <w:tcPr>
            <w:tcW w:w="10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Steven Vontur</w:t>
            </w:r>
          </w:p>
        </w:tc>
        <w:tc>
          <w:tcPr>
            <w:tcW w:w="100" w:type="dxa"/>
            <w:vAlign w:val="bottom"/>
          </w:tcPr>
          <w:p>
            <w:pPr>
              <w:spacing w:after="0"/>
              <w:rPr>
                <w:sz w:val="24"/>
                <w:szCs w:val="24"/>
                <w:color w:val="auto"/>
              </w:rPr>
            </w:pPr>
          </w:p>
        </w:tc>
        <w:tc>
          <w:tcPr>
            <w:tcW w:w="4980" w:type="dxa"/>
            <w:vAlign w:val="bottom"/>
            <w:vMerge w:val="restart"/>
          </w:tcPr>
          <w:p>
            <w:pPr>
              <w:jc w:val="center"/>
              <w:spacing w:after="0"/>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Steven Vontur</w:t>
            </w:r>
          </w:p>
        </w:tc>
        <w:tc>
          <w:tcPr>
            <w:tcW w:w="10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(Chief Accounting Officer)</w:t>
            </w: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Dr. Kamal Ghaffarian</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Dr. Kamal Ghaffarian</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Michael Blitzer</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Michael Blitzer</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Lieutenant General William Liquori</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Lieutenant General William Liquori</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20" w:type="dxa"/>
            <w:vAlign w:val="bottom"/>
          </w:tcPr>
          <w:p>
            <w:pPr>
              <w:spacing w:after="0"/>
              <w:rPr>
                <w:sz w:val="20"/>
                <w:szCs w:val="20"/>
                <w:color w:val="auto"/>
              </w:rPr>
            </w:pPr>
            <w:r>
              <w:rPr>
                <w:rFonts w:ascii="Arial" w:cs="Arial" w:eastAsia="Arial" w:hAnsi="Arial"/>
                <w:sz w:val="18"/>
                <w:szCs w:val="18"/>
                <w:color w:val="auto"/>
              </w:rPr>
              <w:t>/s/ Robert Masson</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Robert Masson</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0" w:type="dxa"/>
            <w:vAlign w:val="bottom"/>
          </w:tcPr>
          <w:p>
            <w:pPr>
              <w:ind w:left="1160"/>
              <w:spacing w:after="0"/>
              <w:rPr>
                <w:sz w:val="20"/>
                <w:szCs w:val="20"/>
                <w:color w:val="auto"/>
              </w:rPr>
            </w:pPr>
            <w:r>
              <w:rPr>
                <w:rFonts w:ascii="Arial" w:cs="Arial" w:eastAsia="Arial" w:hAnsi="Arial"/>
                <w:sz w:val="18"/>
                <w:szCs w:val="18"/>
                <w:b w:val="1"/>
                <w:bCs w:val="1"/>
                <w:color w:val="auto"/>
                <w:w w:val="91"/>
              </w:rPr>
              <w:t>Exhibit 5.1</w:t>
            </w:r>
          </w:p>
        </w:tc>
      </w:tr>
      <w:tr>
        <w:trPr>
          <w:trHeight w:val="432"/>
        </w:trPr>
        <w:tc>
          <w:tcPr>
            <w:tcW w:w="4680" w:type="dxa"/>
            <w:vAlign w:val="bottom"/>
          </w:tcPr>
          <w:p>
            <w:pPr>
              <w:spacing w:after="0"/>
              <w:rPr>
                <w:sz w:val="24"/>
                <w:szCs w:val="24"/>
                <w:color w:val="auto"/>
              </w:rPr>
            </w:pPr>
          </w:p>
        </w:tc>
        <w:tc>
          <w:tcPr>
            <w:tcW w:w="6560" w:type="dxa"/>
            <w:vAlign w:val="bottom"/>
            <w:gridSpan w:val="2"/>
          </w:tcPr>
          <w:p>
            <w:pPr>
              <w:ind w:left="2960"/>
              <w:spacing w:after="0"/>
              <w:rPr>
                <w:sz w:val="20"/>
                <w:szCs w:val="20"/>
                <w:color w:val="auto"/>
              </w:rPr>
            </w:pPr>
            <w:r>
              <w:rPr>
                <w:rFonts w:ascii="Arial" w:cs="Arial" w:eastAsia="Arial" w:hAnsi="Arial"/>
                <w:sz w:val="18"/>
                <w:szCs w:val="18"/>
                <w:color w:val="auto"/>
              </w:rPr>
              <w:t>811 Main Street, Suite 3700</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Houston, TX 77002</w:t>
            </w:r>
          </w:p>
        </w:tc>
        <w:tc>
          <w:tcPr>
            <w:tcW w:w="2000" w:type="dxa"/>
            <w:vAlign w:val="bottom"/>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w w:val="92"/>
              </w:rPr>
              <w:t>Tel: +1.713.546.5400</w:t>
            </w:r>
          </w:p>
        </w:tc>
        <w:tc>
          <w:tcPr>
            <w:tcW w:w="2000" w:type="dxa"/>
            <w:vAlign w:val="bottom"/>
          </w:tcPr>
          <w:p>
            <w:pPr>
              <w:ind w:left="40"/>
              <w:spacing w:after="0"/>
              <w:rPr>
                <w:sz w:val="20"/>
                <w:szCs w:val="20"/>
                <w:color w:val="auto"/>
              </w:rPr>
            </w:pPr>
            <w:r>
              <w:rPr>
                <w:rFonts w:ascii="Arial" w:cs="Arial" w:eastAsia="Arial" w:hAnsi="Arial"/>
                <w:sz w:val="18"/>
                <w:szCs w:val="18"/>
                <w:color w:val="auto"/>
              </w:rPr>
              <w:t>Fax: +1.713.546.5401</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www.lw.com</w:t>
            </w:r>
          </w:p>
        </w:tc>
        <w:tc>
          <w:tcPr>
            <w:tcW w:w="2000" w:type="dxa"/>
            <w:vAlign w:val="bottom"/>
          </w:tcPr>
          <w:p>
            <w:pPr>
              <w:spacing w:after="0"/>
              <w:rPr>
                <w:sz w:val="21"/>
                <w:szCs w:val="21"/>
                <w:color w:val="auto"/>
              </w:rPr>
            </w:pPr>
          </w:p>
        </w:tc>
      </w:tr>
      <w:tr>
        <w:trPr>
          <w:trHeight w:val="486"/>
        </w:trPr>
        <w:tc>
          <w:tcPr>
            <w:tcW w:w="4680" w:type="dxa"/>
            <w:vAlign w:val="bottom"/>
          </w:tcPr>
          <w:p>
            <w:pPr>
              <w:spacing w:after="0"/>
              <w:rPr>
                <w:sz w:val="24"/>
                <w:szCs w:val="24"/>
                <w:color w:val="auto"/>
              </w:rPr>
            </w:pPr>
          </w:p>
        </w:tc>
        <w:tc>
          <w:tcPr>
            <w:tcW w:w="6560" w:type="dxa"/>
            <w:vAlign w:val="bottom"/>
            <w:gridSpan w:val="2"/>
          </w:tcPr>
          <w:p>
            <w:pPr>
              <w:ind w:left="2960"/>
              <w:spacing w:after="0"/>
              <w:rPr>
                <w:sz w:val="20"/>
                <w:szCs w:val="20"/>
                <w:color w:val="auto"/>
              </w:rPr>
            </w:pPr>
            <w:r>
              <w:rPr>
                <w:rFonts w:ascii="Arial" w:cs="Arial" w:eastAsia="Arial" w:hAnsi="Arial"/>
                <w:sz w:val="18"/>
                <w:szCs w:val="18"/>
                <w:color w:val="auto"/>
              </w:rPr>
              <w:t>FIRM / AFFILIATE OFFICES</w:t>
            </w:r>
          </w:p>
        </w:tc>
      </w:tr>
      <w:tr>
        <w:trPr>
          <w:trHeight w:val="270"/>
        </w:trPr>
        <w:tc>
          <w:tcPr>
            <w:tcW w:w="4680" w:type="dxa"/>
            <w:vAlign w:val="bottom"/>
          </w:tcPr>
          <w:p>
            <w:pPr>
              <w:spacing w:after="0"/>
              <w:rPr>
                <w:sz w:val="23"/>
                <w:szCs w:val="23"/>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Austin</w:t>
            </w:r>
          </w:p>
        </w:tc>
        <w:tc>
          <w:tcPr>
            <w:tcW w:w="2000" w:type="dxa"/>
            <w:vAlign w:val="bottom"/>
          </w:tcPr>
          <w:p>
            <w:pPr>
              <w:ind w:left="60"/>
              <w:spacing w:after="0"/>
              <w:rPr>
                <w:sz w:val="20"/>
                <w:szCs w:val="20"/>
                <w:color w:val="auto"/>
              </w:rPr>
            </w:pPr>
            <w:r>
              <w:rPr>
                <w:rFonts w:ascii="Arial" w:cs="Arial" w:eastAsia="Arial" w:hAnsi="Arial"/>
                <w:sz w:val="18"/>
                <w:szCs w:val="18"/>
                <w:color w:val="auto"/>
              </w:rPr>
              <w:t>Milan</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Beijing</w:t>
            </w:r>
          </w:p>
        </w:tc>
        <w:tc>
          <w:tcPr>
            <w:tcW w:w="2000" w:type="dxa"/>
            <w:vAlign w:val="bottom"/>
          </w:tcPr>
          <w:p>
            <w:pPr>
              <w:ind w:left="60"/>
              <w:spacing w:after="0"/>
              <w:rPr>
                <w:sz w:val="20"/>
                <w:szCs w:val="20"/>
                <w:color w:val="auto"/>
              </w:rPr>
            </w:pPr>
            <w:r>
              <w:rPr>
                <w:rFonts w:ascii="Arial" w:cs="Arial" w:eastAsia="Arial" w:hAnsi="Arial"/>
                <w:sz w:val="18"/>
                <w:szCs w:val="18"/>
                <w:color w:val="auto"/>
              </w:rPr>
              <w:t>Munich</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Boston</w:t>
            </w:r>
          </w:p>
        </w:tc>
        <w:tc>
          <w:tcPr>
            <w:tcW w:w="2000" w:type="dxa"/>
            <w:vAlign w:val="bottom"/>
          </w:tcPr>
          <w:p>
            <w:pPr>
              <w:ind w:left="60"/>
              <w:spacing w:after="0"/>
              <w:rPr>
                <w:sz w:val="20"/>
                <w:szCs w:val="20"/>
                <w:color w:val="auto"/>
              </w:rPr>
            </w:pPr>
            <w:r>
              <w:rPr>
                <w:rFonts w:ascii="Arial" w:cs="Arial" w:eastAsia="Arial" w:hAnsi="Arial"/>
                <w:sz w:val="18"/>
                <w:szCs w:val="18"/>
                <w:color w:val="auto"/>
              </w:rPr>
              <w:t>New York</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Brussels</w:t>
            </w:r>
          </w:p>
        </w:tc>
        <w:tc>
          <w:tcPr>
            <w:tcW w:w="2000" w:type="dxa"/>
            <w:vAlign w:val="bottom"/>
          </w:tcPr>
          <w:p>
            <w:pPr>
              <w:ind w:left="60"/>
              <w:spacing w:after="0"/>
              <w:rPr>
                <w:sz w:val="20"/>
                <w:szCs w:val="20"/>
                <w:color w:val="auto"/>
              </w:rPr>
            </w:pPr>
            <w:r>
              <w:rPr>
                <w:rFonts w:ascii="Arial" w:cs="Arial" w:eastAsia="Arial" w:hAnsi="Arial"/>
                <w:sz w:val="18"/>
                <w:szCs w:val="18"/>
                <w:color w:val="auto"/>
              </w:rPr>
              <w:t>Orange County</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Century City</w:t>
            </w:r>
          </w:p>
        </w:tc>
        <w:tc>
          <w:tcPr>
            <w:tcW w:w="2000" w:type="dxa"/>
            <w:vAlign w:val="bottom"/>
          </w:tcPr>
          <w:p>
            <w:pPr>
              <w:ind w:left="60"/>
              <w:spacing w:after="0"/>
              <w:rPr>
                <w:sz w:val="20"/>
                <w:szCs w:val="20"/>
                <w:color w:val="auto"/>
              </w:rPr>
            </w:pPr>
            <w:r>
              <w:rPr>
                <w:rFonts w:ascii="Arial" w:cs="Arial" w:eastAsia="Arial" w:hAnsi="Arial"/>
                <w:sz w:val="18"/>
                <w:szCs w:val="18"/>
                <w:color w:val="auto"/>
              </w:rPr>
              <w:t>Paris</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March 30, 2023</w:t>
            </w:r>
          </w:p>
        </w:tc>
        <w:tc>
          <w:tcPr>
            <w:tcW w:w="4560" w:type="dxa"/>
            <w:vAlign w:val="bottom"/>
          </w:tcPr>
          <w:p>
            <w:pPr>
              <w:ind w:left="2960"/>
              <w:spacing w:after="0"/>
              <w:rPr>
                <w:sz w:val="20"/>
                <w:szCs w:val="20"/>
                <w:color w:val="auto"/>
              </w:rPr>
            </w:pPr>
            <w:r>
              <w:rPr>
                <w:rFonts w:ascii="Arial" w:cs="Arial" w:eastAsia="Arial" w:hAnsi="Arial"/>
                <w:sz w:val="18"/>
                <w:szCs w:val="18"/>
                <w:color w:val="auto"/>
              </w:rPr>
              <w:t>Chicago</w:t>
            </w:r>
          </w:p>
        </w:tc>
        <w:tc>
          <w:tcPr>
            <w:tcW w:w="2000" w:type="dxa"/>
            <w:vAlign w:val="bottom"/>
          </w:tcPr>
          <w:p>
            <w:pPr>
              <w:ind w:left="60"/>
              <w:spacing w:after="0"/>
              <w:rPr>
                <w:sz w:val="20"/>
                <w:szCs w:val="20"/>
                <w:color w:val="auto"/>
              </w:rPr>
            </w:pPr>
            <w:r>
              <w:rPr>
                <w:rFonts w:ascii="Arial" w:cs="Arial" w:eastAsia="Arial" w:hAnsi="Arial"/>
                <w:sz w:val="18"/>
                <w:szCs w:val="18"/>
                <w:color w:val="auto"/>
              </w:rPr>
              <w:t>Riyadh</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Dubai</w:t>
            </w:r>
          </w:p>
        </w:tc>
        <w:tc>
          <w:tcPr>
            <w:tcW w:w="2000" w:type="dxa"/>
            <w:vAlign w:val="bottom"/>
          </w:tcPr>
          <w:p>
            <w:pPr>
              <w:ind w:left="60"/>
              <w:spacing w:after="0"/>
              <w:rPr>
                <w:sz w:val="20"/>
                <w:szCs w:val="20"/>
                <w:color w:val="auto"/>
              </w:rPr>
            </w:pPr>
            <w:r>
              <w:rPr>
                <w:rFonts w:ascii="Arial" w:cs="Arial" w:eastAsia="Arial" w:hAnsi="Arial"/>
                <w:sz w:val="18"/>
                <w:szCs w:val="18"/>
                <w:color w:val="auto"/>
              </w:rPr>
              <w:t>San Diego</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Düsseldorf</w:t>
            </w:r>
          </w:p>
        </w:tc>
        <w:tc>
          <w:tcPr>
            <w:tcW w:w="2000" w:type="dxa"/>
            <w:vAlign w:val="bottom"/>
          </w:tcPr>
          <w:p>
            <w:pPr>
              <w:ind w:left="60"/>
              <w:spacing w:after="0"/>
              <w:rPr>
                <w:sz w:val="20"/>
                <w:szCs w:val="20"/>
                <w:color w:val="auto"/>
              </w:rPr>
            </w:pPr>
            <w:r>
              <w:rPr>
                <w:rFonts w:ascii="Arial" w:cs="Arial" w:eastAsia="Arial" w:hAnsi="Arial"/>
                <w:sz w:val="18"/>
                <w:szCs w:val="18"/>
                <w:color w:val="auto"/>
              </w:rPr>
              <w:t>San Francisco</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Frankfurt</w:t>
            </w:r>
          </w:p>
        </w:tc>
        <w:tc>
          <w:tcPr>
            <w:tcW w:w="2000" w:type="dxa"/>
            <w:vAlign w:val="bottom"/>
          </w:tcPr>
          <w:p>
            <w:pPr>
              <w:ind w:left="60"/>
              <w:spacing w:after="0"/>
              <w:rPr>
                <w:sz w:val="20"/>
                <w:szCs w:val="20"/>
                <w:color w:val="auto"/>
              </w:rPr>
            </w:pPr>
            <w:r>
              <w:rPr>
                <w:rFonts w:ascii="Arial" w:cs="Arial" w:eastAsia="Arial" w:hAnsi="Arial"/>
                <w:sz w:val="18"/>
                <w:szCs w:val="18"/>
                <w:color w:val="auto"/>
              </w:rPr>
              <w:t>Seoul</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Hamburg</w:t>
            </w:r>
          </w:p>
        </w:tc>
        <w:tc>
          <w:tcPr>
            <w:tcW w:w="2000" w:type="dxa"/>
            <w:vAlign w:val="bottom"/>
          </w:tcPr>
          <w:p>
            <w:pPr>
              <w:ind w:left="60"/>
              <w:spacing w:after="0"/>
              <w:rPr>
                <w:sz w:val="20"/>
                <w:szCs w:val="20"/>
                <w:color w:val="auto"/>
              </w:rPr>
            </w:pPr>
            <w:r>
              <w:rPr>
                <w:rFonts w:ascii="Arial" w:cs="Arial" w:eastAsia="Arial" w:hAnsi="Arial"/>
                <w:sz w:val="18"/>
                <w:szCs w:val="18"/>
                <w:color w:val="auto"/>
              </w:rPr>
              <w:t>Shanghai</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Hong Kong</w:t>
            </w:r>
          </w:p>
        </w:tc>
        <w:tc>
          <w:tcPr>
            <w:tcW w:w="2000" w:type="dxa"/>
            <w:vAlign w:val="bottom"/>
          </w:tcPr>
          <w:p>
            <w:pPr>
              <w:ind w:left="60"/>
              <w:spacing w:after="0"/>
              <w:rPr>
                <w:sz w:val="20"/>
                <w:szCs w:val="20"/>
                <w:color w:val="auto"/>
              </w:rPr>
            </w:pPr>
            <w:r>
              <w:rPr>
                <w:rFonts w:ascii="Arial" w:cs="Arial" w:eastAsia="Arial" w:hAnsi="Arial"/>
                <w:sz w:val="18"/>
                <w:szCs w:val="18"/>
                <w:color w:val="auto"/>
              </w:rPr>
              <w:t>Silicon Valley</w:t>
            </w:r>
          </w:p>
        </w:tc>
      </w:tr>
      <w:tr>
        <w:trPr>
          <w:trHeight w:val="243"/>
        </w:trPr>
        <w:tc>
          <w:tcPr>
            <w:tcW w:w="4680" w:type="dxa"/>
            <w:vAlign w:val="bottom"/>
          </w:tcPr>
          <w:p>
            <w:pPr>
              <w:spacing w:after="0"/>
              <w:rPr>
                <w:sz w:val="21"/>
                <w:szCs w:val="21"/>
                <w:color w:val="auto"/>
              </w:rPr>
            </w:pPr>
          </w:p>
        </w:tc>
        <w:tc>
          <w:tcPr>
            <w:tcW w:w="4560" w:type="dxa"/>
            <w:vAlign w:val="bottom"/>
          </w:tcPr>
          <w:p>
            <w:pPr>
              <w:ind w:left="2960"/>
              <w:spacing w:after="0"/>
              <w:rPr>
                <w:sz w:val="20"/>
                <w:szCs w:val="20"/>
                <w:color w:val="auto"/>
              </w:rPr>
            </w:pPr>
            <w:r>
              <w:rPr>
                <w:rFonts w:ascii="Arial" w:cs="Arial" w:eastAsia="Arial" w:hAnsi="Arial"/>
                <w:sz w:val="18"/>
                <w:szCs w:val="18"/>
                <w:color w:val="auto"/>
              </w:rPr>
              <w:t>Houston</w:t>
            </w:r>
          </w:p>
        </w:tc>
        <w:tc>
          <w:tcPr>
            <w:tcW w:w="2000" w:type="dxa"/>
            <w:vAlign w:val="bottom"/>
          </w:tcPr>
          <w:p>
            <w:pPr>
              <w:ind w:left="60"/>
              <w:spacing w:after="0"/>
              <w:rPr>
                <w:sz w:val="20"/>
                <w:szCs w:val="20"/>
                <w:color w:val="auto"/>
              </w:rPr>
            </w:pPr>
            <w:r>
              <w:rPr>
                <w:rFonts w:ascii="Arial" w:cs="Arial" w:eastAsia="Arial" w:hAnsi="Arial"/>
                <w:sz w:val="18"/>
                <w:szCs w:val="18"/>
                <w:color w:val="auto"/>
              </w:rPr>
              <w:t>Singapore</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Intuitive Machines, Inc.</w:t>
            </w:r>
          </w:p>
        </w:tc>
        <w:tc>
          <w:tcPr>
            <w:tcW w:w="4560" w:type="dxa"/>
            <w:vAlign w:val="bottom"/>
          </w:tcPr>
          <w:p>
            <w:pPr>
              <w:ind w:left="2960"/>
              <w:spacing w:after="0"/>
              <w:rPr>
                <w:sz w:val="20"/>
                <w:szCs w:val="20"/>
                <w:color w:val="auto"/>
              </w:rPr>
            </w:pPr>
            <w:r>
              <w:rPr>
                <w:rFonts w:ascii="Arial" w:cs="Arial" w:eastAsia="Arial" w:hAnsi="Arial"/>
                <w:sz w:val="18"/>
                <w:szCs w:val="18"/>
                <w:color w:val="auto"/>
              </w:rPr>
              <w:t>London</w:t>
            </w:r>
          </w:p>
        </w:tc>
        <w:tc>
          <w:tcPr>
            <w:tcW w:w="2000" w:type="dxa"/>
            <w:vAlign w:val="bottom"/>
          </w:tcPr>
          <w:p>
            <w:pPr>
              <w:ind w:left="60"/>
              <w:spacing w:after="0"/>
              <w:rPr>
                <w:sz w:val="20"/>
                <w:szCs w:val="20"/>
                <w:color w:val="auto"/>
              </w:rPr>
            </w:pPr>
            <w:r>
              <w:rPr>
                <w:rFonts w:ascii="Arial" w:cs="Arial" w:eastAsia="Arial" w:hAnsi="Arial"/>
                <w:sz w:val="18"/>
                <w:szCs w:val="18"/>
                <w:color w:val="auto"/>
              </w:rPr>
              <w:t>Tel Aviv</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3700 Bay Area Blvd</w:t>
            </w:r>
          </w:p>
        </w:tc>
        <w:tc>
          <w:tcPr>
            <w:tcW w:w="4560" w:type="dxa"/>
            <w:vAlign w:val="bottom"/>
          </w:tcPr>
          <w:p>
            <w:pPr>
              <w:ind w:left="2960"/>
              <w:spacing w:after="0"/>
              <w:rPr>
                <w:sz w:val="20"/>
                <w:szCs w:val="20"/>
                <w:color w:val="auto"/>
              </w:rPr>
            </w:pPr>
            <w:r>
              <w:rPr>
                <w:rFonts w:ascii="Arial" w:cs="Arial" w:eastAsia="Arial" w:hAnsi="Arial"/>
                <w:sz w:val="18"/>
                <w:szCs w:val="18"/>
                <w:color w:val="auto"/>
              </w:rPr>
              <w:t>Los Angeles</w:t>
            </w:r>
          </w:p>
        </w:tc>
        <w:tc>
          <w:tcPr>
            <w:tcW w:w="2000" w:type="dxa"/>
            <w:vAlign w:val="bottom"/>
          </w:tcPr>
          <w:p>
            <w:pPr>
              <w:ind w:left="60"/>
              <w:spacing w:after="0"/>
              <w:rPr>
                <w:sz w:val="20"/>
                <w:szCs w:val="20"/>
                <w:color w:val="auto"/>
              </w:rPr>
            </w:pPr>
            <w:r>
              <w:rPr>
                <w:rFonts w:ascii="Arial" w:cs="Arial" w:eastAsia="Arial" w:hAnsi="Arial"/>
                <w:sz w:val="18"/>
                <w:szCs w:val="18"/>
                <w:color w:val="auto"/>
              </w:rPr>
              <w:t>Tokyo</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Houston, TX 77058</w:t>
            </w:r>
          </w:p>
        </w:tc>
        <w:tc>
          <w:tcPr>
            <w:tcW w:w="4560" w:type="dxa"/>
            <w:vAlign w:val="bottom"/>
          </w:tcPr>
          <w:p>
            <w:pPr>
              <w:ind w:left="2960"/>
              <w:spacing w:after="0"/>
              <w:rPr>
                <w:sz w:val="20"/>
                <w:szCs w:val="20"/>
                <w:color w:val="auto"/>
              </w:rPr>
            </w:pPr>
            <w:r>
              <w:rPr>
                <w:rFonts w:ascii="Arial" w:cs="Arial" w:eastAsia="Arial" w:hAnsi="Arial"/>
                <w:sz w:val="18"/>
                <w:szCs w:val="18"/>
                <w:color w:val="auto"/>
              </w:rPr>
              <w:t>Madrid</w:t>
            </w:r>
          </w:p>
        </w:tc>
        <w:tc>
          <w:tcPr>
            <w:tcW w:w="2000" w:type="dxa"/>
            <w:vAlign w:val="bottom"/>
          </w:tcPr>
          <w:p>
            <w:pPr>
              <w:ind w:left="60"/>
              <w:spacing w:after="0"/>
              <w:rPr>
                <w:sz w:val="20"/>
                <w:szCs w:val="20"/>
                <w:color w:val="auto"/>
              </w:rPr>
            </w:pPr>
            <w:r>
              <w:rPr>
                <w:rFonts w:ascii="Arial" w:cs="Arial" w:eastAsia="Arial" w:hAnsi="Arial"/>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240030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2400300" cy="1543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Intuitive Machines, Inc. –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set forth above: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acted as special counsel to Intuitive Machines,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its filing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registration statement on Form S-1 (as amended,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relating to the registration of the offer and sale from time to time, in each case,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selling securityholders named in the Registration Statement (the “</w:t>
      </w:r>
      <w:r>
        <w:rPr>
          <w:rFonts w:ascii="Arial" w:cs="Arial" w:eastAsia="Arial" w:hAnsi="Arial"/>
          <w:sz w:val="18"/>
          <w:szCs w:val="18"/>
          <w:b w:val="1"/>
          <w:bCs w:val="1"/>
          <w:i w:val="1"/>
          <w:iCs w:val="1"/>
          <w:color w:val="auto"/>
        </w:rPr>
        <w:t>Selling Securityholders</w:t>
      </w:r>
      <w:r>
        <w:rPr>
          <w:rFonts w:ascii="Arial" w:cs="Arial" w:eastAsia="Arial" w:hAnsi="Arial"/>
          <w:sz w:val="18"/>
          <w:szCs w:val="18"/>
          <w:color w:val="auto"/>
        </w:rPr>
        <w:t>”) of (i) 91,135,338 shares of class A common stock, par value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of the Company, (ii) 6,845,000 warrants (the “</w:t>
      </w:r>
      <w:r>
        <w:rPr>
          <w:rFonts w:ascii="Arial" w:cs="Arial" w:eastAsia="Arial" w:hAnsi="Arial"/>
          <w:sz w:val="18"/>
          <w:szCs w:val="18"/>
          <w:b w:val="1"/>
          <w:bCs w:val="1"/>
          <w:i w:val="1"/>
          <w:iCs w:val="1"/>
          <w:color w:val="auto"/>
        </w:rPr>
        <w:t>Resale Warrants</w:t>
      </w:r>
      <w:r>
        <w:rPr>
          <w:rFonts w:ascii="Arial" w:cs="Arial" w:eastAsia="Arial" w:hAnsi="Arial"/>
          <w:sz w:val="18"/>
          <w:szCs w:val="18"/>
          <w:color w:val="auto"/>
        </w:rPr>
        <w:t>”) to acquire shares of Class A Common Stock, which warrants were issued pursuant to that certain Warrant Agreement, dated as of September 24, 2021, between the Company and Continental Stock Transfer &amp; Trust Company, as warrant agent (as amended,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and (iii) 23,332,500 shares of Class A Common Stock upon the exercise of outstanding Resale Warrants and public warrants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Resale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91,135,338 shares of Class A Common Stock consists of (a) an aggregate of 11,981,250 outstanding shares (the “</w:t>
      </w:r>
      <w:r>
        <w:rPr>
          <w:rFonts w:ascii="Arial" w:cs="Arial" w:eastAsia="Arial" w:hAnsi="Arial"/>
          <w:sz w:val="16"/>
          <w:szCs w:val="16"/>
          <w:b w:val="1"/>
          <w:bCs w:val="1"/>
          <w:i w:val="1"/>
          <w:iCs w:val="1"/>
          <w:color w:val="auto"/>
        </w:rPr>
        <w:t>Resale Shares</w:t>
      </w:r>
      <w:r>
        <w:rPr>
          <w:rFonts w:ascii="Arial" w:cs="Arial" w:eastAsia="Arial" w:hAnsi="Arial"/>
          <w:sz w:val="16"/>
          <w:szCs w:val="16"/>
          <w:color w:val="auto"/>
        </w:rPr>
        <w:t>”) of Class A Common Stock issued in connection to that certain business combination agreement, dated as of September 16, 2022 (the “</w:t>
      </w:r>
      <w:r>
        <w:rPr>
          <w:rFonts w:ascii="Arial" w:cs="Arial" w:eastAsia="Arial" w:hAnsi="Arial"/>
          <w:sz w:val="16"/>
          <w:szCs w:val="16"/>
          <w:b w:val="1"/>
          <w:bCs w:val="1"/>
          <w:i w:val="1"/>
          <w:iCs w:val="1"/>
          <w:color w:val="auto"/>
        </w:rPr>
        <w:t>Transaction Agreement</w:t>
      </w:r>
      <w:r>
        <w:rPr>
          <w:rFonts w:ascii="Arial" w:cs="Arial" w:eastAsia="Arial" w:hAnsi="Arial"/>
          <w:sz w:val="16"/>
          <w:szCs w:val="16"/>
          <w:color w:val="auto"/>
        </w:rPr>
        <w:t>”), by and between the Company (formerly known as Inflection Point Acquisition Corp.) and Intuitive Machines, LLC (“</w:t>
      </w:r>
      <w:r>
        <w:rPr>
          <w:rFonts w:ascii="Arial" w:cs="Arial" w:eastAsia="Arial" w:hAnsi="Arial"/>
          <w:sz w:val="16"/>
          <w:szCs w:val="16"/>
          <w:b w:val="1"/>
          <w:bCs w:val="1"/>
          <w:i w:val="1"/>
          <w:iCs w:val="1"/>
          <w:color w:val="auto"/>
        </w:rPr>
        <w:t>Intuitive Machines OpCo</w:t>
      </w:r>
      <w:r>
        <w:rPr>
          <w:rFonts w:ascii="Arial" w:cs="Arial" w:eastAsia="Arial" w:hAnsi="Arial"/>
          <w:sz w:val="16"/>
          <w:szCs w:val="16"/>
          <w:color w:val="auto"/>
        </w:rPr>
        <w:t>”), (b) up to 68,150,754 shares (the “</w:t>
      </w:r>
      <w:r>
        <w:rPr>
          <w:rFonts w:ascii="Arial" w:cs="Arial" w:eastAsia="Arial" w:hAnsi="Arial"/>
          <w:sz w:val="16"/>
          <w:szCs w:val="16"/>
          <w:b w:val="1"/>
          <w:bCs w:val="1"/>
          <w:i w:val="1"/>
          <w:iCs w:val="1"/>
          <w:color w:val="auto"/>
        </w:rPr>
        <w:t>Exchange Shares</w:t>
      </w:r>
      <w:r>
        <w:rPr>
          <w:rFonts w:ascii="Arial" w:cs="Arial" w:eastAsia="Arial" w:hAnsi="Arial"/>
          <w:sz w:val="16"/>
          <w:szCs w:val="16"/>
          <w:color w:val="auto"/>
        </w:rPr>
        <w:t>”) of Class A Common Stock that may be issued upon the redemption or exchange of an equal number of common units of Intuitive Machines OpCo (the “</w:t>
      </w:r>
      <w:r>
        <w:rPr>
          <w:rFonts w:ascii="Arial" w:cs="Arial" w:eastAsia="Arial" w:hAnsi="Arial"/>
          <w:sz w:val="16"/>
          <w:szCs w:val="16"/>
          <w:b w:val="1"/>
          <w:bCs w:val="1"/>
          <w:i w:val="1"/>
          <w:iCs w:val="1"/>
          <w:color w:val="auto"/>
        </w:rPr>
        <w:t>Intuitive Machines OpCo Units</w:t>
      </w:r>
      <w:r>
        <w:rPr>
          <w:rFonts w:ascii="Arial" w:cs="Arial" w:eastAsia="Arial" w:hAnsi="Arial"/>
          <w:sz w:val="16"/>
          <w:szCs w:val="16"/>
          <w:color w:val="auto"/>
        </w:rPr>
        <w:t>”) and the possible resale from time to time of some or all of the Exchange Shares by the Selling Securityholders ,(c) up to 2,166,667 shares of Class A Common Stock upon the conversion of 26,000 shares of series A preferred stock (the “</w:t>
      </w:r>
      <w:r>
        <w:rPr>
          <w:rFonts w:ascii="Arial" w:cs="Arial" w:eastAsia="Arial" w:hAnsi="Arial"/>
          <w:sz w:val="16"/>
          <w:szCs w:val="16"/>
          <w:b w:val="1"/>
          <w:bCs w:val="1"/>
          <w:i w:val="1"/>
          <w:iCs w:val="1"/>
          <w:color w:val="auto"/>
        </w:rPr>
        <w:t>Series A Preferred Shares</w:t>
      </w:r>
      <w:r>
        <w:rPr>
          <w:rFonts w:ascii="Arial" w:cs="Arial" w:eastAsia="Arial" w:hAnsi="Arial"/>
          <w:sz w:val="16"/>
          <w:szCs w:val="16"/>
          <w:color w:val="auto"/>
        </w:rPr>
        <w:t>”), (d) up to 541,667 shares of Class A Common Stock upon the exercise of the preferred investor warrants (the “</w:t>
      </w:r>
      <w:r>
        <w:rPr>
          <w:rFonts w:ascii="Arial" w:cs="Arial" w:eastAsia="Arial" w:hAnsi="Arial"/>
          <w:sz w:val="16"/>
          <w:szCs w:val="16"/>
          <w:b w:val="1"/>
          <w:bCs w:val="1"/>
          <w:i w:val="1"/>
          <w:iCs w:val="1"/>
          <w:color w:val="auto"/>
        </w:rPr>
        <w:t>Preferred Investor Warrant Shares</w:t>
      </w:r>
      <w:r>
        <w:rPr>
          <w:rFonts w:ascii="Arial" w:cs="Arial" w:eastAsia="Arial" w:hAnsi="Arial"/>
          <w:sz w:val="16"/>
          <w:szCs w:val="16"/>
          <w:color w:val="auto"/>
        </w:rPr>
        <w:t>”), (e) 6,845,000 shares of Class A Common Stock underlying the Private Placement Warrants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Warrants Shares</w:t>
      </w:r>
      <w:r>
        <w:rPr>
          <w:rFonts w:ascii="Arial" w:cs="Arial" w:eastAsia="Arial" w:hAnsi="Arial"/>
          <w:sz w:val="16"/>
          <w:szCs w:val="16"/>
          <w:color w:val="auto"/>
        </w:rPr>
        <w:t>”) and (f) 1,450,000 shares of Class A Common Stock underlying the Public Warrants (the “</w:t>
      </w:r>
      <w:r>
        <w:rPr>
          <w:rFonts w:ascii="Arial" w:cs="Arial" w:eastAsia="Arial" w:hAnsi="Arial"/>
          <w:sz w:val="16"/>
          <w:szCs w:val="16"/>
          <w:b w:val="1"/>
          <w:bCs w:val="1"/>
          <w:i w:val="1"/>
          <w:iCs w:val="1"/>
          <w:color w:val="auto"/>
        </w:rPr>
        <w:t>Public Warrants Shares</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other than as expressly stated herein with respect to the offer, sale or issuance, as applicable, of the Resale Shares, Resale Warrants, Exchange Shares, Warrant Shares, Series A Preferred Shares, Preferred Investor Warrant Shares, Private Placement Warrant Shares and Public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March 30,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21431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with respect to the opinions set forth in numbered paragraph 2,4, 6, 7 and 8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left="1300" w:right="20" w:hanging="320"/>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Resale Shares have been duly authorized by all necessary corporate action of the Company and are validly issued, fully paid and nonassessable.</w:t>
      </w:r>
    </w:p>
    <w:p>
      <w:pPr>
        <w:spacing w:after="0" w:line="170"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Resale Warrants have been duly authorized by all necessary corporate action of the Company and are the legally valid and binding obligations of the Company, enforceable against the Company in accordance with the terms of the Warrants and the Warrant Agreement.</w:t>
      </w:r>
    </w:p>
    <w:p>
      <w:pPr>
        <w:spacing w:after="0" w:line="123" w:lineRule="exact"/>
        <w:rPr>
          <w:rFonts w:ascii="Arial" w:cs="Arial" w:eastAsia="Arial" w:hAnsi="Arial"/>
          <w:sz w:val="16"/>
          <w:szCs w:val="16"/>
          <w:color w:val="auto"/>
        </w:rPr>
      </w:pPr>
    </w:p>
    <w:p>
      <w:pPr>
        <w:jc w:val="both"/>
        <w:ind w:left="1300" w:hanging="320"/>
        <w:spacing w:after="0" w:line="273"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When the Exchange Shares shall have been duly registered on the books of the transfer agent and registrar therefor in the name or on behalf of the applicable holders, and have been issued and delivered by the Company in connection with the redemption or exchange of Intuitive Machines OpCo Units for shares of Class A Common Stock in accordance with the Amended and Restated Operating Agreement of Intuitive Machines OpCo (as amended, the “</w:t>
      </w:r>
      <w:r>
        <w:rPr>
          <w:rFonts w:ascii="Arial" w:cs="Arial" w:eastAsia="Arial" w:hAnsi="Arial"/>
          <w:sz w:val="17"/>
          <w:szCs w:val="17"/>
          <w:b w:val="1"/>
          <w:bCs w:val="1"/>
          <w:i w:val="1"/>
          <w:iCs w:val="1"/>
          <w:color w:val="auto"/>
        </w:rPr>
        <w:t>Intuitive Machines Operating Agreement</w:t>
      </w:r>
      <w:r>
        <w:rPr>
          <w:rFonts w:ascii="Arial" w:cs="Arial" w:eastAsia="Arial" w:hAnsi="Arial"/>
          <w:sz w:val="17"/>
          <w:szCs w:val="17"/>
          <w:color w:val="auto"/>
        </w:rPr>
        <w:t>”) and in the manner contemplated by the Registration Statement, the issuance of the Exchange Shares will have been duly authorized by all necessary corporate action of the Company, and the Exchange Shares will be validly issued, fully paid and nonassessable.</w:t>
      </w:r>
    </w:p>
    <w:p>
      <w:pPr>
        <w:spacing w:after="0" w:line="177" w:lineRule="exact"/>
        <w:rPr>
          <w:rFonts w:ascii="Arial" w:cs="Arial" w:eastAsia="Arial" w:hAnsi="Arial"/>
          <w:sz w:val="17"/>
          <w:szCs w:val="17"/>
          <w:color w:val="auto"/>
        </w:rPr>
      </w:pPr>
    </w:p>
    <w:p>
      <w:pPr>
        <w:jc w:val="both"/>
        <w:ind w:left="1300" w:hanging="320"/>
        <w:spacing w:after="0" w:line="25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the Warrant Shares shall have been duly registered on the books of the transfer agent and registrar therefor in the name or on behalf of the applicable Warrant holders, and have been issued by the Company upon exercise of the Warrants against payment therefor (not less than par value) in the manner contemplated by the Registration Statement, the Warrants and the Warrant Agreement, the issuance of the Warrant Shares will have been duly authorized by all necessary corporate action of the Company, and the Warrant Shares will be validly issued, fully paid and nonassessable.</w:t>
      </w:r>
    </w:p>
    <w:p>
      <w:pPr>
        <w:spacing w:after="0" w:line="187"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the Series A Preferred Shares shall have been duly registered on the books of the transfer agent and registrar therefor in the name or on behalf of the recipients thereof, and have been issued by the Company against payment therefor (not less than par value) in the circumstances contemplated by the Registration Statement and the Transaction Agreement, the issuance of the Series A Preferred Shares will have been duly authorized by all necessary corporate action of the Company, and the Series A Preferred Shares will be validly issued, fully paid and nonassessable.</w:t>
      </w:r>
    </w:p>
    <w:p>
      <w:pPr>
        <w:spacing w:after="0" w:line="187" w:lineRule="exact"/>
        <w:rPr>
          <w:rFonts w:ascii="Arial" w:cs="Arial" w:eastAsia="Arial" w:hAnsi="Arial"/>
          <w:sz w:val="18"/>
          <w:szCs w:val="18"/>
          <w:color w:val="auto"/>
        </w:rPr>
      </w:pPr>
    </w:p>
    <w:p>
      <w:pPr>
        <w:jc w:val="both"/>
        <w:ind w:left="1300" w:hanging="320"/>
        <w:spacing w:after="0" w:line="296"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When the Preferred Investor Warrant Shares shall have been duly registered on the books of the transfer agent and registrar therefor in the name or on behalf of the applicable preferred investor warrant holders, and have been issued by the Company upon exercise of the preferred investor warrants against payment therefor (not less than par value) in the manner contemplated by the Registration Statement and the preferred investor warrants, the issuance of the Preferred Investor Warrant Shares will have been duly authorized by all necessary corporate action of the Company, and the Preferred Investor Warrant Shares will be validly issued, fully paid and nonassessable.</w:t>
      </w:r>
    </w:p>
    <w:p>
      <w:pPr>
        <w:spacing w:after="0" w:line="161"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Private Placement Warrant Shares have been duly authorized by all necessary corporate action of the Company and are validly issued, fully paid and nonassessable</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Public Warrant Shares have been duly authorized by all necessary corporate action of the Company and are validly issued, fully paid and nonassessable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rendering the foregoing opinions, we have assumed that (i) at or prior to the time of the delivery of any Resale Shares, Resale Warrants, Exchange Shares, Warrant Shares, Series A Preferred Shares, Preferred Investor Warrant Shares, Private Placement Warrant or Public Warrant Shares, as applicable, the Registration Statement will have been declared effective under the Act and that the registration will apply to all of the Resale Shares, Resale Warrants, Exchange Shares, Warrant Shares, Series A Preferred Shares, Preferred Investor Warrant Shares, Private Placement Warrant or Public Warrant Shares, and will not have been modified or rescinded and that there will not have occurred any change in law affecting the validity of the offer, sale or issuance of such Resale Shares, Resale Warrants, Exchange Shares, Warrant Shares, Series A Preferred Shares, Preferred Investor Warrant Shares, Private Placement Warrant or Public Warrant Shares, as applicable, and (ii) the Company will comply with all applicable notice requirements regarding uncertificated shares provided in the DGCL.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March 30,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21431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opinions set forth in numbered paragraph 2 are subject to:</w:t>
      </w:r>
    </w:p>
    <w:p>
      <w:pPr>
        <w:spacing w:after="0" w:line="225" w:lineRule="exact"/>
        <w:rPr>
          <w:sz w:val="20"/>
          <w:szCs w:val="20"/>
          <w:color w:val="auto"/>
        </w:rPr>
      </w:pPr>
    </w:p>
    <w:p>
      <w:pPr>
        <w:ind w:left="1300" w:hanging="644"/>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 of bankruptcy, insolvency, reorganization, preference, fraudulent transfer, moratorium or other similar laws relating to or affecting the rights and remedies of creditors;</w:t>
      </w:r>
    </w:p>
    <w:p>
      <w:pPr>
        <w:spacing w:after="0" w:line="17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invalidity under certain circumstances under law or court decisions of provisions providing for the indemnification of or contribution to a party with respect to a liability where such indemnification or contribution is contrary to public policy.</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opinions set forth above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w:t>
      </w:r>
    </w:p>
    <w:p>
      <w:pPr>
        <w:spacing w:after="0" w:line="5" w:lineRule="exact"/>
        <w:rPr>
          <w:sz w:val="20"/>
          <w:szCs w:val="20"/>
          <w:color w:val="auto"/>
        </w:rPr>
      </w:pPr>
    </w:p>
    <w:p>
      <w:pPr>
        <w:jc w:val="both"/>
        <w:ind w:firstLine="8"/>
        <w:spacing w:after="0" w:line="269" w:lineRule="auto"/>
        <w:tabs>
          <w:tab w:leader="none" w:pos="22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With your consent, we have assumed (a) that the Transaction Agreement, the Warrants, the Warrant Agreement and the Intuitive Machines Operating Agreement have been or will be duly authorized, executed and delivered by the parties thereto other than the Company, (b) that the Transaction Agreement, the Warrants, the Warrant Agreement and the Intuitive Machines Operating Agreement constitute or will constitute legally valid and binding obligations of the parties thereto other than the Company, enforceable against each of them in accordance with their respective terms, and (c) that the status of the Transaction Agreement, the Warrants, the Warrant Agreement and the Intuitive Machines Operating Agreement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proxy statement/prospectus under the heading “Legal Matters.” We further consent to the incorporation by reference of this letter and consent into any registration statement filed pursuant to Rule 462(b) under the Act with respect to the Resale Shares, Resale Warrants, Exchange Shares, Warrant Shares, Series A Preferred Shares, Preferred Investor Warrant Shares, Private Placement Warrant and Public Warrant Shares. In giving such consent, we do not thereby admit that we are in the category of persons whose consent is required under Section 7 of the Act or the rules and regulations of the Commission thereunder.</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Jurisdiction of incorporation</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Intuitive Aviation, Inc.</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Space Network Solutions, LLC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IX, LLC</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1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inclusion in this Registration Statement of Intuitive Machines, Inc. (formerly known as Inflection Point Acquisition Corp.) on Form S-1 of our report dated March 30, 2023</w:t>
      </w:r>
      <w:r>
        <w:rPr>
          <w:rFonts w:ascii="Arial" w:cs="Arial" w:eastAsia="Arial" w:hAnsi="Arial"/>
          <w:sz w:val="18"/>
          <w:szCs w:val="18"/>
          <w:b w:val="1"/>
          <w:bCs w:val="1"/>
          <w:color w:val="auto"/>
        </w:rPr>
        <w:t>,</w:t>
      </w:r>
      <w:r>
        <w:rPr>
          <w:rFonts w:ascii="Arial" w:cs="Arial" w:eastAsia="Arial" w:hAnsi="Arial"/>
          <w:sz w:val="18"/>
          <w:szCs w:val="18"/>
          <w:color w:val="auto"/>
        </w:rPr>
        <w:t xml:space="preserve"> with respect to our audits of the financial statements of Inflection Point Acquisition Corp. (now known as Intuitive Machines, Inc.) as of December 31, 2022 and 2021, the related statements of operations, stockholders’ equity and cash flows for the year ended December 31, 2022 and for the period from January 27, 2021 (inception) through December 31, 2021, which report appears in the Prospectus, which is part of this Registration Statement. We were dismissed as auditors on February 13, 2023, effective immediately following the filing of the Intuitive Machines, Inc. yearly report on Form 10-K for the year ended December 31, 2022, which consists only of the accounts of the pre-Business Combination special purpose acquisition company, Inflection Point Acquisition Corp.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March 30, 2023, with respect to the consolidated financial statements of Intuitive Machines, LLC contained in this Registration Statement and Prospectus. We consent to the use of the aforementioned report in this Registration Statement and Prospectus, and to the use of our name as it appears under the caption “Experts.”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ectPr>
          <w:pgSz w:w="11900" w:h="16838" w:orient="portrait"/>
          <w:cols w:equalWidth="0" w:num="1">
            <w:col w:w="11240"/>
          </w:cols>
          <w:pgMar w:left="320" w:top="121"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MACHINES,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8"/>
          </w:tcPr>
          <w:p>
            <w:pPr>
              <w:spacing w:after="0"/>
              <w:rPr>
                <w:sz w:val="20"/>
                <w:szCs w:val="20"/>
                <w:color w:val="auto"/>
              </w:rPr>
            </w:pPr>
            <w:r>
              <w:rPr>
                <w:rFonts w:ascii="Arial" w:cs="Arial" w:eastAsia="Arial" w:hAnsi="Arial"/>
                <w:sz w:val="18"/>
                <w:szCs w:val="18"/>
                <w:color w:val="auto"/>
              </w:rPr>
              <w:t>Table 1: Newly Registered Securities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Calculation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7"/>
              </w:rPr>
              <w:t>or Carry</w:t>
            </w: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Amount of</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0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Security</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Security Class</w:t>
            </w:r>
          </w:p>
        </w:tc>
        <w:tc>
          <w:tcPr>
            <w:tcW w:w="1180" w:type="dxa"/>
            <w:vAlign w:val="bottom"/>
            <w:gridSpan w:val="3"/>
          </w:tcPr>
          <w:p>
            <w:pPr>
              <w:jc w:val="center"/>
              <w:ind w:right="300"/>
              <w:spacing w:after="0" w:line="181" w:lineRule="exact"/>
              <w:rPr>
                <w:sz w:val="20"/>
                <w:szCs w:val="20"/>
                <w:color w:val="auto"/>
              </w:rPr>
            </w:pPr>
            <w:r>
              <w:rPr>
                <w:rFonts w:ascii="Arial" w:cs="Arial" w:eastAsia="Arial" w:hAnsi="Arial"/>
                <w:sz w:val="18"/>
                <w:szCs w:val="18"/>
                <w:b w:val="1"/>
                <w:bCs w:val="1"/>
                <w:color w:val="auto"/>
                <w:w w:val="95"/>
              </w:rPr>
              <w:t>Forward</w:t>
            </w:r>
          </w:p>
        </w:tc>
        <w:tc>
          <w:tcPr>
            <w:tcW w:w="1300" w:type="dxa"/>
            <w:vAlign w:val="bottom"/>
            <w:gridSpan w:val="2"/>
            <w:vMerge w:val="continue"/>
          </w:tcPr>
          <w:p>
            <w:pPr>
              <w:spacing w:after="0"/>
              <w:rPr>
                <w:sz w:val="15"/>
                <w:szCs w:val="15"/>
                <w:color w:val="auto"/>
              </w:rPr>
            </w:pPr>
          </w:p>
        </w:tc>
        <w:tc>
          <w:tcPr>
            <w:tcW w:w="1100" w:type="dxa"/>
            <w:vAlign w:val="bottom"/>
            <w:gridSpan w:val="4"/>
          </w:tcPr>
          <w:p>
            <w:pPr>
              <w:jc w:val="center"/>
              <w:ind w:right="300"/>
              <w:spacing w:after="0" w:line="181" w:lineRule="exact"/>
              <w:rPr>
                <w:sz w:val="20"/>
                <w:szCs w:val="20"/>
                <w:color w:val="auto"/>
              </w:rPr>
            </w:pPr>
            <w:r>
              <w:rPr>
                <w:rFonts w:ascii="Arial" w:cs="Arial" w:eastAsia="Arial" w:hAnsi="Arial"/>
                <w:sz w:val="18"/>
                <w:szCs w:val="18"/>
                <w:b w:val="1"/>
                <w:bCs w:val="1"/>
                <w:color w:val="auto"/>
                <w:w w:val="92"/>
              </w:rPr>
              <w:t>Price Per</w:t>
            </w:r>
          </w:p>
        </w:tc>
        <w:tc>
          <w:tcPr>
            <w:tcW w:w="120" w:type="dxa"/>
            <w:vAlign w:val="bottom"/>
          </w:tcPr>
          <w:p>
            <w:pPr>
              <w:spacing w:after="0"/>
              <w:rPr>
                <w:sz w:val="15"/>
                <w:szCs w:val="15"/>
                <w:color w:val="auto"/>
              </w:rPr>
            </w:pPr>
          </w:p>
        </w:tc>
        <w:tc>
          <w:tcPr>
            <w:tcW w:w="146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4"/>
              </w:rPr>
              <w:t>Offering</w:t>
            </w:r>
          </w:p>
        </w:tc>
        <w:tc>
          <w:tcPr>
            <w:tcW w:w="10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3"/>
              </w:rPr>
              <w:t>Fee</w:t>
            </w:r>
          </w:p>
        </w:tc>
        <w:tc>
          <w:tcPr>
            <w:tcW w:w="1140" w:type="dxa"/>
            <w:vAlign w:val="bottom"/>
            <w:gridSpan w:val="4"/>
          </w:tcPr>
          <w:p>
            <w:pPr>
              <w:ind w:left="100"/>
              <w:spacing w:after="0" w:line="181" w:lineRule="exact"/>
              <w:rPr>
                <w:sz w:val="20"/>
                <w:szCs w:val="20"/>
                <w:color w:val="auto"/>
              </w:rPr>
            </w:pPr>
            <w:r>
              <w:rPr>
                <w:rFonts w:ascii="Arial" w:cs="Arial" w:eastAsia="Arial" w:hAnsi="Arial"/>
                <w:sz w:val="18"/>
                <w:szCs w:val="18"/>
                <w:b w:val="1"/>
                <w:bCs w:val="1"/>
                <w:color w:val="auto"/>
                <w:w w:val="97"/>
              </w:rPr>
              <w:t>Registration</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Type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Title</w:t>
            </w: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Rule</w:t>
            </w:r>
          </w:p>
        </w:tc>
        <w:tc>
          <w:tcPr>
            <w:tcW w:w="1300" w:type="dxa"/>
            <w:vAlign w:val="bottom"/>
            <w:gridSpan w:val="2"/>
          </w:tcPr>
          <w:p>
            <w:pPr>
              <w:jc w:val="right"/>
              <w:ind w:right="300"/>
              <w:spacing w:after="0" w:line="27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160" w:type="dxa"/>
            <w:vAlign w:val="bottom"/>
          </w:tcPr>
          <w:p>
            <w:pPr>
              <w:spacing w:after="0"/>
              <w:rPr>
                <w:sz w:val="24"/>
                <w:szCs w:val="24"/>
                <w:color w:val="auto"/>
              </w:rPr>
            </w:pPr>
          </w:p>
        </w:tc>
        <w:tc>
          <w:tcPr>
            <w:tcW w:w="9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7"/>
              </w:rPr>
              <w:t>Unit</w:t>
            </w:r>
          </w:p>
        </w:tc>
        <w:tc>
          <w:tcPr>
            <w:tcW w:w="1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188"/>
        </w:trPr>
        <w:tc>
          <w:tcPr>
            <w:tcW w:w="1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Fees to Be</w:t>
            </w:r>
          </w:p>
        </w:tc>
        <w:tc>
          <w:tcPr>
            <w:tcW w:w="10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Class A Common</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Paid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Stock, par value</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$0.0001 per share</w:t>
            </w: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457(c)</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91,135,338(2)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1,029,601,481.06</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$ 0.00011020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113,462.08</w:t>
            </w: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Fees to Be</w:t>
            </w:r>
          </w:p>
        </w:tc>
        <w:tc>
          <w:tcPr>
            <w:tcW w:w="11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Other</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Warrants to</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Paid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purchase shares of</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Class A Common</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Stock, par value</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$0.0001 per share</w:t>
            </w:r>
          </w:p>
        </w:tc>
        <w:tc>
          <w:tcPr>
            <w:tcW w:w="38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457(c)</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8,295,000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0.64(4)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5,278,938.00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$ 0.00011020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581.74</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to Be</w:t>
            </w:r>
          </w:p>
        </w:tc>
        <w:tc>
          <w:tcPr>
            <w:tcW w:w="11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Equity</w:t>
            </w:r>
          </w:p>
        </w:tc>
        <w:tc>
          <w:tcPr>
            <w:tcW w:w="15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Class A Common</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Paid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Stock, par value</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120"/>
              <w:spacing w:after="0" w:line="267" w:lineRule="exact"/>
              <w:rPr>
                <w:sz w:val="20"/>
                <w:szCs w:val="20"/>
                <w:color w:val="auto"/>
              </w:rPr>
            </w:pPr>
            <w:r>
              <w:rPr>
                <w:rFonts w:ascii="Arial" w:cs="Arial" w:eastAsia="Arial" w:hAnsi="Arial"/>
                <w:sz w:val="18"/>
                <w:szCs w:val="18"/>
                <w:color w:val="auto"/>
                <w:w w:val="85"/>
              </w:rPr>
              <w:t>$0.0001 per share</w:t>
            </w:r>
            <w:r>
              <w:rPr>
                <w:rFonts w:ascii="Arial" w:cs="Arial" w:eastAsia="Arial" w:hAnsi="Arial"/>
                <w:sz w:val="29"/>
                <w:szCs w:val="29"/>
                <w:color w:val="auto"/>
                <w:w w:val="85"/>
                <w:vertAlign w:val="superscript"/>
              </w:rPr>
              <w:t>(5)</w:t>
            </w:r>
          </w:p>
        </w:tc>
        <w:tc>
          <w:tcPr>
            <w:tcW w:w="3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457(g)</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23,332,500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268,323,750.00</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$ 0.00011020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29,569.28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jc w:val="center"/>
              <w:ind w:left="1410"/>
              <w:spacing w:after="0"/>
              <w:rPr>
                <w:sz w:val="20"/>
                <w:szCs w:val="20"/>
                <w:color w:val="auto"/>
              </w:rPr>
            </w:pPr>
            <w:r>
              <w:rPr>
                <w:rFonts w:ascii="Arial" w:cs="Arial" w:eastAsia="Arial" w:hAnsi="Arial"/>
                <w:sz w:val="18"/>
                <w:szCs w:val="18"/>
                <w:color w:val="auto"/>
                <w:w w:val="92"/>
              </w:rPr>
              <w:t>Total Offering Amounts</w:t>
            </w:r>
          </w:p>
        </w:tc>
        <w:tc>
          <w:tcPr>
            <w:tcW w:w="3440" w:type="dxa"/>
            <w:vAlign w:val="bottom"/>
          </w:tcPr>
          <w:p>
            <w:pPr>
              <w:jc w:val="right"/>
              <w:ind w:right="590"/>
              <w:spacing w:after="0"/>
              <w:rPr>
                <w:sz w:val="20"/>
                <w:szCs w:val="20"/>
                <w:color w:val="auto"/>
              </w:rPr>
            </w:pPr>
            <w:r>
              <w:rPr>
                <w:rFonts w:ascii="Arial" w:cs="Arial" w:eastAsia="Arial" w:hAnsi="Arial"/>
                <w:sz w:val="18"/>
                <w:szCs w:val="18"/>
                <w:color w:val="auto"/>
              </w:rPr>
              <w:t>$ 1,303,204,169.06</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$ 143,613.10</w:t>
            </w:r>
          </w:p>
        </w:tc>
      </w:tr>
      <w:tr>
        <w:trPr>
          <w:trHeight w:val="216"/>
        </w:trPr>
        <w:tc>
          <w:tcPr>
            <w:tcW w:w="610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89"/>
              </w:rPr>
              <w:t>Total Fees Previously Paid</w:t>
            </w:r>
          </w:p>
        </w:tc>
        <w:tc>
          <w:tcPr>
            <w:tcW w:w="34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jc w:val="center"/>
              <w:ind w:left="1410"/>
              <w:spacing w:after="0"/>
              <w:rPr>
                <w:sz w:val="20"/>
                <w:szCs w:val="20"/>
                <w:color w:val="auto"/>
              </w:rPr>
            </w:pPr>
            <w:r>
              <w:rPr>
                <w:rFonts w:ascii="Arial" w:cs="Arial" w:eastAsia="Arial" w:hAnsi="Arial"/>
                <w:sz w:val="18"/>
                <w:szCs w:val="18"/>
                <w:color w:val="auto"/>
                <w:w w:val="89"/>
              </w:rPr>
              <w:t>Total Fee Offsets</w:t>
            </w:r>
          </w:p>
        </w:tc>
        <w:tc>
          <w:tcPr>
            <w:tcW w:w="3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88"/>
              </w:rPr>
              <w:t>Net Fee Due</w:t>
            </w:r>
          </w:p>
        </w:tc>
        <w:tc>
          <w:tcPr>
            <w:tcW w:w="34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$ 1,303,204,169.06</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$ 143,613.10</w:t>
            </w:r>
          </w:p>
        </w:tc>
      </w:tr>
    </w:tbl>
    <w:p>
      <w:pPr>
        <w:spacing w:after="0" w:line="202" w:lineRule="exact"/>
        <w:rPr>
          <w:sz w:val="20"/>
          <w:szCs w:val="20"/>
          <w:color w:val="auto"/>
        </w:rPr>
      </w:pPr>
    </w:p>
    <w:p>
      <w:pPr>
        <w:jc w:val="both"/>
        <w:ind w:left="460" w:hanging="452"/>
        <w:spacing w:after="0" w:line="263"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registrant is also registering an indeterminate number of additional shares of common stock that may become issuable as a result of any stock dividend, stock split, recapitalization or other similar transaction.</w:t>
      </w:r>
    </w:p>
    <w:p>
      <w:pPr>
        <w:spacing w:after="0" w:line="183" w:lineRule="exact"/>
        <w:rPr>
          <w:rFonts w:ascii="Arial" w:cs="Arial" w:eastAsia="Arial" w:hAnsi="Arial"/>
          <w:sz w:val="18"/>
          <w:szCs w:val="18"/>
          <w:color w:val="auto"/>
        </w:rPr>
      </w:pPr>
    </w:p>
    <w:p>
      <w:pPr>
        <w:jc w:val="both"/>
        <w:ind w:left="460" w:hanging="452"/>
        <w:spacing w:after="0" w:line="273"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the sum of (a) 11,981,250 shares of Class A common stock, par value $0.0001 per share, of Intuitive Machines, Inc. (“Class A Common Stock”) issued in connection with the Transactions described the prospectus forming part of this registration statement, (b) 68,150,754 shares of Class A Common Stock issuable in exchange for common units of Intuitive Machines, LLC, (c) 2,166,667 shares of Class A Common Stock upon the conversion of 26,000 shares of Series A Preferred Stock, (d) 541,667 shares of Class A Common Stock upon the exercise of the Preferred Investor Warrants (as defined in the prospectus), (e) 6,845,000 shares of Class A Common Stock underlying the Private Placement Warrants and (f) 1,450,000 shares of Class A Common Stock underlying the Public Warrants.</w:t>
      </w:r>
    </w:p>
    <w:p>
      <w:pPr>
        <w:spacing w:after="0" w:line="177"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Estimated solely for the purpose of calculating as the registration fee pursuant to Rule 457(c) promulgated under Securities Act based on the average of the high and low sales prices of shares of the registrant’s Class A Common Stock on The Nasdaq Stock Market LLC (“Nasdaq”) on March 27, 2023 (such date being within five business days prior to the date that this registration statement was filed with the U.S. Securities and Exchange Commission).</w:t>
      </w:r>
    </w:p>
    <w:p>
      <w:pPr>
        <w:spacing w:after="0" w:line="186"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redeemable warrants to purchase shares of Class A Common Stock (the “Warrants”) on Nasdaq on March 27, 2023 (such date being within five business days of the date that this registration statement was filed with the U.S. Securities and Exchange Commission).</w:t>
      </w:r>
    </w:p>
    <w:p>
      <w:pPr>
        <w:spacing w:after="0" w:line="171"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Reflects the shares of Class A Common Stock that may be issued upon exercise of outstanding Warrants, with each such Warrant exercisable for one share of Class A Common Stock, subject to adjustment, for an exercise price of $11.50 per share.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212"/>
    </w:lvl>
  </w:abstractNum>
  <w:abstractNum w:abstractNumId="1">
    <w:nsid w:val="275AC794"/>
    <w:multiLevelType w:val="hybridMultilevel"/>
    <w:lvl w:ilvl="0">
      <w:lvlJc w:val="left"/>
      <w:lvlText w:val="(%1)"/>
      <w:numFmt w:val="lowerRoman"/>
      <w:start w:val="3"/>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1)"/>
      <w:numFmt w:val="decimal"/>
      <w:start w:val="3"/>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lowerRoman"/>
      <w:start w:val="3"/>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2"/>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lowerRoman"/>
      <w:start w:val="1"/>
    </w:lvl>
  </w:abstractNum>
  <w:abstractNum w:abstractNumId="25">
    <w:nsid w:val="5DB70AE5"/>
    <w:multiLevelType w:val="hybridMultilevel"/>
    <w:lvl w:ilvl="0">
      <w:lvlJc w:val="left"/>
      <w:lvlText w:val="%1."/>
      <w:numFmt w:val="upperLetter"/>
      <w:start w:val="1"/>
    </w:lvl>
  </w:abstractNum>
  <w:abstractNum w:abstractNumId="26">
    <w:nsid w:val="100F8FCA"/>
    <w:multiLevelType w:val="hybridMultilevel"/>
    <w:lvl w:ilvl="0">
      <w:lvlJc w:val="left"/>
      <w:lvlText w:val="%1."/>
      <w:numFmt w:val="upperLetter"/>
      <w:start w:val="4"/>
    </w:lvl>
  </w:abstractNum>
  <w:abstractNum w:abstractNumId="27">
    <w:nsid w:val="6590700B"/>
    <w:multiLevelType w:val="hybridMultilevel"/>
    <w:lvl w:ilvl="0">
      <w:lvlJc w:val="left"/>
      <w:lvlText w:val="%1."/>
      <w:numFmt w:val="upperLetter"/>
      <w:start w:val="10"/>
    </w:lvl>
  </w:abstractNum>
  <w:abstractNum w:abstractNumId="28">
    <w:nsid w:val="15014ACB"/>
    <w:multiLevelType w:val="hybridMultilevel"/>
    <w:lvl w:ilvl="0">
      <w:lvlJc w:val="left"/>
      <w:lvlText w:val="%1."/>
      <w:numFmt w:val="decimal"/>
      <w:start w:val="3"/>
    </w:lvl>
  </w:abstractNum>
  <w:abstractNum w:abstractNumId="29">
    <w:nsid w:val="5F5E7FD0"/>
    <w:multiLevelType w:val="hybridMultilevel"/>
    <w:lvl w:ilvl="0">
      <w:lvlJc w:val="left"/>
      <w:lvlText w:val="%1."/>
      <w:numFmt w:val="upperLetter"/>
      <w:start w:val="27"/>
    </w:lvl>
  </w:abstractNum>
  <w:abstractNum w:abstractNumId="30">
    <w:nsid w:val="98A3148"/>
    <w:multiLevelType w:val="hybridMultilevel"/>
    <w:lvl w:ilvl="0">
      <w:lvlJc w:val="left"/>
      <w:lvlText w:val="%1."/>
      <w:numFmt w:val="upperLetter"/>
      <w:start w:val="29"/>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1)"/>
      <w:numFmt w:val="decimal"/>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3"/>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
      <w:numFmt w:val="bullet"/>
      <w:start w:val="1"/>
    </w:lvl>
    <w:lvl w:ilvl="1">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1)"/>
      <w:numFmt w:val="lowerRoman"/>
      <w:start w:val="4"/>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2"/>
    </w:lvl>
  </w:abstractNum>
  <w:abstractNum w:abstractNumId="57">
    <w:nsid w:val="100F59DC"/>
    <w:multiLevelType w:val="hybridMultilevel"/>
    <w:lvl w:ilvl="0">
      <w:lvlJc w:val="left"/>
      <w:lvlText w:val="(%1)"/>
      <w:numFmt w:val="decimal"/>
      <w:start w:val="8"/>
    </w:lvl>
  </w:abstractNum>
  <w:abstractNum w:abstractNumId="58">
    <w:nsid w:val="7FB7E0AA"/>
    <w:multiLevelType w:val="hybridMultilevel"/>
    <w:lvl w:ilvl="0">
      <w:lvlJc w:val="left"/>
      <w:lvlText w:val="(%1)"/>
      <w:numFmt w:val="lowerRoman"/>
      <w:start w:val="2"/>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decimal"/>
      <w:start w:val="2"/>
    </w:lvl>
    <w:lvl w:ilvl="1">
      <w:lvlJc w:val="left"/>
      <w:lvlText w:val="(%2)"/>
      <w:numFmt w:val="lowerRoman"/>
      <w:start w:val="2"/>
    </w:lvl>
  </w:abstractNum>
  <w:abstractNum w:abstractNumId="62">
    <w:nsid w:val="885E1B"/>
    <w:multiLevelType w:val="hybridMultilevel"/>
    <w:lvl w:ilvl="0">
      <w:lvlJc w:val="left"/>
      <w:lvlText w:val="%1"/>
      <w:numFmt w:val="decimal"/>
      <w:start w:val="1"/>
    </w:lvl>
    <w:lvl w:ilvl="1">
      <w:lvlJc w:val="left"/>
      <w:lvlText w:val="(%2)"/>
      <w:numFmt w:val="lowerRoman"/>
      <w:start w:val="4"/>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1)"/>
      <w:numFmt w:val="lowerRoman"/>
      <w:start w:val="2"/>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lowerRoman"/>
      <w:start w:val="3"/>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lowerRoman"/>
      <w:start w:val="2"/>
    </w:lvl>
  </w:abstractNum>
  <w:abstractNum w:abstractNumId="71">
    <w:nsid w:val="46B7D447"/>
    <w:multiLevelType w:val="hybridMultilevel"/>
    <w:lvl w:ilvl="0">
      <w:lvlJc w:val="left"/>
      <w:lvlText w:val="(%1)"/>
      <w:numFmt w:val="lowerRoman"/>
      <w:start w:val="2"/>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35"/>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1)"/>
      <w:numFmt w:val="lowerRoman"/>
      <w:start w:val="3"/>
    </w:lvl>
  </w:abstractNum>
  <w:abstractNum w:abstractNumId="83">
    <w:nsid w:val="50801EE1"/>
    <w:multiLevelType w:val="hybridMultilevel"/>
    <w:lvl w:ilvl="0">
      <w:lvlJc w:val="left"/>
      <w:lvlText w:val="(%1)"/>
      <w:numFmt w:val="lowerRoman"/>
      <w:start w:val="2"/>
    </w:lvl>
  </w:abstractNum>
  <w:abstractNum w:abstractNumId="84">
    <w:nsid w:val="488AC1A"/>
    <w:multiLevelType w:val="hybridMultilevel"/>
    <w:lvl w:ilvl="0">
      <w:lvlJc w:val="left"/>
      <w:lvlText w:val="(%1)"/>
      <w:numFmt w:val="lowerRoman"/>
      <w:start w:val="2"/>
    </w:lvl>
  </w:abstractNum>
  <w:abstractNum w:abstractNumId="85">
    <w:nsid w:val="5FB8011C"/>
    <w:multiLevelType w:val="hybridMultilevel"/>
    <w:lvl w:ilvl="0">
      <w:lvlJc w:val="left"/>
      <w:lvlText w:val="(%1)"/>
      <w:numFmt w:val="lowerRoman"/>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1)"/>
      <w:numFmt w:val="lowerRoman"/>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1)"/>
      <w:numFmt w:val="lowerRoman"/>
      <w:start w:val="1"/>
    </w:lvl>
  </w:abstractNum>
  <w:abstractNum w:abstractNumId="91">
    <w:nsid w:val="5F3534A4"/>
    <w:multiLevelType w:val="hybridMultilevel"/>
    <w:lvl w:ilvl="0">
      <w:lvlJc w:val="left"/>
      <w:lvlText w:val="(%1)"/>
      <w:numFmt w:val="lowerRoman"/>
      <w:start w:val="2"/>
    </w:lvl>
  </w:abstractNum>
  <w:abstractNum w:abstractNumId="92">
    <w:nsid w:val="73A1821B"/>
    <w:multiLevelType w:val="hybridMultilevel"/>
    <w:lvl w:ilvl="0">
      <w:lvlJc w:val="left"/>
      <w:lvlText w:val="(%1)"/>
      <w:numFmt w:val="lowerRoman"/>
      <w:start w:val="2"/>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1)"/>
      <w:numFmt w:val="lowerLetter"/>
      <w:start w:val="1"/>
    </w:lvl>
  </w:abstractNum>
  <w:abstractNum w:abstractNumId="98">
    <w:nsid w:val="71C91298"/>
    <w:multiLevelType w:val="hybridMultilevel"/>
    <w:lvl w:ilvl="0">
      <w:lvlJc w:val="left"/>
      <w:lvlText w:val="(%1)"/>
      <w:numFmt w:val="decimal"/>
      <w:start w:val="1"/>
    </w:lvl>
    <w:lvl w:ilvl="1">
      <w:lvlJc w:val="left"/>
      <w:lvlText w:val="(%2)"/>
      <w:numFmt w:val="lowerRoman"/>
      <w:start w:val="1"/>
    </w:lvl>
  </w:abstractNum>
  <w:abstractNum w:abstractNumId="99">
    <w:nsid w:val="9DAF6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00">
    <w:nsid w:val="5329993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2"/>
    </w:lvl>
  </w:abstractNum>
  <w:abstractNum w:abstractNumId="101">
    <w:nsid w:val="1FBFE8E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2">
    <w:nsid w:val="5092CA79"/>
    <w:multiLevelType w:val="hybridMultilevel"/>
    <w:lvl w:ilvl="0">
      <w:lvlJc w:val="left"/>
      <w:lvlText w:val="%1"/>
      <w:numFmt w:val="decimal"/>
      <w:start w:val="104"/>
    </w:lvl>
  </w:abstractNum>
  <w:abstractNum w:abstractNumId="103">
    <w:nsid w:val="1D545C4D"/>
    <w:multiLevelType w:val="hybridMultilevel"/>
    <w:lvl w:ilvl="0">
      <w:lvlJc w:val="left"/>
      <w:lvlText w:val="%1"/>
      <w:numFmt w:val="decimal"/>
      <w:start w:val="107"/>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lowerLetter"/>
      <w:start w:val="6"/>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3" Type="http://schemas.openxmlformats.org/officeDocument/2006/relationships/image" Target="media/image194.png"/><Relationship Id="rId206" Type="http://schemas.openxmlformats.org/officeDocument/2006/relationships/image" Target="media/image195.png"/><Relationship Id="rId209" Type="http://schemas.openxmlformats.org/officeDocument/2006/relationships/image" Target="media/image196.png"/><Relationship Id="rId211" Type="http://schemas.openxmlformats.org/officeDocument/2006/relationships/image" Target="media/image197.png"/><Relationship Id="rId214" Type="http://schemas.openxmlformats.org/officeDocument/2006/relationships/image" Target="media/image198.png"/><Relationship Id="rId217" Type="http://schemas.openxmlformats.org/officeDocument/2006/relationships/image" Target="media/image199.png"/><Relationship Id="rId220" Type="http://schemas.openxmlformats.org/officeDocument/2006/relationships/image" Target="media/image200.png"/><Relationship Id="rId223"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jpeg"/><Relationship Id="rId234" Type="http://schemas.openxmlformats.org/officeDocument/2006/relationships/image" Target="media/image208.png"/><Relationship Id="rId235" Type="http://schemas.openxmlformats.org/officeDocument/2006/relationships/image" Target="media/image209.jpeg"/><Relationship Id="rId236" Type="http://schemas.openxmlformats.org/officeDocument/2006/relationships/image" Target="media/image210.png"/><Relationship Id="rId237" Type="http://schemas.openxmlformats.org/officeDocument/2006/relationships/image" Target="media/image211.jpeg"/><Relationship Id="rId238" Type="http://schemas.openxmlformats.org/officeDocument/2006/relationships/image" Target="media/image212.png"/><Relationship Id="rId201" Type="http://schemas.openxmlformats.org/officeDocument/2006/relationships/hyperlink" Target="http://www.sec.gov/Archives/edgar/data/1844452/000121390023004052/fs42023a4_inflection.htm#T99971" TargetMode="External"/><Relationship Id="rId202" Type="http://schemas.openxmlformats.org/officeDocument/2006/relationships/hyperlink" Target="http://www.sec.gov/Archives/edgar/data/1844452/000121390023011495/ea173246ex3-1_intuitive.htm" TargetMode="External"/><Relationship Id="rId204" Type="http://schemas.openxmlformats.org/officeDocument/2006/relationships/hyperlink" Target="http://www.sec.gov/Archives/edgar/data/1844452/000121390023011495/ea173246ex3-2_intuitive.htm" TargetMode="External"/><Relationship Id="rId205" Type="http://schemas.openxmlformats.org/officeDocument/2006/relationships/hyperlink" Target="http://www.sec.gov/Archives/edgar/data/1844452/000121390023011495/ea173246ex3-3_intuitive.htm" TargetMode="External"/><Relationship Id="rId207" Type="http://schemas.openxmlformats.org/officeDocument/2006/relationships/hyperlink" Target="http://www.sec.gov/Archives/edgar/data/1844452/000121390021049811/ea147903ex4-1_inflec.htm" TargetMode="External"/><Relationship Id="rId208" Type="http://schemas.openxmlformats.org/officeDocument/2006/relationships/hyperlink" Target="http://www.sec.gov/Archives/edgar/data/1844452/000121390023002534/fs42023a3ex4-5_inflection.htm" TargetMode="External"/><Relationship Id="rId210" Type="http://schemas.openxmlformats.org/officeDocument/2006/relationships/hyperlink" Target="http://www.sec.gov/Archives/edgar/data/1844452/000121390021016709/fs12021a1ex4-3_inflection.htm" TargetMode="External"/><Relationship Id="rId212" Type="http://schemas.openxmlformats.org/officeDocument/2006/relationships/hyperlink" Target="http://www.sec.gov/Archives/edgar/data/1844452/000121390023011495/ea173246ex10-1_intuitive.htm" TargetMode="External"/><Relationship Id="rId213" Type="http://schemas.openxmlformats.org/officeDocument/2006/relationships/hyperlink" Target="http://www.sec.gov/Archives/edgar/data/1844452/000121390023011495/ea173246ex10-2_intuitive.htm" TargetMode="External"/><Relationship Id="rId215" Type="http://schemas.openxmlformats.org/officeDocument/2006/relationships/hyperlink" Target="http://www.sec.gov/Archives/edgar/data/1844452/000121390023011495/ea173246ex10-3_intuitive.htm" TargetMode="External"/><Relationship Id="rId216" Type="http://schemas.openxmlformats.org/officeDocument/2006/relationships/hyperlink" Target="http://www.sec.gov/Archives/edgar/data/1844452/000121390023011495/ea173246ex10-4_intuitive.htm" TargetMode="External"/><Relationship Id="rId218" Type="http://schemas.openxmlformats.org/officeDocument/2006/relationships/hyperlink" Target="http://www.sec.gov/Archives/edgar/data/1844452/000121390023011495/ea173246ex10-5_intuitive.htm" TargetMode="External"/><Relationship Id="rId219" Type="http://schemas.openxmlformats.org/officeDocument/2006/relationships/hyperlink" Target="http://www.sec.gov/Archives/edgar/data/1844452/000121390023004052/fs42023a4_inflection.htm#T99984" TargetMode="External"/><Relationship Id="rId221" Type="http://schemas.openxmlformats.org/officeDocument/2006/relationships/hyperlink" Target="https://www.sec.gov/Archives/edgar/data/1844452/000121390023011495/ea173246ex10-6_intuitive.htm" TargetMode="External"/><Relationship Id="rId222" Type="http://schemas.openxmlformats.org/officeDocument/2006/relationships/hyperlink" Target="http://www.sec.gov/Archives/edgar/data/1844452/000121390023011495/ea173246ex10-7_intuitive.htm" TargetMode="External"/><Relationship Id="rId224" Type="http://schemas.openxmlformats.org/officeDocument/2006/relationships/hyperlink" Target="http://www.sec.gov/Archives/edgar/data/1844452/000121390023011495/ea173246ex10-8_intuitive.htm" TargetMode="External"/><Relationship Id="rId225" Type="http://schemas.openxmlformats.org/officeDocument/2006/relationships/hyperlink" Target="http://www.sec.gov/Archives/edgar/data/1844452/000121390023011495/ea173246ex10-9_intuitive.htm" TargetMode="External"/><Relationship Id="rId228" Type="http://schemas.openxmlformats.org/officeDocument/2006/relationships/hyperlink" Target="http://www.sec.gov/Archives/edgar/data/1844452/000121390023011495/ea173246ex10-10_intuitive.htm" TargetMode="External"/><Relationship Id="rId229" Type="http://schemas.openxmlformats.org/officeDocument/2006/relationships/hyperlink" Target="http://www.sec.gov/Archives/edgar/data/1844452/000121390023011495/ea173246ex10-11_intui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2023-03-31T05:55:22Z</dcterms:created>
  <dcterms:modified xsi:type="dcterms:W3CDTF">2023-03-31T05:55:22Z</dcterms:modified>
</cp:coreProperties>
</file>