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60" w:after="16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60" w:after="283"/>
        <w:jc w:val="center"/>
        <w:rPr>
          <w:rFonts w:ascii="Lato;sans-serif" w:hAnsi="Lato;sans-serif"/>
          <w:b/>
          <w:color w:val="000000"/>
          <w:sz w:val="32"/>
        </w:rPr>
      </w:pPr>
      <w:r>
        <w:rPr>
          <w:rFonts w:ascii="Lato;sans-serif" w:hAnsi="Lato;sans-serif"/>
          <w:b/>
          <w:color w:val="000000"/>
          <w:sz w:val="32"/>
        </w:rPr>
        <w:t>UNITED STATES</w:t>
      </w:r>
    </w:p>
    <w:p>
      <w:pPr>
        <w:pStyle w:val="TextBody"/>
        <w:bidi w:val="0"/>
        <w:spacing w:lineRule="auto" w:line="312" w:before="0" w:after="0"/>
        <w:jc w:val="center"/>
        <w:rPr>
          <w:rFonts w:ascii="Lato;sans-serif" w:hAnsi="Lato;sans-serif"/>
          <w:b/>
          <w:color w:val="000000"/>
          <w:sz w:val="32"/>
        </w:rPr>
      </w:pPr>
      <w:r>
        <w:rPr>
          <w:rFonts w:ascii="Lato;sans-serif" w:hAnsi="Lato;sans-serif"/>
          <w:b/>
          <w:color w:val="000000"/>
          <w:sz w:val="32"/>
        </w:rPr>
        <w:t>SECURITIES AND EXCHANGE COMMISSION</w:t>
      </w:r>
    </w:p>
    <w:p>
      <w:pPr>
        <w:pStyle w:val="TextBody"/>
        <w:bidi w:val="0"/>
        <w:spacing w:lineRule="auto" w:line="312" w:before="0" w:after="0"/>
        <w:jc w:val="center"/>
        <w:rPr>
          <w:rFonts w:ascii="Lato;sans-serif" w:hAnsi="Lato;sans-serif"/>
          <w:b/>
          <w:color w:val="000000"/>
          <w:sz w:val="24"/>
        </w:rPr>
      </w:pPr>
      <w:r>
        <w:rPr>
          <w:rFonts w:ascii="Lato;sans-serif" w:hAnsi="Lato;sans-serif"/>
          <w:b/>
          <w:color w:val="000000"/>
          <w:sz w:val="24"/>
        </w:rPr>
        <w:t>WASHINGTON, D.C. 20549</w:t>
      </w:r>
    </w:p>
    <w:p>
      <w:pPr>
        <w:pStyle w:val="TextBody"/>
        <w:bidi w:val="0"/>
        <w:spacing w:lineRule="auto" w:line="312" w:before="0" w:after="0"/>
        <w:ind w:left="0" w:right="0" w:firstLine="45"/>
        <w:jc w:val="center"/>
        <w:rPr>
          <w:rFonts w:ascii="Lato;sans-serif" w:hAnsi="Lato;sans-serif"/>
          <w:b w:val="false"/>
          <w:color w:val="000000"/>
          <w:sz w:val="20"/>
        </w:rPr>
      </w:pPr>
      <w:r>
        <w:rPr>
          <w:rFonts w:ascii="Lato;sans-serif" w:hAnsi="Lato;sans-serif"/>
          <w:b w:val="false"/>
          <w:color w:val="000000"/>
          <w:sz w:val="20"/>
        </w:rPr>
        <w:t>___________________________________</w:t>
      </w:r>
    </w:p>
    <w:p>
      <w:pPr>
        <w:pStyle w:val="TextBody"/>
        <w:bidi w:val="0"/>
        <w:spacing w:lineRule="auto" w:line="312" w:before="0" w:after="0"/>
        <w:jc w:val="center"/>
        <w:rPr>
          <w:rFonts w:ascii="Lato;sans-serif" w:hAnsi="Lato;sans-serif"/>
          <w:b/>
          <w:color w:val="000000"/>
          <w:sz w:val="36"/>
        </w:rPr>
      </w:pPr>
      <w:r>
        <w:rPr>
          <w:rFonts w:ascii="Lato;sans-serif" w:hAnsi="Lato;sans-serif"/>
          <w:b/>
          <w:color w:val="000000"/>
          <w:sz w:val="36"/>
        </w:rPr>
        <w:t>SCHEDULE 14A</w:t>
      </w:r>
    </w:p>
    <w:p>
      <w:pPr>
        <w:pStyle w:val="TextBody"/>
        <w:bidi w:val="0"/>
        <w:spacing w:lineRule="auto" w:line="312" w:before="0" w:after="0"/>
        <w:jc w:val="center"/>
        <w:rPr>
          <w:rFonts w:ascii="Lato;sans-serif" w:hAnsi="Lato;sans-serif"/>
          <w:b/>
          <w:color w:val="000000"/>
          <w:sz w:val="24"/>
        </w:rPr>
      </w:pPr>
      <w:r>
        <w:rPr>
          <w:rFonts w:ascii="Lato;sans-serif" w:hAnsi="Lato;sans-serif"/>
          <w:b/>
          <w:color w:val="000000"/>
          <w:sz w:val="24"/>
        </w:rPr>
        <w:t>Proxy Statement Pursuant to Section 14(a) of</w:t>
      </w:r>
    </w:p>
    <w:p>
      <w:pPr>
        <w:pStyle w:val="TextBody"/>
        <w:bidi w:val="0"/>
        <w:spacing w:lineRule="auto" w:line="312" w:before="0" w:after="0"/>
        <w:jc w:val="center"/>
        <w:rPr>
          <w:rFonts w:ascii="Lato;sans-serif" w:hAnsi="Lato;sans-serif"/>
          <w:b/>
          <w:color w:val="000000"/>
          <w:sz w:val="24"/>
        </w:rPr>
      </w:pPr>
      <w:r>
        <w:rPr>
          <w:rFonts w:ascii="Lato;sans-serif" w:hAnsi="Lato;sans-serif"/>
          <w:b/>
          <w:color w:val="000000"/>
          <w:sz w:val="24"/>
        </w:rPr>
        <w:t>the Securities Exchange Act of 1934</w:t>
      </w:r>
    </w:p>
    <w:p>
      <w:pPr>
        <w:pStyle w:val="TextBody"/>
        <w:bidi w:val="0"/>
        <w:spacing w:lineRule="auto" w:line="312" w:before="0" w:after="0"/>
        <w:jc w:val="center"/>
        <w:rPr/>
      </w:pPr>
      <w:r>
        <w:rPr>
          <w:color w:val="000000"/>
        </w:rPr>
        <w:t xml:space="preserve">  </w:t>
      </w:r>
      <w:r>
        <w:rPr>
          <w:rFonts w:ascii="Lato;sans-serif" w:hAnsi="Lato;sans-serif"/>
          <w:b w:val="false"/>
          <w:color w:val="000000"/>
          <w:sz w:val="20"/>
        </w:rPr>
        <w:t>___________________________________ </w:t>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Filed by the Registrant   ☒                            </w:t>
      </w:r>
    </w:p>
    <w:p>
      <w:pPr>
        <w:pStyle w:val="TextBody"/>
        <w:bidi w:val="0"/>
        <w:spacing w:lineRule="auto" w:line="312" w:before="0" w:after="0"/>
        <w:jc w:val="both"/>
        <w:rPr>
          <w:rFonts w:ascii="Lato;sans-serif" w:hAnsi="Lato;sans-serif"/>
          <w:b w:val="false"/>
          <w:color w:val="000000"/>
          <w:sz w:val="20"/>
        </w:rPr>
      </w:pPr>
      <w:r>
        <w:rPr>
          <w:rFonts w:ascii="Lato;sans-serif" w:hAnsi="Lato;sans-serif"/>
          <w:b w:val="false"/>
          <w:color w:val="000000"/>
          <w:sz w:val="20"/>
        </w:rPr>
        <w:t>Filed by a Party other than the Registrant   ☐</w:t>
      </w:r>
    </w:p>
    <w:p>
      <w:pPr>
        <w:pStyle w:val="TextBody"/>
        <w:bidi w:val="0"/>
        <w:spacing w:lineRule="auto" w:line="312" w:before="0" w:after="160"/>
        <w:jc w:val="left"/>
        <w:rPr>
          <w:rFonts w:ascii="Lato;sans-serif" w:hAnsi="Lato;sans-serif"/>
          <w:b w:val="false"/>
          <w:color w:val="000000"/>
          <w:sz w:val="20"/>
        </w:rPr>
      </w:pPr>
      <w:r>
        <w:rPr>
          <w:rFonts w:ascii="Lato;sans-serif" w:hAnsi="Lato;sans-serif"/>
          <w:b w:val="false"/>
          <w:color w:val="000000"/>
          <w:sz w:val="20"/>
        </w:rPr>
        <w:t>Check the appropriate box:</w:t>
      </w:r>
    </w:p>
    <w:tbl>
      <w:tblPr>
        <w:tblW w:w="8307" w:type="dxa"/>
        <w:jc w:val="left"/>
        <w:tblInd w:w="0" w:type="dxa"/>
        <w:tblLayout w:type="fixed"/>
        <w:tblCellMar>
          <w:top w:w="28" w:type="dxa"/>
          <w:left w:w="28" w:type="dxa"/>
          <w:bottom w:w="28" w:type="dxa"/>
          <w:right w:w="28" w:type="dxa"/>
        </w:tblCellMar>
      </w:tblPr>
      <w:tblGrid>
        <w:gridCol w:w="124"/>
        <w:gridCol w:w="109"/>
        <w:gridCol w:w="109"/>
        <w:gridCol w:w="2328"/>
        <w:gridCol w:w="2328"/>
        <w:gridCol w:w="33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20"/>
              </w:rPr>
            </w:pPr>
            <w:r>
              <w:rPr>
                <w:rFonts w:ascii="Lato;sans-serif" w:hAnsi="Lato;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96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20"/>
              </w:rPr>
            </w:pPr>
            <w:r>
              <w:rPr>
                <w:rFonts w:ascii="Lato;sans-serif" w:hAnsi="Lato;sans-serif"/>
                <w:b w:val="false"/>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20"/>
              </w:rPr>
            </w:pPr>
            <w:r>
              <w:rPr>
                <w:rFonts w:ascii="Lato;sans-serif" w:hAnsi="Lato;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96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20"/>
              </w:rPr>
            </w:pPr>
            <w:r>
              <w:rPr>
                <w:rFonts w:ascii="Lato;sans-serif" w:hAnsi="Lato;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96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20"/>
              </w:rPr>
            </w:pPr>
            <w:r>
              <w:rPr>
                <w:rFonts w:ascii="Lato;sans-serif" w:hAnsi="Lato;sans-serif"/>
                <w:b w:val="false"/>
                <w:color w:val="000000"/>
                <w:sz w:val="20"/>
              </w:rPr>
              <w:t>Soliciting Material under §240.14a-12</w:t>
            </w:r>
          </w:p>
        </w:tc>
      </w:tr>
    </w:tbl>
    <w:p>
      <w:pPr>
        <w:pStyle w:val="TextBody"/>
        <w:bidi w:val="0"/>
        <w:spacing w:before="120" w:after="283"/>
        <w:jc w:val="center"/>
        <w:rPr/>
      </w:pPr>
      <w:r>
        <w:rPr/>
      </w:r>
    </w:p>
    <w:p>
      <w:pPr>
        <w:pStyle w:val="TextBody"/>
        <w:bidi w:val="0"/>
        <w:spacing w:lineRule="auto" w:line="312" w:before="0" w:after="0"/>
        <w:jc w:val="center"/>
        <w:rPr>
          <w:rFonts w:ascii="Lato;sans-serif" w:hAnsi="Lato;sans-serif"/>
          <w:b/>
          <w:color w:val="000000"/>
          <w:sz w:val="36"/>
        </w:rPr>
      </w:pPr>
      <w:r>
        <w:rPr>
          <w:rFonts w:ascii="Lato;sans-serif" w:hAnsi="Lato;sans-serif"/>
          <w:b/>
          <w:color w:val="000000"/>
          <w:sz w:val="36"/>
        </w:rPr>
        <w:t>INTUITIVE MACHINES, INC.</w:t>
      </w:r>
    </w:p>
    <w:p>
      <w:pPr>
        <w:pStyle w:val="TextBody"/>
        <w:bidi w:val="0"/>
        <w:spacing w:lineRule="auto" w:line="288" w:before="0" w:after="0"/>
        <w:jc w:val="center"/>
        <w:rPr>
          <w:rFonts w:ascii="Lato;sans-serif" w:hAnsi="Lato;sans-serif"/>
          <w:b w:val="false"/>
          <w:color w:val="000000"/>
          <w:sz w:val="20"/>
        </w:rPr>
      </w:pPr>
      <w:r>
        <w:rPr>
          <w:rFonts w:ascii="Lato;sans-serif" w:hAnsi="Lato;sans-serif"/>
          <w:b w:val="false"/>
          <w:color w:val="000000"/>
          <w:sz w:val="20"/>
        </w:rPr>
        <w:t>_________________________________________________________________________________________________</w:t>
      </w:r>
    </w:p>
    <w:p>
      <w:pPr>
        <w:pStyle w:val="TextBody"/>
        <w:bidi w:val="0"/>
        <w:spacing w:lineRule="auto" w:line="312" w:before="0" w:after="0"/>
        <w:jc w:val="center"/>
        <w:rPr>
          <w:rFonts w:ascii="Lato;sans-serif" w:hAnsi="Lato;sans-serif"/>
          <w:b w:val="false"/>
          <w:color w:val="000000"/>
          <w:sz w:val="20"/>
        </w:rPr>
      </w:pPr>
      <w:r>
        <w:rPr>
          <w:rFonts w:ascii="Lato;sans-serif" w:hAnsi="Lato;sans-serif"/>
          <w:b w:val="false"/>
          <w:color w:val="000000"/>
          <w:sz w:val="20"/>
        </w:rPr>
        <w:t>(Name of Registrant as Specified in Its Charter)</w:t>
      </w:r>
    </w:p>
    <w:p>
      <w:pPr>
        <w:pStyle w:val="TextBody"/>
        <w:bidi w:val="0"/>
        <w:spacing w:before="0" w:after="0"/>
        <w:jc w:val="left"/>
        <w:rPr/>
      </w:pPr>
      <w:r>
        <w:rPr/>
      </w:r>
    </w:p>
    <w:p>
      <w:pPr>
        <w:pStyle w:val="TextBody"/>
        <w:bidi w:val="0"/>
        <w:spacing w:lineRule="auto" w:line="312" w:before="0" w:after="0"/>
        <w:jc w:val="center"/>
        <w:rPr>
          <w:rFonts w:ascii="Lato;sans-serif" w:hAnsi="Lato;sans-serif"/>
          <w:b w:val="false"/>
          <w:color w:val="000000"/>
          <w:sz w:val="20"/>
        </w:rPr>
      </w:pPr>
      <w:r>
        <w:rPr>
          <w:rFonts w:ascii="Lato;sans-serif" w:hAnsi="Lato;sans-serif"/>
          <w:b w:val="false"/>
          <w:color w:val="000000"/>
          <w:sz w:val="20"/>
        </w:rPr>
        <w:t>_________________________________________________________________________________________________</w:t>
      </w:r>
    </w:p>
    <w:p>
      <w:pPr>
        <w:pStyle w:val="TextBody"/>
        <w:bidi w:val="0"/>
        <w:spacing w:lineRule="auto" w:line="312" w:before="0" w:after="0"/>
        <w:jc w:val="center"/>
        <w:rPr>
          <w:rFonts w:ascii="Lato;sans-serif" w:hAnsi="Lato;sans-serif"/>
          <w:b w:val="false"/>
          <w:color w:val="000000"/>
          <w:sz w:val="20"/>
        </w:rPr>
      </w:pPr>
      <w:r>
        <w:rPr>
          <w:rFonts w:ascii="Lato;sans-serif" w:hAnsi="Lato;sans-serif"/>
          <w:b w:val="false"/>
          <w:color w:val="000000"/>
          <w:sz w:val="20"/>
        </w:rPr>
        <w:t>(Name of Person(s) Filing Proxy Statement, if other than the Registrant)</w:t>
      </w:r>
    </w:p>
    <w:p>
      <w:pPr>
        <w:pStyle w:val="TextBody"/>
        <w:bidi w:val="0"/>
        <w:spacing w:before="0" w:after="0"/>
        <w:jc w:val="both"/>
        <w:rPr/>
      </w:pPr>
      <w:r>
        <w:rPr/>
      </w:r>
    </w:p>
    <w:p>
      <w:pPr>
        <w:pStyle w:val="TextBody"/>
        <w:bidi w:val="0"/>
        <w:spacing w:lineRule="auto" w:line="312" w:before="160" w:after="160"/>
        <w:jc w:val="both"/>
        <w:rPr>
          <w:rFonts w:ascii="Lato;sans-serif" w:hAnsi="Lato;sans-serif"/>
          <w:b w:val="false"/>
          <w:color w:val="000000"/>
          <w:sz w:val="20"/>
        </w:rPr>
      </w:pPr>
      <w:r>
        <w:rPr>
          <w:rFonts w:ascii="Lato;sans-serif" w:hAnsi="Lato;sans-serif"/>
          <w:b w:val="false"/>
          <w:color w:val="000000"/>
          <w:sz w:val="20"/>
        </w:rPr>
        <w:t>Payment of Filing Fee (Check all boxes that apply):</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15"/>
        <w:gridCol w:w="1015"/>
        <w:gridCol w:w="1015"/>
        <w:gridCol w:w="1012"/>
        <w:gridCol w:w="1011"/>
        <w:gridCol w:w="1011"/>
        <w:gridCol w:w="1011"/>
        <w:gridCol w:w="1011"/>
        <w:gridCol w:w="14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20"/>
              </w:rPr>
            </w:pPr>
            <w:r>
              <w:rPr>
                <w:rFonts w:ascii="Lato;sans-serif" w:hAnsi="Lato;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20"/>
              </w:rPr>
            </w:pPr>
            <w:r>
              <w:rPr>
                <w:rFonts w:ascii="Lato;sans-serif" w:hAnsi="Lato;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20"/>
              </w:rPr>
            </w:pPr>
            <w:r>
              <w:rPr>
                <w:rFonts w:ascii="Lato;sans-serif" w:hAnsi="Lato;sans-serif"/>
                <w:b w:val="false"/>
                <w:color w:val="000000"/>
                <w:sz w:val="20"/>
              </w:rPr>
              <w:t>Fee computed on table in exhibit required by Item 25(b) per Exchange Act Rules 14a-6(i)(1) and 0-11.</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034" w:type="dxa"/>
            <w:gridSpan w:val="3"/>
            <w:tcBorders/>
            <w:vAlign w:val="center"/>
          </w:tcPr>
          <w:p>
            <w:pPr>
              <w:pStyle w:val="TableContents"/>
              <w:bidi w:val="0"/>
              <w:spacing w:before="0" w:after="283"/>
              <w:jc w:val="left"/>
              <w:rPr>
                <w:sz w:val="4"/>
                <w:szCs w:val="4"/>
              </w:rPr>
            </w:pPr>
            <w:r>
              <w:rPr>
                <w:sz w:val="4"/>
                <w:szCs w:val="4"/>
              </w:rPr>
            </w:r>
          </w:p>
        </w:tc>
        <w:tc>
          <w:tcPr>
            <w:tcW w:w="345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034" w:type="dxa"/>
            <w:gridSpan w:val="3"/>
            <w:tcBorders/>
            <w:vAlign w:val="center"/>
          </w:tcPr>
          <w:p>
            <w:pPr>
              <w:pStyle w:val="TableContents"/>
              <w:bidi w:val="0"/>
              <w:spacing w:before="0" w:after="283"/>
              <w:jc w:val="left"/>
              <w:rPr>
                <w:sz w:val="4"/>
                <w:szCs w:val="4"/>
              </w:rPr>
            </w:pPr>
            <w:r>
              <w:rPr>
                <w:sz w:val="4"/>
                <w:szCs w:val="4"/>
              </w:rPr>
            </w:r>
          </w:p>
        </w:tc>
        <w:tc>
          <w:tcPr>
            <w:tcW w:w="345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034" w:type="dxa"/>
            <w:gridSpan w:val="3"/>
            <w:tcBorders/>
            <w:vAlign w:val="center"/>
          </w:tcPr>
          <w:p>
            <w:pPr>
              <w:pStyle w:val="TableContents"/>
              <w:bidi w:val="0"/>
              <w:spacing w:before="0" w:after="283"/>
              <w:jc w:val="left"/>
              <w:rPr>
                <w:sz w:val="4"/>
                <w:szCs w:val="4"/>
              </w:rPr>
            </w:pPr>
            <w:r>
              <w:rPr>
                <w:sz w:val="4"/>
                <w:szCs w:val="4"/>
              </w:rPr>
            </w:r>
          </w:p>
        </w:tc>
        <w:tc>
          <w:tcPr>
            <w:tcW w:w="345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034" w:type="dxa"/>
            <w:gridSpan w:val="3"/>
            <w:tcBorders/>
            <w:vAlign w:val="center"/>
          </w:tcPr>
          <w:p>
            <w:pPr>
              <w:pStyle w:val="TableContents"/>
              <w:bidi w:val="0"/>
              <w:spacing w:before="0" w:after="283"/>
              <w:jc w:val="left"/>
              <w:rPr>
                <w:sz w:val="4"/>
                <w:szCs w:val="4"/>
              </w:rPr>
            </w:pPr>
            <w:r>
              <w:rPr>
                <w:sz w:val="4"/>
                <w:szCs w:val="4"/>
              </w:rPr>
            </w:r>
          </w:p>
        </w:tc>
        <w:tc>
          <w:tcPr>
            <w:tcW w:w="345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034" w:type="dxa"/>
            <w:gridSpan w:val="3"/>
            <w:tcBorders/>
            <w:vAlign w:val="center"/>
          </w:tcPr>
          <w:p>
            <w:pPr>
              <w:pStyle w:val="TableContents"/>
              <w:bidi w:val="0"/>
              <w:spacing w:before="0" w:after="283"/>
              <w:jc w:val="left"/>
              <w:rPr>
                <w:sz w:val="4"/>
                <w:szCs w:val="4"/>
              </w:rPr>
            </w:pPr>
            <w:r>
              <w:rPr>
                <w:sz w:val="4"/>
                <w:szCs w:val="4"/>
              </w:rPr>
            </w:r>
          </w:p>
        </w:tc>
        <w:tc>
          <w:tcPr>
            <w:tcW w:w="345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6491"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034" w:type="dxa"/>
            <w:gridSpan w:val="3"/>
            <w:tcBorders/>
            <w:vAlign w:val="center"/>
          </w:tcPr>
          <w:p>
            <w:pPr>
              <w:pStyle w:val="TableContents"/>
              <w:bidi w:val="0"/>
              <w:spacing w:before="0" w:after="283"/>
              <w:jc w:val="left"/>
              <w:rPr>
                <w:sz w:val="4"/>
                <w:szCs w:val="4"/>
              </w:rPr>
            </w:pPr>
            <w:r>
              <w:rPr>
                <w:sz w:val="4"/>
                <w:szCs w:val="4"/>
              </w:rPr>
            </w:r>
          </w:p>
        </w:tc>
        <w:tc>
          <w:tcPr>
            <w:tcW w:w="345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034" w:type="dxa"/>
            <w:gridSpan w:val="3"/>
            <w:tcBorders/>
            <w:vAlign w:val="center"/>
          </w:tcPr>
          <w:p>
            <w:pPr>
              <w:pStyle w:val="TableContents"/>
              <w:bidi w:val="0"/>
              <w:spacing w:before="0" w:after="283"/>
              <w:jc w:val="left"/>
              <w:rPr>
                <w:sz w:val="4"/>
                <w:szCs w:val="4"/>
              </w:rPr>
            </w:pPr>
            <w:r>
              <w:rPr>
                <w:sz w:val="4"/>
                <w:szCs w:val="4"/>
              </w:rPr>
            </w:r>
          </w:p>
        </w:tc>
        <w:tc>
          <w:tcPr>
            <w:tcW w:w="345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034" w:type="dxa"/>
            <w:gridSpan w:val="3"/>
            <w:tcBorders/>
            <w:vAlign w:val="center"/>
          </w:tcPr>
          <w:p>
            <w:pPr>
              <w:pStyle w:val="TableContents"/>
              <w:bidi w:val="0"/>
              <w:spacing w:before="0" w:after="283"/>
              <w:jc w:val="left"/>
              <w:rPr>
                <w:sz w:val="4"/>
                <w:szCs w:val="4"/>
              </w:rPr>
            </w:pPr>
            <w:r>
              <w:rPr>
                <w:sz w:val="4"/>
                <w:szCs w:val="4"/>
              </w:rPr>
            </w:r>
          </w:p>
        </w:tc>
        <w:tc>
          <w:tcPr>
            <w:tcW w:w="3457"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034" w:type="dxa"/>
            <w:gridSpan w:val="3"/>
            <w:tcBorders/>
            <w:vAlign w:val="center"/>
          </w:tcPr>
          <w:p>
            <w:pPr>
              <w:pStyle w:val="TableContents"/>
              <w:bidi w:val="0"/>
              <w:spacing w:before="0" w:after="283"/>
              <w:jc w:val="left"/>
              <w:rPr>
                <w:sz w:val="4"/>
                <w:szCs w:val="4"/>
              </w:rPr>
            </w:pPr>
            <w:r>
              <w:rPr>
                <w:sz w:val="4"/>
                <w:szCs w:val="4"/>
              </w:rPr>
            </w:r>
          </w:p>
        </w:tc>
        <w:tc>
          <w:tcPr>
            <w:tcW w:w="34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p>
      <w:pPr>
        <w:pStyle w:val="TextBody"/>
        <w:bidi w:val="0"/>
        <w:spacing w:before="160" w:after="1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bottom w:val="single" w:sz="1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6860"/>
                <wp:effectExtent l="0" t="0" r="0" b="0"/>
                <wp:wrapNone/>
                <wp:docPr id="1" name="Frame1"/>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160"/>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before="160" w:after="160"/>
        <w:jc w:val="left"/>
        <w:rPr/>
      </w:pPr>
      <w:r>
        <w:rPr/>
        <w:drawing>
          <wp:inline distT="0" distB="0" distL="0" distR="0">
            <wp:extent cx="7772400" cy="100584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772400" cy="100584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40410"/>
                <wp:effectExtent l="0" t="0" r="0" b="0"/>
                <wp:wrapNone/>
                <wp:docPr id="3" name="Frame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72" w:type="dxa"/>
                              <w:jc w:val="center"/>
                              <w:tblInd w:w="0" w:type="dxa"/>
                              <w:tblLayout w:type="fixed"/>
                              <w:tblCellMar>
                                <w:top w:w="28" w:type="dxa"/>
                                <w:left w:w="28" w:type="dxa"/>
                                <w:bottom w:w="28" w:type="dxa"/>
                                <w:right w:w="28" w:type="dxa"/>
                              </w:tblCellMar>
                            </w:tblPr>
                            <w:tblGrid>
                              <w:gridCol w:w="1846"/>
                              <w:gridCol w:w="1623"/>
                              <w:gridCol w:w="1631"/>
                              <w:gridCol w:w="109"/>
                              <w:gridCol w:w="109"/>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72" w:type="dxa"/>
                        <w:jc w:val="center"/>
                        <w:tblInd w:w="0" w:type="dxa"/>
                        <w:tblLayout w:type="fixed"/>
                        <w:tblCellMar>
                          <w:top w:w="28" w:type="dxa"/>
                          <w:left w:w="28" w:type="dxa"/>
                          <w:bottom w:w="28" w:type="dxa"/>
                          <w:right w:w="28" w:type="dxa"/>
                        </w:tblCellMar>
                      </w:tblPr>
                      <w:tblGrid>
                        <w:gridCol w:w="1846"/>
                        <w:gridCol w:w="1623"/>
                        <w:gridCol w:w="1631"/>
                        <w:gridCol w:w="109"/>
                        <w:gridCol w:w="109"/>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before="0" w:after="80"/>
        <w:jc w:val="center"/>
        <w:rPr/>
      </w:pPr>
      <w:r>
        <w:rPr/>
        <w:drawing>
          <wp:inline distT="0" distB="0" distL="0" distR="0">
            <wp:extent cx="1600200" cy="4476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600200" cy="447675"/>
                    </a:xfrm>
                    <a:prstGeom prst="rect">
                      <a:avLst/>
                    </a:prstGeom>
                  </pic:spPr>
                </pic:pic>
              </a:graphicData>
            </a:graphic>
          </wp:inline>
        </w:drawing>
      </w:r>
    </w:p>
    <w:p>
      <w:pPr>
        <w:pStyle w:val="TextBody"/>
        <w:bidi w:val="0"/>
        <w:spacing w:lineRule="auto" w:line="312" w:before="0" w:after="160"/>
        <w:jc w:val="center"/>
        <w:rPr/>
      </w:pPr>
      <w:r>
        <w:rPr>
          <w:rFonts w:ascii="Lato;sans-serif" w:hAnsi="Lato;sans-serif"/>
          <w:b w:val="false"/>
          <w:color w:val="000000"/>
          <w:sz w:val="18"/>
        </w:rPr>
        <w:t>13467 Columbia Shuttle Street</w:t>
      </w:r>
      <w:r>
        <w:rPr>
          <w:rFonts w:ascii="Lato;sans-serif" w:hAnsi="Lato;sans-serif"/>
          <w:b/>
          <w:color w:val="000000"/>
          <w:sz w:val="18"/>
        </w:rPr>
        <w:br/>
      </w:r>
      <w:r>
        <w:rPr>
          <w:rFonts w:ascii="Lato;sans-serif" w:hAnsi="Lato;sans-serif"/>
          <w:b w:val="false"/>
          <w:color w:val="000000"/>
          <w:sz w:val="18"/>
        </w:rPr>
        <w:t>Houston</w:t>
      </w:r>
      <w:r>
        <w:rPr>
          <w:rFonts w:ascii="Lato;sans-serif" w:hAnsi="Lato;sans-serif"/>
          <w:b/>
          <w:color w:val="000000"/>
          <w:sz w:val="18"/>
        </w:rPr>
        <w:t xml:space="preserve">, </w:t>
      </w:r>
      <w:r>
        <w:rPr>
          <w:rFonts w:ascii="Lato;sans-serif" w:hAnsi="Lato;sans-serif"/>
          <w:b w:val="false"/>
          <w:color w:val="000000"/>
          <w:sz w:val="18"/>
        </w:rPr>
        <w:t>Texas</w:t>
      </w:r>
      <w:r>
        <w:rPr>
          <w:color w:val="000000"/>
        </w:rPr>
        <w:t xml:space="preserve"> </w:t>
      </w:r>
      <w:r>
        <w:rPr>
          <w:rFonts w:ascii="Lato;sans-serif" w:hAnsi="Lato;sans-serif"/>
          <w:b w:val="false"/>
          <w:color w:val="000000"/>
          <w:sz w:val="18"/>
        </w:rPr>
        <w:t>77059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April 22, 2025</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Dear Fellow Stockholders:</w:t>
      </w:r>
    </w:p>
    <w:p>
      <w:pPr>
        <w:pStyle w:val="TextBody"/>
        <w:bidi w:val="0"/>
        <w:spacing w:before="0" w:after="160"/>
        <w:ind w:left="0" w:right="0" w:firstLine="720"/>
        <w:jc w:val="both"/>
        <w:rPr/>
      </w:pPr>
      <w:r>
        <w:rPr/>
      </w:r>
    </w:p>
    <w:p>
      <w:pPr>
        <w:pStyle w:val="TextBody"/>
        <w:bidi w:val="0"/>
        <w:spacing w:lineRule="auto" w:line="312" w:before="0" w:after="160"/>
        <w:ind w:left="0" w:right="0" w:firstLine="720"/>
        <w:jc w:val="both"/>
        <w:rPr/>
      </w:pPr>
      <w:r>
        <w:rPr>
          <w:rFonts w:ascii="Lato;sans-serif" w:hAnsi="Lato;sans-serif"/>
          <w:b w:val="false"/>
          <w:color w:val="000000"/>
          <w:sz w:val="18"/>
        </w:rPr>
        <w:t>You are cordially invited to attend our 2025 Annual Meeting of Intuitive Machines, Inc. ("Intuitive Machines") Stockholders on Thursday, June 5, 2025 at 9:00 a.m. (Central Time). This will be a virtual meeting, meaning that attendance will solely be by means of remote communication via a live webcast on the internet at</w:t>
      </w:r>
      <w:r>
        <w:rPr>
          <w:color w:val="3051F2"/>
          <w:u w:val="single"/>
        </w:rPr>
        <w:t xml:space="preserve"> </w:t>
      </w:r>
      <w:r>
        <w:rPr>
          <w:rFonts w:ascii="Lato;sans-serif" w:hAnsi="Lato;sans-serif"/>
          <w:b w:val="false"/>
          <w:color w:val="3051F2"/>
          <w:sz w:val="18"/>
          <w:u w:val="single"/>
        </w:rPr>
        <w:t>www.virtualshareholdermeeting.com/LUNR2025.</w:t>
      </w:r>
      <w:r>
        <w:rPr>
          <w:color w:val="3051F2"/>
        </w:rPr>
        <w:t xml:space="preserve"> </w:t>
      </w:r>
      <w:r>
        <w:rPr>
          <w:rFonts w:ascii="Lato;sans-serif" w:hAnsi="Lato;sans-serif"/>
          <w:b w:val="false"/>
          <w:color w:val="000000"/>
          <w:sz w:val="18"/>
        </w:rPr>
        <w:t>There will be no physical location at which stockholders may attend the meeting. We encourage you to access the Annual Meeting prior to the start time to allow ample time for online check-in. The website will be open for check-in beginning at 8:45 a.m. (Central Time) on the date of the Annual Meeting.</w:t>
      </w:r>
    </w:p>
    <w:p>
      <w:pPr>
        <w:pStyle w:val="TextBody"/>
        <w:bidi w:val="0"/>
        <w:spacing w:lineRule="auto" w:line="312" w:before="160" w:after="160"/>
        <w:ind w:left="0" w:right="0" w:firstLine="720"/>
        <w:jc w:val="both"/>
        <w:rPr/>
      </w:pPr>
      <w:r>
        <w:rPr>
          <w:rFonts w:ascii="Lato;sans-serif" w:hAnsi="Lato;sans-serif"/>
          <w:b w:val="false"/>
          <w:color w:val="000000"/>
          <w:sz w:val="18"/>
        </w:rPr>
        <w:t xml:space="preserve">All Intuitive Machines stockholders of record at the close of business on April 8, 2025 </w:t>
      </w:r>
      <w:r>
        <w:rPr>
          <w:rFonts w:ascii="Lato;sans-serif" w:hAnsi="Lato;sans-serif"/>
          <w:b w:val="false"/>
          <w:color w:val="000000"/>
          <w:sz w:val="18"/>
          <w:shd w:fill="FFFFFF" w:val="clear"/>
        </w:rPr>
        <w:t>will be able to vote and participate in the Annual Meeting by remote communication. Any person who was not a stockholder as of the record date may attend the Annual Meeting as an observer but will not be able to vote or ask questions. We encourage you to attend the Annual Meeting, but it is important that your shares are represented at the Annual Meeting whether or not you plan to attend. To ensure that you will be represented, we ask you to vote by telephone, mail, or over the internet as soon as possible.</w:t>
      </w:r>
    </w:p>
    <w:p>
      <w:pPr>
        <w:pStyle w:val="TextBody"/>
        <w:bidi w:val="0"/>
        <w:spacing w:lineRule="auto" w:line="312" w:before="160" w:after="160"/>
        <w:ind w:left="0" w:right="0" w:firstLine="720"/>
        <w:jc w:val="both"/>
        <w:rPr/>
      </w:pPr>
      <w:r>
        <w:rPr>
          <w:rFonts w:ascii="Lato;sans-serif" w:hAnsi="Lato;sans-serif"/>
          <w:b w:val="false"/>
          <w:color w:val="000000"/>
          <w:sz w:val="18"/>
          <w:shd w:fill="FFFFFF" w:val="clear"/>
        </w:rPr>
        <w:t xml:space="preserve">You may cast your vote at </w:t>
      </w:r>
      <w:r>
        <w:rPr>
          <w:rFonts w:ascii="Lato;sans-serif" w:hAnsi="Lato;sans-serif"/>
          <w:b w:val="false"/>
          <w:color w:val="3051F2"/>
          <w:sz w:val="18"/>
        </w:rPr>
        <w:t>www.proxyvote.com</w:t>
      </w:r>
      <w:r>
        <w:rPr>
          <w:rFonts w:ascii="Lato;sans-serif" w:hAnsi="Lato;sans-serif"/>
          <w:b w:val="false"/>
          <w:color w:val="000000"/>
          <w:sz w:val="18"/>
          <w:shd w:fill="FFFFFF" w:val="clear"/>
        </w:rPr>
        <w:t>. Have the 16-digit "Control Number" available and then follow the instructions. The Control Number is a 16-digit number that you can find in the Notice of Internet Availability (if you received the proxy materials via electronic delivery), proxy card (if you are a stockholder of record who received proxy materials by mail) or voting instruction form (if you are a beneficial own</w:t>
      </w:r>
      <w:r>
        <w:rPr>
          <w:rFonts w:ascii="Lato;sans-serif" w:hAnsi="Lato;sans-serif"/>
          <w:b w:val="false"/>
          <w:color w:val="000000"/>
          <w:sz w:val="18"/>
        </w:rPr>
        <w:t>er who received proxy materials by mail). Beneficial owners who do not have a control number should follow the instructions provided on the voting instruction card or otherwise provided by your bank, broker or other nominee.</w:t>
      </w:r>
    </w:p>
    <w:p>
      <w:pPr>
        <w:pStyle w:val="TextBody"/>
        <w:bidi w:val="0"/>
        <w:spacing w:lineRule="auto" w:line="312" w:before="160" w:after="160"/>
        <w:ind w:left="0" w:right="0" w:firstLine="720"/>
        <w:jc w:val="both"/>
        <w:rPr>
          <w:rFonts w:ascii="Lato;sans-serif" w:hAnsi="Lato;sans-serif"/>
          <w:b w:val="false"/>
          <w:color w:val="000000"/>
          <w:sz w:val="18"/>
        </w:rPr>
      </w:pPr>
      <w:r>
        <w:rPr>
          <w:rFonts w:ascii="Lato;sans-serif" w:hAnsi="Lato;sans-serif"/>
          <w:b w:val="false"/>
          <w:color w:val="000000"/>
          <w:sz w:val="18"/>
        </w:rPr>
        <w:t>Along with the other members of your Board of Directors, we look forward to you joining us virtually at this year's Annual Meeting. On behalf of the Board of Directors and our leadership team, I would like to express our appreciation for your continued interest in the business of Intuitive Machines.</w:t>
      </w:r>
    </w:p>
    <w:p>
      <w:pPr>
        <w:pStyle w:val="TextBody"/>
        <w:bidi w:val="0"/>
        <w:spacing w:lineRule="auto" w:line="312" w:before="160" w:after="283"/>
        <w:jc w:val="both"/>
        <w:rPr>
          <w:rFonts w:ascii="Lato;sans-serif" w:hAnsi="Lato;sans-serif"/>
          <w:b w:val="false"/>
          <w:color w:val="000000"/>
          <w:sz w:val="18"/>
        </w:rPr>
      </w:pPr>
      <w:r>
        <w:rPr>
          <w:rFonts w:ascii="Lato;sans-serif" w:hAnsi="Lato;sans-serif"/>
          <w:b w:val="false"/>
          <w:color w:val="000000"/>
          <w:sz w:val="18"/>
        </w:rPr>
        <w:t>Sincerely,</w:t>
      </w:r>
    </w:p>
    <w:p>
      <w:pPr>
        <w:pStyle w:val="TextBody"/>
        <w:bidi w:val="0"/>
        <w:spacing w:lineRule="auto" w:line="312" w:before="160" w:after="160"/>
        <w:jc w:val="both"/>
        <w:rPr/>
      </w:pPr>
      <w:r>
        <w:rPr/>
        <w:drawing>
          <wp:inline distT="0" distB="0" distL="0" distR="0">
            <wp:extent cx="1076325" cy="3429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076325" cy="342900"/>
                    </a:xfrm>
                    <a:prstGeom prst="rect">
                      <a:avLst/>
                    </a:prstGeom>
                  </pic:spPr>
                </pic:pic>
              </a:graphicData>
            </a:graphic>
          </wp:inline>
        </w:drawing>
      </w:r>
      <w:r>
        <w:rPr>
          <w:color w:val="000000"/>
        </w:rPr>
        <w:t>                    </w:t>
      </w:r>
      <w:r>
        <w:rPr/>
        <w:drawing>
          <wp:inline distT="0" distB="0" distL="0" distR="0">
            <wp:extent cx="1066800" cy="33337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066800" cy="333375"/>
                    </a:xfrm>
                    <a:prstGeom prst="rect">
                      <a:avLst/>
                    </a:prstGeom>
                  </pic:spPr>
                </pic:pic>
              </a:graphicData>
            </a:graphic>
          </wp:inline>
        </w:drawing>
      </w:r>
    </w:p>
    <w:tbl>
      <w:tblPr>
        <w:tblW w:w="7990" w:type="dxa"/>
        <w:jc w:val="left"/>
        <w:tblInd w:w="0" w:type="dxa"/>
        <w:tblLayout w:type="fixed"/>
        <w:tblCellMar>
          <w:top w:w="28" w:type="dxa"/>
          <w:left w:w="28" w:type="dxa"/>
          <w:bottom w:w="28" w:type="dxa"/>
          <w:right w:w="28" w:type="dxa"/>
        </w:tblCellMar>
      </w:tblPr>
      <w:tblGrid>
        <w:gridCol w:w="1179"/>
        <w:gridCol w:w="1034"/>
        <w:gridCol w:w="1041"/>
        <w:gridCol w:w="109"/>
        <w:gridCol w:w="109"/>
        <w:gridCol w:w="109"/>
        <w:gridCol w:w="1290"/>
        <w:gridCol w:w="1290"/>
        <w:gridCol w:w="1829"/>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Dr. Kamal Ghaffarian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Stephen Altemus</w:t>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i/>
                <w:color w:val="000000"/>
                <w:sz w:val="18"/>
              </w:rPr>
            </w:pPr>
            <w:r>
              <w:rPr>
                <w:rFonts w:ascii="Lato;sans-serif" w:hAnsi="Lato;sans-serif"/>
                <w:b w:val="false"/>
                <w:i/>
                <w:color w:val="000000"/>
                <w:sz w:val="18"/>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i/>
                <w:color w:val="000000"/>
                <w:sz w:val="18"/>
              </w:rPr>
            </w:pPr>
            <w:r>
              <w:rPr>
                <w:rFonts w:ascii="Lato;sans-serif" w:hAnsi="Lato;sans-serif"/>
                <w:b w:val="false"/>
                <w:i/>
                <w:color w:val="000000"/>
                <w:sz w:val="18"/>
              </w:rPr>
              <w:t>Chief Executive Officer, President, and Director</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28650"/>
                <wp:effectExtent l="0" t="0" r="0" b="0"/>
                <wp:wrapNone/>
                <wp:docPr id="7" name="Frame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0"/>
        <w:jc w:val="center"/>
        <w:rPr>
          <w:rFonts w:ascii="Lato;sans-serif" w:hAnsi="Lato;sans-serif"/>
          <w:b/>
          <w:color w:val="000000"/>
          <w:sz w:val="20"/>
        </w:rPr>
      </w:pPr>
      <w:r>
        <w:rPr>
          <w:rFonts w:ascii="Lato;sans-serif" w:hAnsi="Lato;sans-serif"/>
          <w:b/>
          <w:color w:val="000000"/>
          <w:sz w:val="20"/>
        </w:rPr>
        <w:t>INTUITIVE MACHINES, INC.</w:t>
      </w:r>
    </w:p>
    <w:p>
      <w:pPr>
        <w:pStyle w:val="TextBody"/>
        <w:bidi w:val="0"/>
        <w:spacing w:lineRule="auto" w:line="312" w:before="0" w:after="0"/>
        <w:jc w:val="center"/>
        <w:rPr>
          <w:rFonts w:ascii="Lato;sans-serif" w:hAnsi="Lato;sans-serif"/>
          <w:b w:val="false"/>
          <w:color w:val="000000"/>
          <w:sz w:val="18"/>
        </w:rPr>
      </w:pPr>
      <w:r>
        <w:rPr>
          <w:rFonts w:ascii="Lato;sans-serif" w:hAnsi="Lato;sans-serif"/>
          <w:b w:val="false"/>
          <w:color w:val="000000"/>
          <w:sz w:val="18"/>
        </w:rPr>
        <w:t>13467 Columbia Shuttle Street</w:t>
        <w:br/>
        <w:t>Houston, Texas 77059</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120"/>
        <w:jc w:val="center"/>
        <w:rPr>
          <w:rFonts w:ascii="Lato;sans-serif" w:hAnsi="Lato;sans-serif"/>
          <w:b/>
          <w:color w:val="000000"/>
          <w:sz w:val="20"/>
        </w:rPr>
      </w:pPr>
      <w:r>
        <w:rPr>
          <w:rFonts w:ascii="Lato;sans-serif" w:hAnsi="Lato;sans-serif"/>
          <w:b/>
          <w:color w:val="000000"/>
          <w:sz w:val="20"/>
        </w:rPr>
        <w:t>Notice of the 2025 Meeting of Stockholders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60" w:after="283"/>
        <w:jc w:val="center"/>
        <w:rPr>
          <w:rFonts w:ascii="Lato;sans-serif" w:hAnsi="Lato;sans-serif"/>
          <w:b w:val="false"/>
          <w:color w:val="000000"/>
          <w:sz w:val="16"/>
        </w:rPr>
      </w:pPr>
      <w:r>
        <w:rPr>
          <w:rFonts w:ascii="Lato;sans-serif" w:hAnsi="Lato;sans-serif"/>
          <w:b w:val="false"/>
          <w:color w:val="000000"/>
          <w:sz w:val="16"/>
        </w:rPr>
        <w:t>Thursday, June 5, 2025</w:t>
      </w:r>
    </w:p>
    <w:p>
      <w:pPr>
        <w:pStyle w:val="TextBody"/>
        <w:bidi w:val="0"/>
        <w:spacing w:lineRule="auto" w:line="312" w:before="0" w:after="80"/>
        <w:jc w:val="center"/>
        <w:rPr/>
      </w:pPr>
      <w:r>
        <w:rPr>
          <w:rFonts w:ascii="Lato;sans-serif" w:hAnsi="Lato;sans-serif"/>
          <w:b w:val="false"/>
          <w:color w:val="000000"/>
          <w:sz w:val="16"/>
        </w:rPr>
        <w:t>9:00 a.m. Central Time</w:t>
        <w:br/>
      </w:r>
      <w:r>
        <w:rPr>
          <w:rFonts w:ascii="Lato;sans-serif" w:hAnsi="Lato;sans-serif"/>
          <w:b w:val="false"/>
          <w:color w:val="3051F2"/>
          <w:sz w:val="16"/>
          <w:u w:val="single"/>
          <w:shd w:fill="FFFFFF" w:val="clear"/>
        </w:rPr>
        <w:t>www.virtualshareholdermeeting.com/LUNR2025</w:t>
      </w:r>
    </w:p>
    <w:p>
      <w:pPr>
        <w:pStyle w:val="TextBody"/>
        <w:bidi w:val="0"/>
        <w:spacing w:lineRule="auto" w:line="312" w:before="0" w:after="160"/>
        <w:jc w:val="both"/>
        <w:rPr>
          <w:rFonts w:ascii="Lato;sans-serif" w:hAnsi="Lato;sans-serif"/>
          <w:b w:val="false"/>
          <w:color w:val="000000"/>
          <w:sz w:val="16"/>
          <w:shd w:fill="FFFFFF" w:val="clear"/>
        </w:rPr>
      </w:pPr>
      <w:r>
        <w:rPr>
          <w:rFonts w:ascii="Lato;sans-serif" w:hAnsi="Lato;sans-serif"/>
          <w:b w:val="false"/>
          <w:color w:val="000000"/>
          <w:sz w:val="16"/>
          <w:shd w:fill="FFFFFF" w:val="clear"/>
        </w:rPr>
        <w:t>The principal business of the Annual Meeting will be to:</w:t>
      </w:r>
    </w:p>
    <w:p>
      <w:pPr>
        <w:pStyle w:val="TextBody"/>
        <w:bidi w:val="0"/>
        <w:spacing w:lineRule="auto" w:line="312" w:before="80" w:after="80"/>
        <w:ind w:left="0" w:right="0" w:hanging="288"/>
        <w:jc w:val="both"/>
        <w:rPr/>
      </w:pPr>
      <w:r>
        <w:rPr>
          <w:rFonts w:ascii="Lato;sans-serif" w:hAnsi="Lato;sans-serif"/>
          <w:b w:val="false"/>
          <w:color w:val="005CB9"/>
          <w:sz w:val="16"/>
          <w:shd w:fill="FFFFFF" w:val="clear"/>
        </w:rPr>
        <w:t>1.</w:t>
      </w:r>
      <w:r>
        <w:rPr>
          <w:rFonts w:ascii="Lato;sans-serif" w:hAnsi="Lato;sans-serif"/>
          <w:b w:val="false"/>
          <w:color w:val="000000"/>
          <w:sz w:val="16"/>
          <w:shd w:fill="FFFFFF" w:val="clear"/>
        </w:rPr>
        <w:t>Elect two Class II directors to serve for a term of three years or until their respective successors are duly elected and qualified.</w:t>
      </w:r>
    </w:p>
    <w:p>
      <w:pPr>
        <w:pStyle w:val="TextBody"/>
        <w:bidi w:val="0"/>
        <w:spacing w:lineRule="auto" w:line="312" w:before="160" w:after="160"/>
        <w:ind w:left="0" w:right="0" w:firstLine="72"/>
        <w:jc w:val="both"/>
        <w:rPr>
          <w:rFonts w:ascii="Lato;sans-serif" w:hAnsi="Lato;sans-serif"/>
          <w:b w:val="false"/>
          <w:color w:val="000000"/>
          <w:sz w:val="16"/>
          <w:shd w:fill="FFFFFF" w:val="clear"/>
        </w:rPr>
      </w:pPr>
      <w:r>
        <w:rPr>
          <w:rFonts w:ascii="Lato;sans-serif" w:hAnsi="Lato;sans-serif"/>
          <w:b w:val="false"/>
          <w:color w:val="000000"/>
          <w:sz w:val="16"/>
          <w:shd w:fill="FFFFFF" w:val="clear"/>
        </w:rPr>
        <w:t>Your Board recommends a vote FOR the election of each director nominee.</w:t>
      </w:r>
    </w:p>
    <w:p>
      <w:pPr>
        <w:pStyle w:val="TextBody"/>
        <w:bidi w:val="0"/>
        <w:spacing w:lineRule="auto" w:line="312" w:before="80" w:after="80"/>
        <w:ind w:left="0" w:right="0" w:hanging="288"/>
        <w:jc w:val="both"/>
        <w:rPr/>
      </w:pPr>
      <w:r>
        <w:rPr>
          <w:rFonts w:ascii="Lato;sans-serif" w:hAnsi="Lato;sans-serif"/>
          <w:b w:val="false"/>
          <w:color w:val="005CB9"/>
          <w:sz w:val="16"/>
          <w:shd w:fill="FFFFFF" w:val="clear"/>
        </w:rPr>
        <w:t>2.</w:t>
      </w:r>
      <w:r>
        <w:rPr>
          <w:rFonts w:ascii="Lato;sans-serif" w:hAnsi="Lato;sans-serif"/>
          <w:b w:val="false"/>
          <w:color w:val="000000"/>
          <w:sz w:val="16"/>
          <w:shd w:fill="FFFFFF" w:val="clear"/>
        </w:rPr>
        <w:t xml:space="preserve">Ratify the appointment of Grant Thornton LLP as our independent registered public accounting firm for the fiscal year ending </w:t>
      </w:r>
      <w:r>
        <w:rPr>
          <w:rFonts w:ascii="Lato;sans-serif" w:hAnsi="Lato;sans-serif"/>
          <w:b w:val="false"/>
          <w:color w:val="000000"/>
          <w:sz w:val="16"/>
        </w:rPr>
        <w:t>December 31, 2025</w:t>
      </w:r>
      <w:r>
        <w:rPr>
          <w:rFonts w:ascii="Lato;sans-serif" w:hAnsi="Lato;sans-serif"/>
          <w:b w:val="false"/>
          <w:color w:val="000000"/>
          <w:sz w:val="16"/>
          <w:shd w:fill="FFFFFF" w:val="clear"/>
        </w:rPr>
        <w:t>.</w:t>
      </w:r>
    </w:p>
    <w:p>
      <w:pPr>
        <w:pStyle w:val="TextBody"/>
        <w:bidi w:val="0"/>
        <w:spacing w:lineRule="auto" w:line="312" w:before="160" w:after="160"/>
        <w:ind w:left="0" w:right="0" w:firstLine="72"/>
        <w:jc w:val="both"/>
        <w:rPr>
          <w:rFonts w:ascii="Lato;sans-serif" w:hAnsi="Lato;sans-serif"/>
          <w:b w:val="false"/>
          <w:color w:val="000000"/>
          <w:sz w:val="16"/>
          <w:shd w:fill="FFFFFF" w:val="clear"/>
        </w:rPr>
      </w:pPr>
      <w:r>
        <w:rPr>
          <w:rFonts w:ascii="Lato;sans-serif" w:hAnsi="Lato;sans-serif"/>
          <w:b w:val="false"/>
          <w:color w:val="000000"/>
          <w:sz w:val="16"/>
          <w:shd w:fill="FFFFFF" w:val="clear"/>
        </w:rPr>
        <w:t>Your Board recommends a vote FOR Proposal 2.</w:t>
      </w:r>
    </w:p>
    <w:p>
      <w:pPr>
        <w:pStyle w:val="TextBody"/>
        <w:bidi w:val="0"/>
        <w:spacing w:lineRule="auto" w:line="312" w:before="80" w:after="283"/>
        <w:jc w:val="both"/>
        <w:rPr/>
      </w:pPr>
      <w:r>
        <w:rPr>
          <w:rFonts w:ascii="Lato;sans-serif" w:hAnsi="Lato;sans-serif"/>
          <w:b/>
          <w:color w:val="000000"/>
          <w:sz w:val="16"/>
          <w:shd w:fill="FFFFFF" w:val="clear"/>
        </w:rPr>
        <w:t xml:space="preserve">Other Business: </w:t>
      </w:r>
      <w:r>
        <w:rPr>
          <w:rFonts w:ascii="Lato;sans-serif" w:hAnsi="Lato;sans-serif"/>
          <w:b w:val="false"/>
          <w:color w:val="000000"/>
          <w:sz w:val="16"/>
          <w:shd w:fill="FFFFFF" w:val="clear"/>
        </w:rPr>
        <w:t>Transact any other business as may properly come before the meeting or any adjournment or postponement thereof.</w:t>
      </w:r>
    </w:p>
    <w:p>
      <w:pPr>
        <w:pStyle w:val="TextBody"/>
        <w:bidi w:val="0"/>
        <w:spacing w:before="0" w:after="0"/>
        <w:jc w:val="both"/>
        <w:rPr/>
      </w:pPr>
      <w:r>
        <w:rPr/>
      </w:r>
    </w:p>
    <w:p>
      <w:pPr>
        <w:pStyle w:val="TextBody"/>
        <w:bidi w:val="0"/>
        <w:spacing w:lineRule="auto" w:line="312" w:before="0" w:after="160"/>
        <w:jc w:val="both"/>
        <w:rPr/>
      </w:pPr>
      <w:r>
        <w:rPr>
          <w:rFonts w:ascii="Lato;sans-serif" w:hAnsi="Lato;sans-serif"/>
          <w:b w:val="false"/>
          <w:color w:val="000000"/>
          <w:sz w:val="16"/>
          <w:shd w:fill="FFFFFF" w:val="clear"/>
        </w:rPr>
        <w:t xml:space="preserve">You can vote electronically during the Annual Meeting by proxy if you were a stockholder of record at the close of business on </w:t>
      </w:r>
      <w:r>
        <w:rPr>
          <w:rFonts w:ascii="Lato;sans-serif" w:hAnsi="Lato;sans-serif"/>
          <w:b w:val="false"/>
          <w:color w:val="000000"/>
          <w:sz w:val="16"/>
        </w:rPr>
        <w:t>April 8, 2025</w:t>
      </w:r>
      <w:r>
        <w:rPr>
          <w:rFonts w:ascii="Lato;sans-serif" w:hAnsi="Lato;sans-serif"/>
          <w:b w:val="false"/>
          <w:color w:val="000000"/>
          <w:sz w:val="16"/>
          <w:shd w:fill="FFFFFF" w:val="clear"/>
        </w:rPr>
        <w:t xml:space="preserve">. To be admitted to the Annual Meeting, please visit </w:t>
      </w:r>
      <w:r>
        <w:rPr>
          <w:rFonts w:ascii="Lato;sans-serif" w:hAnsi="Lato;sans-serif"/>
          <w:b w:val="false"/>
          <w:color w:val="3051F2"/>
          <w:sz w:val="16"/>
          <w:u w:val="single"/>
          <w:shd w:fill="FFFFFF" w:val="clear"/>
        </w:rPr>
        <w:t>www.virtualshareholdermeeting.com/LUNR2025</w:t>
      </w:r>
      <w:r>
        <w:rPr>
          <w:rFonts w:ascii="Lato;sans-serif" w:hAnsi="Lato;sans-serif"/>
          <w:b w:val="false"/>
          <w:color w:val="000000"/>
          <w:sz w:val="16"/>
          <w:shd w:fill="FFFFFF" w:val="clear"/>
        </w:rPr>
        <w:t>. Stockholders or their legal proxies must enter the control nu</w:t>
      </w:r>
      <w:r>
        <w:rPr>
          <w:rFonts w:ascii="Lato;sans-serif" w:hAnsi="Lato;sans-serif"/>
          <w:b w:val="false"/>
          <w:color w:val="000000"/>
          <w:sz w:val="16"/>
        </w:rPr>
        <w:t xml:space="preserve">mber. You can find instructions for voting online during the virtual Annual Meeting on page </w:t>
      </w:r>
      <w:hyperlink w:anchor="iedc7890289cc447fa98e2e102b35cda2_19920">
        <w:r>
          <w:rPr>
            <w:rStyle w:val="InternetLink"/>
            <w:rFonts w:ascii="Lato;sans-serif" w:hAnsi="Lato;sans-serif"/>
            <w:b w:val="false"/>
            <w:color w:val="0000FF"/>
            <w:sz w:val="16"/>
            <w:u w:val="single"/>
          </w:rPr>
          <w:t>35</w:t>
        </w:r>
      </w:hyperlink>
      <w:r>
        <w:rPr>
          <w:color w:val="000000"/>
        </w:rPr>
        <w:t xml:space="preserve"> </w:t>
      </w:r>
      <w:r>
        <w:rPr>
          <w:rFonts w:ascii="Lato;sans-serif" w:hAnsi="Lato;sans-serif"/>
          <w:b w:val="false"/>
          <w:color w:val="000000"/>
          <w:sz w:val="16"/>
        </w:rPr>
        <w:t>of the accompanying Proxy Statement.</w:t>
      </w:r>
    </w:p>
    <w:p>
      <w:pPr>
        <w:pStyle w:val="TextBody"/>
        <w:bidi w:val="0"/>
        <w:spacing w:lineRule="auto" w:line="312" w:before="160" w:after="283"/>
        <w:jc w:val="both"/>
        <w:rPr>
          <w:rFonts w:ascii="Lato;sans-serif" w:hAnsi="Lato;sans-serif"/>
          <w:b w:val="false"/>
          <w:color w:val="000000"/>
          <w:sz w:val="16"/>
        </w:rPr>
      </w:pPr>
      <w:r>
        <w:rPr>
          <w:rFonts w:ascii="Lato;sans-serif" w:hAnsi="Lato;sans-serif"/>
          <w:b w:val="false"/>
          <w:color w:val="000000"/>
          <w:sz w:val="16"/>
        </w:rPr>
        <w:t>On or about April 22, 2025, we expect to mail the Notice of Internet Availability of Proxy Materials for the Annual Meeting. We are electronically disseminating Annual Meeting materials to our stockholders, as permitted under the "Notice and Access" rules approved by the Securities and Exchange Commission. Stockholders who have not opted out of Notice and Access will receive a Notice of Internet Availability of Proxy Materials containing instructions on how to access Annual Meeting materials via the Internet. The Notice also provides instructions on how to obtain paper copies if preferred.</w:t>
      </w:r>
    </w:p>
    <w:p>
      <w:pPr>
        <w:pStyle w:val="TextBody"/>
        <w:bidi w:val="0"/>
        <w:spacing w:before="0" w:after="0"/>
        <w:jc w:val="both"/>
        <w:rPr/>
      </w:pPr>
      <w:r>
        <w:rPr/>
      </w:r>
    </w:p>
    <w:p>
      <w:pPr>
        <w:pStyle w:val="TextBody"/>
        <w:bidi w:val="0"/>
        <w:spacing w:lineRule="auto" w:line="312" w:before="0" w:after="0"/>
        <w:jc w:val="both"/>
        <w:rPr>
          <w:rFonts w:ascii="Lato;sans-serif" w:hAnsi="Lato;sans-serif"/>
          <w:b/>
          <w:color w:val="000000"/>
          <w:sz w:val="16"/>
        </w:rPr>
      </w:pPr>
      <w:r>
        <w:rPr>
          <w:rFonts w:ascii="Lato;sans-serif" w:hAnsi="Lato;sans-serif"/>
          <w:b/>
          <w:color w:val="000000"/>
          <w:sz w:val="16"/>
        </w:rPr>
        <w:t>YOUR VOTE IS IMPORTANT. Whether or not you plan to attend the Annual Meeting, we urge you to submit your vote promptly via the Internet, telephone or mail.</w:t>
      </w:r>
    </w:p>
    <w:p>
      <w:pPr>
        <w:pStyle w:val="TextBody"/>
        <w:bidi w:val="0"/>
        <w:spacing w:lineRule="auto" w:line="312" w:before="160" w:after="283"/>
        <w:jc w:val="both"/>
        <w:rPr>
          <w:rFonts w:ascii="Lato;sans-serif" w:hAnsi="Lato;sans-serif"/>
          <w:b/>
          <w:color w:val="000000"/>
          <w:sz w:val="16"/>
        </w:rPr>
      </w:pPr>
      <w:r>
        <w:rPr>
          <w:rFonts w:ascii="Lato;sans-serif" w:hAnsi="Lato;sans-serif"/>
          <w:b/>
          <w:color w:val="000000"/>
          <w:sz w:val="16"/>
        </w:rPr>
        <w:t>All stockholders are cordially invited to attend the Annual Meeting, which will be held virtually via the Internet. Whether or not you expect to attend the Annual Meeting, please vote over the telephone or the internet as instructed in these materials, or, if you receive a paper proxy card by mail, by completing and returning the proxy card mailed to you, as promptly as possible in order to ensure your representation at the meeting. Even if you have voted by proxy, you may still attend the meeting. Please note, however, that if your shares are held of record by a broker, bank or other nominee and you wish to vote at the meeting, you may need to obtain a proxy issued in your name from that record holder. Please contact your broker, bank or other nominee for information about specific requirements if you would like to vote your shares at the meeting.</w:t>
      </w:r>
    </w:p>
    <w:p>
      <w:pPr>
        <w:pStyle w:val="TextBody"/>
        <w:bidi w:val="0"/>
        <w:spacing w:lineRule="auto" w:line="312" w:before="160" w:after="283"/>
        <w:jc w:val="both"/>
        <w:rPr>
          <w:rFonts w:ascii="Lato;sans-serif" w:hAnsi="Lato;sans-serif"/>
          <w:b w:val="false"/>
          <w:color w:val="000000"/>
          <w:sz w:val="16"/>
        </w:rPr>
      </w:pPr>
      <w:r>
        <w:rPr>
          <w:rFonts w:ascii="Lato;sans-serif" w:hAnsi="Lato;sans-serif"/>
          <w:b w:val="false"/>
          <w:color w:val="000000"/>
          <w:sz w:val="16"/>
        </w:rPr>
        <w:t>By Order of the Board of Directors,</w:t>
      </w:r>
    </w:p>
    <w:p>
      <w:pPr>
        <w:pStyle w:val="TextBody"/>
        <w:bidi w:val="0"/>
        <w:spacing w:before="80" w:after="160"/>
        <w:jc w:val="left"/>
        <w:rPr/>
      </w:pPr>
      <w:r>
        <w:rPr/>
        <w:drawing>
          <wp:inline distT="0" distB="0" distL="0" distR="0">
            <wp:extent cx="1219200" cy="43815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219200" cy="438150"/>
                    </a:xfrm>
                    <a:prstGeom prst="rect">
                      <a:avLst/>
                    </a:prstGeom>
                  </pic:spPr>
                </pic:pic>
              </a:graphicData>
            </a:graphic>
          </wp:inline>
        </w:drawing>
      </w:r>
    </w:p>
    <w:p>
      <w:pPr>
        <w:pStyle w:val="TextBody"/>
        <w:bidi w:val="0"/>
        <w:spacing w:lineRule="auto" w:line="312" w:before="0" w:after="160"/>
        <w:jc w:val="left"/>
        <w:rPr/>
      </w:pPr>
      <w:r>
        <w:rPr>
          <w:rFonts w:ascii="Lato;sans-serif" w:hAnsi="Lato;sans-serif"/>
          <w:b w:val="false"/>
          <w:color w:val="000000"/>
          <w:sz w:val="16"/>
        </w:rPr>
        <w:t>Anna Jones</w:t>
        <w:br/>
      </w:r>
      <w:r>
        <w:rPr>
          <w:rFonts w:ascii="Lato;sans-serif" w:hAnsi="Lato;sans-serif"/>
          <w:b w:val="false"/>
          <w:i/>
          <w:color w:val="000000"/>
          <w:sz w:val="16"/>
        </w:rPr>
        <w:t>General Counsel and Corporate Secretary</w:t>
      </w:r>
    </w:p>
    <w:p>
      <w:pPr>
        <w:pStyle w:val="TextBody"/>
        <w:bidi w:val="0"/>
        <w:spacing w:lineRule="auto" w:line="312" w:before="160" w:after="160"/>
        <w:jc w:val="left"/>
        <w:rPr>
          <w:rFonts w:ascii="Lato;sans-serif" w:hAnsi="Lato;sans-serif"/>
          <w:b w:val="false"/>
          <w:color w:val="000000"/>
          <w:sz w:val="16"/>
        </w:rPr>
      </w:pPr>
      <w:r>
        <w:rPr>
          <w:rFonts w:ascii="Lato;sans-serif" w:hAnsi="Lato;sans-serif"/>
          <w:b w:val="false"/>
          <w:color w:val="000000"/>
          <w:sz w:val="16"/>
        </w:rPr>
        <w:t>Houston, Texas</w:t>
        <w:br/>
        <w:t>April 22, 2025</w:t>
      </w:r>
    </w:p>
    <w:p>
      <w:pPr>
        <w:pStyle w:val="TextBody"/>
        <w:bidi w:val="0"/>
        <w:spacing w:before="160" w:after="160"/>
        <w:jc w:val="center"/>
        <w:rPr/>
      </w:pPr>
      <w:r>
        <w:rPr/>
      </w:r>
    </w:p>
    <w:p>
      <w:pPr>
        <w:pStyle w:val="TextBody"/>
        <w:bidi w:val="0"/>
        <w:spacing w:lineRule="auto" w:line="312" w:before="160" w:after="160"/>
        <w:jc w:val="left"/>
        <w:rPr>
          <w:rFonts w:ascii="Lato;sans-serif" w:hAnsi="Lato;sans-serif"/>
          <w:b/>
          <w:color w:val="000000"/>
          <w:sz w:val="16"/>
        </w:rPr>
      </w:pPr>
      <w:r>
        <w:rPr>
          <w:rFonts w:ascii="Lato;sans-serif" w:hAnsi="Lato;sans-serif"/>
          <w:b/>
          <w:color w:val="000000"/>
          <w:sz w:val="16"/>
        </w:rPr>
        <w:t>IMPORTANT NOTICE REGARDING THE AVAILABILITY OF PROXY MATERIALS FOR THE ANNUAL MEETING OF STOCKHOLDERS TO BE HELD ON JUNE 5, 2025:</w:t>
      </w:r>
    </w:p>
    <w:p>
      <w:pPr>
        <w:pStyle w:val="TextBody"/>
        <w:bidi w:val="0"/>
        <w:spacing w:lineRule="auto" w:line="312" w:before="160" w:after="283"/>
        <w:jc w:val="left"/>
        <w:rPr>
          <w:rFonts w:ascii="Lato;sans-serif" w:hAnsi="Lato;sans-serif"/>
          <w:b w:val="false"/>
          <w:color w:val="000000"/>
          <w:sz w:val="16"/>
        </w:rPr>
      </w:pPr>
      <w:r>
        <w:rPr>
          <w:rFonts w:ascii="Lato;sans-serif" w:hAnsi="Lato;sans-serif"/>
          <w:b w:val="false"/>
          <w:color w:val="000000"/>
          <w:sz w:val="16"/>
        </w:rPr>
        <w:t>The notice of annual meeting, the Proxy Statement and the Company’s Annual Report are available at www.proxyvote.com. Web links throughout this Proxy Statement are provided for convenience only, and the content on the referenced websites does not constitute a part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28650"/>
                <wp:effectExtent l="0" t="0" r="0" b="0"/>
                <wp:wrapNone/>
                <wp:docPr id="9" name="Frame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80" w:after="283"/>
        <w:jc w:val="left"/>
        <w:rPr>
          <w:rFonts w:ascii="Lato;sans-serif" w:hAnsi="Lato;sans-serif"/>
          <w:b/>
          <w:color w:val="000000"/>
          <w:sz w:val="18"/>
        </w:rPr>
      </w:pPr>
      <w:r>
        <w:rPr>
          <w:rFonts w:ascii="Lato;sans-serif" w:hAnsi="Lato;sans-serif"/>
          <w:b/>
          <w:color w:val="000000"/>
          <w:sz w:val="18"/>
        </w:rPr>
        <w:t>INTUITIVE MACHINES, INC.</w:t>
      </w:r>
    </w:p>
    <w:p>
      <w:pPr>
        <w:pStyle w:val="TextBody"/>
        <w:bidi w:val="0"/>
        <w:spacing w:lineRule="auto" w:line="312" w:before="80" w:after="283"/>
        <w:jc w:val="left"/>
        <w:rPr>
          <w:rFonts w:ascii="Lato;sans-serif" w:hAnsi="Lato;sans-serif"/>
          <w:b w:val="false"/>
          <w:color w:val="000000"/>
          <w:sz w:val="18"/>
        </w:rPr>
      </w:pPr>
      <w:r>
        <w:rPr>
          <w:rFonts w:ascii="Lato;sans-serif" w:hAnsi="Lato;sans-serif"/>
          <w:b w:val="false"/>
          <w:color w:val="000000"/>
          <w:sz w:val="18"/>
        </w:rPr>
        <w:t>Proxy Statement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60" w:after="160"/>
        <w:jc w:val="left"/>
        <w:rPr>
          <w:rFonts w:ascii="Lato;sans-serif" w:hAnsi="Lato;sans-serif"/>
          <w:b/>
          <w:color w:val="005CB9"/>
          <w:sz w:val="32"/>
        </w:rPr>
      </w:pPr>
      <w:r>
        <w:rPr>
          <w:rFonts w:ascii="Lato;sans-serif" w:hAnsi="Lato;sans-serif"/>
          <w:b/>
          <w:color w:val="005CB9"/>
          <w:sz w:val="32"/>
        </w:rPr>
        <w:t>Table of Contents</w:t>
      </w:r>
    </w:p>
    <w:tbl>
      <w:tblPr>
        <w:tblW w:w="6061" w:type="dxa"/>
        <w:jc w:val="left"/>
        <w:tblInd w:w="0" w:type="dxa"/>
        <w:tblLayout w:type="fixed"/>
        <w:tblCellMar>
          <w:top w:w="28" w:type="dxa"/>
          <w:left w:w="28" w:type="dxa"/>
          <w:bottom w:w="28" w:type="dxa"/>
          <w:right w:w="28" w:type="dxa"/>
        </w:tblCellMar>
      </w:tblPr>
      <w:tblGrid>
        <w:gridCol w:w="2051"/>
        <w:gridCol w:w="1805"/>
        <w:gridCol w:w="1814"/>
        <w:gridCol w:w="114"/>
        <w:gridCol w:w="114"/>
        <w:gridCol w:w="163"/>
      </w:tblGrid>
      <w:tr>
        <w:trPr/>
        <w:tc>
          <w:tcPr>
            <w:tcW w:w="2051"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43">
              <w:r>
                <w:rPr>
                  <w:rStyle w:val="InternetLink"/>
                  <w:rFonts w:ascii="Lato;sans-serif" w:hAnsi="Lato;sans-serif"/>
                  <w:b/>
                  <w:strike w:val="false"/>
                  <w:dstrike w:val="false"/>
                  <w:color w:val="000000"/>
                  <w:sz w:val="18"/>
                  <w:u w:val="none"/>
                  <w:effect w:val="none"/>
                </w:rPr>
                <w:t>About Intuitive Machines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43">
              <w:r>
                <w:rPr>
                  <w:rStyle w:val="InternetLink"/>
                  <w:rFonts w:ascii="Lato;sans-serif" w:hAnsi="Lato;sans-serif"/>
                  <w:b w:val="false"/>
                  <w:strike w:val="false"/>
                  <w:dstrike w:val="false"/>
                  <w:color w:val="000000"/>
                  <w:sz w:val="18"/>
                  <w:u w:val="none"/>
                  <w:effect w:val="none"/>
                </w:rPr>
                <w:t>6</w:t>
              </w:r>
            </w:hyperlink>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19">
              <w:r>
                <w:rPr>
                  <w:rStyle w:val="InternetLink"/>
                  <w:rFonts w:ascii="Lato;sans-serif" w:hAnsi="Lato;sans-serif"/>
                  <w:b/>
                  <w:strike w:val="false"/>
                  <w:dstrike w:val="false"/>
                  <w:color w:val="000000"/>
                  <w:sz w:val="18"/>
                  <w:u w:val="none"/>
                  <w:effect w:val="none"/>
                </w:rPr>
                <w:t>Proxy Summary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19">
              <w:r>
                <w:rPr>
                  <w:rStyle w:val="InternetLink"/>
                  <w:rFonts w:ascii="Lato;sans-serif" w:hAnsi="Lato;sans-serif"/>
                  <w:b w:val="false"/>
                  <w:strike w:val="false"/>
                  <w:dstrike w:val="false"/>
                  <w:color w:val="000000"/>
                  <w:sz w:val="18"/>
                  <w:u w:val="none"/>
                  <w:effect w:val="none"/>
                </w:rPr>
                <w:t>7</w:t>
              </w:r>
            </w:hyperlink>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22">
              <w:r>
                <w:rPr>
                  <w:rStyle w:val="InternetLink"/>
                  <w:rFonts w:ascii="Lato;sans-serif" w:hAnsi="Lato;sans-serif"/>
                  <w:b w:val="false"/>
                  <w:strike w:val="false"/>
                  <w:dstrike w:val="false"/>
                  <w:color w:val="000000"/>
                  <w:sz w:val="18"/>
                  <w:u w:val="none"/>
                  <w:effect w:val="none"/>
                </w:rPr>
                <w:t>Voting Matters and Board Recommendations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22">
              <w:r>
                <w:rPr>
                  <w:rStyle w:val="InternetLink"/>
                  <w:rFonts w:ascii="Lato;sans-serif" w:hAnsi="Lato;sans-serif"/>
                  <w:b w:val="false"/>
                  <w:strike w:val="false"/>
                  <w:dstrike w:val="false"/>
                  <w:color w:val="000000"/>
                  <w:sz w:val="18"/>
                  <w:u w:val="none"/>
                  <w:effect w:val="none"/>
                </w:rPr>
                <w:t>7</w:t>
              </w:r>
            </w:hyperlink>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25">
              <w:r>
                <w:rPr>
                  <w:rStyle w:val="InternetLink"/>
                  <w:rFonts w:ascii="Lato;sans-serif" w:hAnsi="Lato;sans-serif"/>
                  <w:b/>
                  <w:strike w:val="false"/>
                  <w:dstrike w:val="false"/>
                  <w:color w:val="005CB9"/>
                  <w:sz w:val="18"/>
                  <w:u w:val="none"/>
                  <w:effect w:val="none"/>
                </w:rPr>
                <w:t>Proposal No. 1 - Election of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25">
              <w:r>
                <w:rPr>
                  <w:rStyle w:val="InternetLink"/>
                  <w:rFonts w:ascii="Lato;sans-serif" w:hAnsi="Lato;sans-serif"/>
                  <w:b w:val="false"/>
                  <w:strike w:val="false"/>
                  <w:dstrike w:val="false"/>
                  <w:color w:val="000000"/>
                  <w:sz w:val="18"/>
                  <w:u w:val="none"/>
                  <w:effect w:val="none"/>
                </w:rPr>
                <w:t>8</w:t>
              </w:r>
            </w:hyperlink>
          </w:p>
        </w:tc>
      </w:tr>
      <w:tr>
        <w:trPr/>
        <w:tc>
          <w:tcPr>
            <w:tcW w:w="5670" w:type="dxa"/>
            <w:gridSpan w:val="3"/>
            <w:tcBorders/>
            <w:tcMar>
              <w:top w:w="0" w:type="dxa"/>
              <w:left w:w="0" w:type="dxa"/>
              <w:bottom w:w="0" w:type="dxa"/>
              <w:right w:w="0" w:type="dxa"/>
            </w:tcMar>
            <w:vAlign w:val="center"/>
          </w:tcPr>
          <w:p>
            <w:pPr>
              <w:pStyle w:val="TableContents"/>
              <w:bidi w:val="0"/>
              <w:spacing w:lineRule="auto" w:line="312" w:before="160" w:after="160"/>
              <w:ind w:left="0" w:right="0" w:firstLine="360"/>
              <w:jc w:val="left"/>
              <w:rPr/>
            </w:pPr>
            <w:hyperlink w:anchor="i0d47ff4ed33a4fec9f9ecbfa6b56655b_28">
              <w:r>
                <w:rPr>
                  <w:rStyle w:val="InternetLink"/>
                  <w:rFonts w:ascii="Lato;sans-serif" w:hAnsi="Lato;sans-serif"/>
                  <w:b w:val="false"/>
                  <w:strike w:val="false"/>
                  <w:dstrike w:val="false"/>
                  <w:color w:val="000000"/>
                  <w:sz w:val="18"/>
                  <w:u w:val="none"/>
                  <w:effect w:val="none"/>
                </w:rPr>
                <w:t>Classified Board of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28">
              <w:r>
                <w:rPr>
                  <w:rStyle w:val="InternetLink"/>
                  <w:rFonts w:ascii="Lato;sans-serif" w:hAnsi="Lato;sans-serif"/>
                  <w:b w:val="false"/>
                  <w:strike w:val="false"/>
                  <w:dstrike w:val="false"/>
                  <w:color w:val="000000"/>
                  <w:sz w:val="18"/>
                  <w:u w:val="none"/>
                  <w:effect w:val="none"/>
                </w:rPr>
                <w:t>8</w:t>
              </w:r>
            </w:hyperlink>
          </w:p>
        </w:tc>
      </w:tr>
      <w:tr>
        <w:trPr/>
        <w:tc>
          <w:tcPr>
            <w:tcW w:w="5670" w:type="dxa"/>
            <w:gridSpan w:val="3"/>
            <w:tcBorders/>
            <w:tcMar>
              <w:top w:w="0" w:type="dxa"/>
              <w:left w:w="0" w:type="dxa"/>
              <w:bottom w:w="0" w:type="dxa"/>
              <w:right w:w="0" w:type="dxa"/>
            </w:tcMar>
            <w:vAlign w:val="center"/>
          </w:tcPr>
          <w:p>
            <w:pPr>
              <w:pStyle w:val="TableContents"/>
              <w:bidi w:val="0"/>
              <w:spacing w:lineRule="auto" w:line="312" w:before="75" w:after="30"/>
              <w:ind w:left="0" w:right="0" w:firstLine="360"/>
              <w:jc w:val="left"/>
              <w:rPr/>
            </w:pPr>
            <w:hyperlink w:anchor="i0d47ff4ed33a4fec9f9ecbfa6b56655b_31">
              <w:r>
                <w:rPr>
                  <w:rStyle w:val="InternetLink"/>
                  <w:rFonts w:ascii="Lato;sans-serif" w:hAnsi="Lato;sans-serif"/>
                  <w:b w:val="false"/>
                  <w:strike w:val="false"/>
                  <w:dstrike w:val="false"/>
                  <w:color w:val="000080"/>
                  <w:sz w:val="18"/>
                  <w:u w:val="single"/>
                  <w:effect w:val="none"/>
                </w:rPr>
                <w:t xml:space="preserve">Director </w:t>
              </w:r>
            </w:hyperlink>
            <w:hyperlink w:anchor="i0d47ff4ed33a4fec9f9ecbfa6b56655b_31">
              <w:r>
                <w:rPr>
                  <w:rStyle w:val="InternetLink"/>
                  <w:rFonts w:ascii="Lato;sans-serif" w:hAnsi="Lato;sans-serif"/>
                  <w:b w:val="false"/>
                  <w:strike w:val="false"/>
                  <w:dstrike w:val="false"/>
                  <w:color w:val="000080"/>
                  <w:sz w:val="18"/>
                  <w:u w:val="single"/>
                  <w:effect w:val="none"/>
                </w:rPr>
                <w:t>and Nominees</w:t>
              </w:r>
            </w:hyperlink>
            <w:hyperlink w:anchor="i0d47ff4ed33a4fec9f9ecbfa6b56655b_31">
              <w:r>
                <w:rPr>
                  <w:rStyle w:val="InternetLink"/>
                  <w:rFonts w:ascii="Lato;sans-serif" w:hAnsi="Lato;sans-serif"/>
                  <w:b w:val="false"/>
                  <w:strike w:val="false"/>
                  <w:dstrike w:val="false"/>
                  <w:color w:val="000080"/>
                  <w:sz w:val="18"/>
                  <w:u w:val="single"/>
                  <w:effect w:val="none"/>
                </w:rPr>
                <w:t xml:space="preserve">  </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31">
              <w:r>
                <w:rPr>
                  <w:rStyle w:val="InternetLink"/>
                  <w:rFonts w:ascii="Lato;sans-serif" w:hAnsi="Lato;sans-serif"/>
                  <w:b w:val="false"/>
                  <w:strike w:val="false"/>
                  <w:dstrike w:val="false"/>
                  <w:color w:val="000000"/>
                  <w:sz w:val="18"/>
                  <w:u w:val="none"/>
                  <w:effect w:val="none"/>
                </w:rPr>
                <w:t>8</w:t>
              </w:r>
            </w:hyperlink>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722">
              <w:r>
                <w:rPr>
                  <w:rStyle w:val="InternetLink"/>
                  <w:rFonts w:ascii="Lato;sans-serif" w:hAnsi="Lato;sans-serif"/>
                  <w:b/>
                  <w:strike w:val="false"/>
                  <w:dstrike w:val="false"/>
                  <w:color w:val="000000"/>
                  <w:sz w:val="18"/>
                  <w:u w:val="none"/>
                  <w:effect w:val="none"/>
                </w:rPr>
                <w:t>Executive Officers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722">
              <w:r>
                <w:rPr>
                  <w:rStyle w:val="InternetLink"/>
                  <w:rFonts w:ascii="Lato;sans-serif" w:hAnsi="Lato;sans-serif"/>
                  <w:b w:val="false"/>
                  <w:strike w:val="false"/>
                  <w:dstrike w:val="false"/>
                  <w:color w:val="000000"/>
                  <w:sz w:val="18"/>
                  <w:u w:val="none"/>
                  <w:effect w:val="none"/>
                </w:rPr>
                <w:t>11</w:t>
              </w:r>
            </w:hyperlink>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34">
              <w:r>
                <w:rPr>
                  <w:rStyle w:val="InternetLink"/>
                  <w:rFonts w:ascii="Lato;sans-serif" w:hAnsi="Lato;sans-serif"/>
                  <w:b/>
                  <w:strike w:val="false"/>
                  <w:dstrike w:val="false"/>
                  <w:color w:val="000000"/>
                  <w:sz w:val="18"/>
                  <w:u w:val="none"/>
                  <w:effect w:val="none"/>
                </w:rPr>
                <w:t>Corporate Governance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34">
              <w:r>
                <w:rPr>
                  <w:rStyle w:val="InternetLink"/>
                  <w:rFonts w:ascii="Lato;sans-serif" w:hAnsi="Lato;sans-serif"/>
                  <w:b w:val="false"/>
                  <w:strike w:val="false"/>
                  <w:dstrike w:val="false"/>
                  <w:color w:val="000000"/>
                  <w:sz w:val="18"/>
                  <w:u w:val="none"/>
                  <w:effect w:val="none"/>
                </w:rPr>
                <w:t>12</w:t>
              </w:r>
            </w:hyperlink>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40">
              <w:r>
                <w:rPr>
                  <w:rStyle w:val="InternetLink"/>
                  <w:rFonts w:ascii="Lato;sans-serif" w:hAnsi="Lato;sans-serif"/>
                  <w:b w:val="false"/>
                  <w:strike w:val="false"/>
                  <w:dstrike w:val="false"/>
                  <w:color w:val="000000"/>
                  <w:sz w:val="18"/>
                  <w:u w:val="none"/>
                  <w:effect w:val="none"/>
                </w:rPr>
                <w:t>Director Qualifications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40">
              <w:r>
                <w:rPr>
                  <w:rStyle w:val="InternetLink"/>
                  <w:rFonts w:ascii="Lato;sans-serif" w:hAnsi="Lato;sans-serif"/>
                  <w:b w:val="false"/>
                  <w:strike w:val="false"/>
                  <w:dstrike w:val="false"/>
                  <w:color w:val="000000"/>
                  <w:sz w:val="18"/>
                  <w:u w:val="none"/>
                  <w:effect w:val="none"/>
                </w:rPr>
                <w:t>12</w:t>
              </w:r>
            </w:hyperlink>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735">
              <w:r>
                <w:rPr>
                  <w:rStyle w:val="InternetLink"/>
                  <w:rFonts w:ascii="Lato;sans-serif" w:hAnsi="Lato;sans-serif"/>
                  <w:b w:val="false"/>
                  <w:strike w:val="false"/>
                  <w:dstrike w:val="false"/>
                  <w:color w:val="000000"/>
                  <w:sz w:val="18"/>
                  <w:u w:val="none"/>
                  <w:effect w:val="none"/>
                </w:rPr>
                <w:t>Board Evaluations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735">
              <w:r>
                <w:rPr>
                  <w:rStyle w:val="InternetLink"/>
                  <w:rFonts w:ascii="Lato;sans-serif" w:hAnsi="Lato;sans-serif"/>
                  <w:b w:val="false"/>
                  <w:strike w:val="false"/>
                  <w:dstrike w:val="false"/>
                  <w:color w:val="000000"/>
                  <w:sz w:val="18"/>
                  <w:u w:val="none"/>
                  <w:effect w:val="none"/>
                </w:rPr>
                <w:t>12</w:t>
              </w:r>
            </w:hyperlink>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46">
              <w:r>
                <w:rPr>
                  <w:rStyle w:val="InternetLink"/>
                  <w:rFonts w:ascii="Lato;sans-serif" w:hAnsi="Lato;sans-serif"/>
                  <w:b w:val="false"/>
                  <w:strike w:val="false"/>
                  <w:dstrike w:val="false"/>
                  <w:color w:val="000000"/>
                  <w:sz w:val="18"/>
                  <w:u w:val="none"/>
                  <w:effect w:val="none"/>
                </w:rPr>
                <w:t>Director Independence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46">
              <w:r>
                <w:rPr>
                  <w:rStyle w:val="InternetLink"/>
                  <w:rFonts w:ascii="Lato;sans-serif" w:hAnsi="Lato;sans-serif"/>
                  <w:b w:val="false"/>
                  <w:strike w:val="false"/>
                  <w:dstrike w:val="false"/>
                  <w:color w:val="000000"/>
                  <w:sz w:val="18"/>
                  <w:u w:val="none"/>
                  <w:effect w:val="none"/>
                </w:rPr>
                <w:t>13</w:t>
              </w:r>
            </w:hyperlink>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49">
              <w:r>
                <w:rPr>
                  <w:rStyle w:val="InternetLink"/>
                  <w:rFonts w:ascii="Lato;sans-serif" w:hAnsi="Lato;sans-serif"/>
                  <w:b w:val="false"/>
                  <w:strike w:val="false"/>
                  <w:dstrike w:val="false"/>
                  <w:color w:val="000000"/>
                  <w:sz w:val="18"/>
                  <w:u w:val="none"/>
                  <w:effect w:val="none"/>
                </w:rPr>
                <w:t>Board Leadership Structure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49">
              <w:r>
                <w:rPr>
                  <w:rStyle w:val="InternetLink"/>
                  <w:rFonts w:ascii="Lato;sans-serif" w:hAnsi="Lato;sans-serif"/>
                  <w:b w:val="false"/>
                  <w:strike w:val="false"/>
                  <w:dstrike w:val="false"/>
                  <w:color w:val="000000"/>
                  <w:sz w:val="18"/>
                  <w:u w:val="none"/>
                  <w:effect w:val="none"/>
                </w:rPr>
                <w:t>13</w:t>
              </w:r>
            </w:hyperlink>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52">
              <w:r>
                <w:rPr>
                  <w:rStyle w:val="InternetLink"/>
                  <w:rFonts w:ascii="Lato;sans-serif" w:hAnsi="Lato;sans-serif"/>
                  <w:b w:val="false"/>
                  <w:strike w:val="false"/>
                  <w:dstrike w:val="false"/>
                  <w:color w:val="000000"/>
                  <w:sz w:val="18"/>
                  <w:u w:val="none"/>
                  <w:effect w:val="none"/>
                </w:rPr>
                <w:t>Role of Board in Risk Oversight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52">
              <w:r>
                <w:rPr>
                  <w:rStyle w:val="InternetLink"/>
                  <w:rFonts w:ascii="Lato;sans-serif" w:hAnsi="Lato;sans-serif"/>
                  <w:b w:val="false"/>
                  <w:strike w:val="false"/>
                  <w:dstrike w:val="false"/>
                  <w:color w:val="000000"/>
                  <w:sz w:val="18"/>
                  <w:u w:val="none"/>
                  <w:effect w:val="none"/>
                </w:rPr>
                <w:t>13</w:t>
              </w:r>
            </w:hyperlink>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58">
              <w:r>
                <w:rPr>
                  <w:rStyle w:val="InternetLink"/>
                  <w:rFonts w:ascii="Lato;sans-serif" w:hAnsi="Lato;sans-serif"/>
                  <w:b w:val="false"/>
                  <w:strike w:val="false"/>
                  <w:dstrike w:val="false"/>
                  <w:color w:val="000000"/>
                  <w:sz w:val="18"/>
                  <w:u w:val="none"/>
                  <w:effect w:val="none"/>
                </w:rPr>
                <w:t>Board Meetings and Committees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58">
              <w:r>
                <w:rPr>
                  <w:rStyle w:val="InternetLink"/>
                  <w:rFonts w:ascii="Lato;sans-serif" w:hAnsi="Lato;sans-serif"/>
                  <w:b w:val="false"/>
                  <w:strike w:val="false"/>
                  <w:dstrike w:val="false"/>
                  <w:color w:val="000000"/>
                  <w:sz w:val="18"/>
                  <w:u w:val="none"/>
                  <w:effect w:val="none"/>
                </w:rPr>
                <w:t>13</w:t>
              </w:r>
            </w:hyperlink>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61">
              <w:r>
                <w:rPr>
                  <w:rStyle w:val="InternetLink"/>
                  <w:rFonts w:ascii="Lato;sans-serif" w:hAnsi="Lato;sans-serif"/>
                  <w:b w:val="false"/>
                  <w:strike w:val="false"/>
                  <w:dstrike w:val="false"/>
                  <w:color w:val="000000"/>
                  <w:sz w:val="18"/>
                  <w:u w:val="none"/>
                  <w:effect w:val="none"/>
                </w:rPr>
                <w:t>Code of Business Conduct and Ethics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61">
              <w:r>
                <w:rPr>
                  <w:rStyle w:val="InternetLink"/>
                  <w:rFonts w:ascii="Lato;sans-serif" w:hAnsi="Lato;sans-serif"/>
                  <w:b w:val="false"/>
                  <w:strike w:val="false"/>
                  <w:dstrike w:val="false"/>
                  <w:color w:val="000000"/>
                  <w:sz w:val="18"/>
                  <w:u w:val="none"/>
                  <w:effect w:val="none"/>
                </w:rPr>
                <w:t>15</w:t>
              </w:r>
            </w:hyperlink>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0d47ff4ed33a4fec9f9ecbfa6b56655b_64">
              <w:r>
                <w:rPr>
                  <w:rStyle w:val="InternetLink"/>
                  <w:rFonts w:ascii="Lato;sans-serif" w:hAnsi="Lato;sans-serif"/>
                  <w:b w:val="false"/>
                  <w:strike w:val="false"/>
                  <w:dstrike w:val="false"/>
                  <w:color w:val="000000"/>
                  <w:sz w:val="18"/>
                  <w:u w:val="none"/>
                  <w:effect w:val="none"/>
                </w:rPr>
                <w:t>Compensation Committee Interlocks and Insider Participation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64">
              <w:r>
                <w:rPr>
                  <w:rStyle w:val="InternetLink"/>
                  <w:rFonts w:ascii="Lato;sans-serif" w:hAnsi="Lato;sans-serif"/>
                  <w:b w:val="false"/>
                  <w:strike w:val="false"/>
                  <w:dstrike w:val="false"/>
                  <w:color w:val="000000"/>
                  <w:sz w:val="18"/>
                  <w:u w:val="none"/>
                  <w:effect w:val="none"/>
                </w:rPr>
                <w:t>15</w:t>
              </w:r>
            </w:hyperlink>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0d47ff4ed33a4fec9f9ecbfa6b56655b_67">
              <w:r>
                <w:rPr>
                  <w:rStyle w:val="InternetLink"/>
                  <w:rFonts w:ascii="Lato;sans-serif" w:hAnsi="Lato;sans-serif"/>
                  <w:b w:val="false"/>
                  <w:strike w:val="false"/>
                  <w:dstrike w:val="false"/>
                  <w:color w:val="000000"/>
                  <w:sz w:val="18"/>
                  <w:u w:val="none"/>
                  <w:effect w:val="none"/>
                </w:rPr>
                <w:t>Communication with the Board of Directors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67">
              <w:r>
                <w:rPr>
                  <w:rStyle w:val="InternetLink"/>
                  <w:rFonts w:ascii="Lato;sans-serif" w:hAnsi="Lato;sans-serif"/>
                  <w:b w:val="false"/>
                  <w:strike w:val="false"/>
                  <w:dstrike w:val="false"/>
                  <w:color w:val="000000"/>
                  <w:sz w:val="18"/>
                  <w:u w:val="none"/>
                  <w:effect w:val="none"/>
                </w:rPr>
                <w:t>15</w:t>
              </w:r>
            </w:hyperlink>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0d47ff4ed33a4fec9f9ecbfa6b56655b_70">
              <w:r>
                <w:rPr>
                  <w:rStyle w:val="InternetLink"/>
                  <w:rFonts w:ascii="Lato;sans-serif" w:hAnsi="Lato;sans-serif"/>
                  <w:b w:val="false"/>
                  <w:strike w:val="false"/>
                  <w:dstrike w:val="false"/>
                  <w:color w:val="000000"/>
                  <w:sz w:val="18"/>
                  <w:u w:val="none"/>
                  <w:effect w:val="none"/>
                </w:rPr>
                <w:t>Certain Relationships and Related Party Transactions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70">
              <w:r>
                <w:rPr>
                  <w:rStyle w:val="InternetLink"/>
                  <w:rFonts w:ascii="Lato;sans-serif" w:hAnsi="Lato;sans-serif"/>
                  <w:b w:val="false"/>
                  <w:strike w:val="false"/>
                  <w:dstrike w:val="false"/>
                  <w:color w:val="000000"/>
                  <w:sz w:val="18"/>
                  <w:u w:val="none"/>
                  <w:effect w:val="none"/>
                </w:rPr>
                <w:t>16</w:t>
              </w:r>
            </w:hyperlink>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76">
              <w:r>
                <w:rPr>
                  <w:rStyle w:val="InternetLink"/>
                  <w:rFonts w:ascii="Lato;sans-serif" w:hAnsi="Lato;sans-serif"/>
                  <w:b/>
                  <w:strike w:val="false"/>
                  <w:dstrike w:val="false"/>
                  <w:color w:val="000000"/>
                  <w:sz w:val="18"/>
                  <w:u w:val="none"/>
                  <w:effect w:val="none"/>
                </w:rPr>
                <w:t>Director Compensation Plan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76">
              <w:r>
                <w:rPr>
                  <w:rStyle w:val="InternetLink"/>
                  <w:rFonts w:ascii="Lato;sans-serif" w:hAnsi="Lato;sans-serif"/>
                  <w:b w:val="false"/>
                  <w:strike w:val="false"/>
                  <w:dstrike w:val="false"/>
                  <w:color w:val="000000"/>
                  <w:sz w:val="18"/>
                  <w:u w:val="none"/>
                  <w:effect w:val="none"/>
                </w:rPr>
                <w:t>22</w:t>
              </w:r>
            </w:hyperlink>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79">
              <w:r>
                <w:rPr>
                  <w:rStyle w:val="InternetLink"/>
                  <w:rFonts w:ascii="Lato;sans-serif" w:hAnsi="Lato;sans-serif"/>
                  <w:b w:val="false"/>
                  <w:strike w:val="false"/>
                  <w:dstrike w:val="false"/>
                  <w:color w:val="000000"/>
                  <w:sz w:val="18"/>
                  <w:u w:val="none"/>
                  <w:effect w:val="none"/>
                </w:rPr>
                <w:t>Cash Compensation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79">
              <w:r>
                <w:rPr>
                  <w:rStyle w:val="InternetLink"/>
                  <w:rFonts w:ascii="Lato;sans-serif" w:hAnsi="Lato;sans-serif"/>
                  <w:b w:val="false"/>
                  <w:strike w:val="false"/>
                  <w:dstrike w:val="false"/>
                  <w:color w:val="000000"/>
                  <w:sz w:val="18"/>
                  <w:u w:val="none"/>
                  <w:effect w:val="none"/>
                </w:rPr>
                <w:t>22</w:t>
              </w:r>
            </w:hyperlink>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82">
              <w:r>
                <w:rPr>
                  <w:rStyle w:val="InternetLink"/>
                  <w:rFonts w:ascii="Lato;sans-serif" w:hAnsi="Lato;sans-serif"/>
                  <w:b w:val="false"/>
                  <w:strike w:val="false"/>
                  <w:dstrike w:val="false"/>
                  <w:color w:val="000000"/>
                  <w:sz w:val="18"/>
                  <w:u w:val="none"/>
                  <w:effect w:val="none"/>
                </w:rPr>
                <w:t>Equity Compensation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82">
              <w:r>
                <w:rPr>
                  <w:rStyle w:val="InternetLink"/>
                  <w:rFonts w:ascii="Lato;sans-serif" w:hAnsi="Lato;sans-serif"/>
                  <w:b w:val="false"/>
                  <w:strike w:val="false"/>
                  <w:dstrike w:val="false"/>
                  <w:color w:val="000000"/>
                  <w:sz w:val="18"/>
                  <w:u w:val="none"/>
                  <w:effect w:val="none"/>
                </w:rPr>
                <w:t>22</w:t>
              </w:r>
            </w:hyperlink>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85">
              <w:r>
                <w:rPr>
                  <w:rStyle w:val="InternetLink"/>
                  <w:rFonts w:ascii="Lato;sans-serif" w:hAnsi="Lato;sans-serif"/>
                  <w:b w:val="false"/>
                  <w:strike w:val="false"/>
                  <w:dstrike w:val="false"/>
                  <w:color w:val="000000"/>
                  <w:sz w:val="18"/>
                  <w:u w:val="none"/>
                  <w:effect w:val="none"/>
                </w:rPr>
                <w:t>Director Compensation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85">
              <w:r>
                <w:rPr>
                  <w:rStyle w:val="InternetLink"/>
                  <w:rFonts w:ascii="Lato;sans-serif" w:hAnsi="Lato;sans-serif"/>
                  <w:b w:val="false"/>
                  <w:strike w:val="false"/>
                  <w:dstrike w:val="false"/>
                  <w:color w:val="000000"/>
                  <w:sz w:val="18"/>
                  <w:u w:val="none"/>
                  <w:effect w:val="none"/>
                </w:rPr>
                <w:t>22</w:t>
              </w:r>
            </w:hyperlink>
          </w:p>
        </w:tc>
      </w:tr>
      <w:tr>
        <w:trPr/>
        <w:tc>
          <w:tcPr>
            <w:tcW w:w="56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674">
              <w:r>
                <w:rPr>
                  <w:rStyle w:val="InternetLink"/>
                  <w:rFonts w:ascii="Lato;sans-serif" w:hAnsi="Lato;sans-serif"/>
                  <w:b w:val="false"/>
                  <w:strike w:val="false"/>
                  <w:dstrike w:val="false"/>
                  <w:color w:val="000000"/>
                  <w:sz w:val="18"/>
                  <w:u w:val="none"/>
                  <w:effect w:val="none"/>
                </w:rPr>
                <w:t>Director Deferred Compensation Plan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674">
              <w:r>
                <w:rPr>
                  <w:rStyle w:val="InternetLink"/>
                  <w:rFonts w:ascii="Lato;sans-serif" w:hAnsi="Lato;sans-serif"/>
                  <w:b w:val="false"/>
                  <w:strike w:val="false"/>
                  <w:dstrike w:val="false"/>
                  <w:color w:val="000000"/>
                  <w:sz w:val="18"/>
                  <w:u w:val="none"/>
                  <w:effect w:val="none"/>
                </w:rPr>
                <w:t>23</w:t>
              </w:r>
            </w:hyperlink>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51"/>
        <w:gridCol w:w="3123"/>
        <w:gridCol w:w="3139"/>
        <w:gridCol w:w="114"/>
        <w:gridCol w:w="114"/>
        <w:gridCol w:w="164"/>
      </w:tblGrid>
      <w:tr>
        <w:trPr/>
        <w:tc>
          <w:tcPr>
            <w:tcW w:w="3551" w:type="dxa"/>
            <w:tcBorders/>
            <w:vAlign w:val="center"/>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c>
          <w:tcPr>
            <w:tcW w:w="31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88">
              <w:r>
                <w:rPr>
                  <w:rStyle w:val="InternetLink"/>
                  <w:rFonts w:ascii="Lato;sans-serif" w:hAnsi="Lato;sans-serif"/>
                  <w:b/>
                  <w:strike w:val="false"/>
                  <w:dstrike w:val="false"/>
                  <w:color w:val="000000"/>
                  <w:sz w:val="18"/>
                  <w:u w:val="none"/>
                  <w:effect w:val="none"/>
                </w:rPr>
                <w:t>Ownership of Common Stock</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88">
              <w:r>
                <w:rPr>
                  <w:rStyle w:val="InternetLink"/>
                  <w:rFonts w:ascii="Lato;sans-serif" w:hAnsi="Lato;sans-serif"/>
                  <w:b w:val="false"/>
                  <w:strike w:val="false"/>
                  <w:dstrike w:val="false"/>
                  <w:color w:val="000000"/>
                  <w:sz w:val="18"/>
                  <w:u w:val="none"/>
                  <w:effect w:val="none"/>
                </w:rPr>
                <w:t>24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91">
              <w:r>
                <w:rPr>
                  <w:rStyle w:val="InternetLink"/>
                  <w:rFonts w:ascii="Lato;sans-serif" w:hAnsi="Lato;sans-serif"/>
                  <w:b w:val="false"/>
                  <w:strike w:val="false"/>
                  <w:dstrike w:val="false"/>
                  <w:color w:val="000000"/>
                  <w:sz w:val="18"/>
                  <w:u w:val="none"/>
                  <w:effect w:val="none"/>
                </w:rPr>
                <w:t>Directors and Officers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91">
              <w:r>
                <w:rPr>
                  <w:rStyle w:val="InternetLink"/>
                  <w:rFonts w:ascii="Lato;sans-serif" w:hAnsi="Lato;sans-serif"/>
                  <w:b w:val="false"/>
                  <w:strike w:val="false"/>
                  <w:dstrike w:val="false"/>
                  <w:color w:val="000000"/>
                  <w:sz w:val="18"/>
                  <w:u w:val="none"/>
                  <w:effect w:val="none"/>
                </w:rPr>
                <w:t>24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94">
              <w:r>
                <w:rPr>
                  <w:rStyle w:val="InternetLink"/>
                  <w:rFonts w:ascii="Lato;sans-serif" w:hAnsi="Lato;sans-serif"/>
                  <w:b w:val="false"/>
                  <w:strike w:val="false"/>
                  <w:dstrike w:val="false"/>
                  <w:color w:val="000000"/>
                  <w:sz w:val="18"/>
                  <w:u w:val="none"/>
                  <w:effect w:val="none"/>
                </w:rPr>
                <w:t>Prohibition on Hedging</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94">
              <w:r>
                <w:rPr>
                  <w:rStyle w:val="InternetLink"/>
                  <w:rFonts w:ascii="Lato;sans-serif" w:hAnsi="Lato;sans-serif"/>
                  <w:b w:val="false"/>
                  <w:strike w:val="false"/>
                  <w:dstrike w:val="false"/>
                  <w:color w:val="000000"/>
                  <w:sz w:val="18"/>
                  <w:u w:val="none"/>
                  <w:effect w:val="none"/>
                </w:rPr>
                <w:t>25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97">
              <w:r>
                <w:rPr>
                  <w:rStyle w:val="InternetLink"/>
                  <w:rFonts w:ascii="Lato;sans-serif" w:hAnsi="Lato;sans-serif"/>
                  <w:b w:val="false"/>
                  <w:strike w:val="false"/>
                  <w:dstrike w:val="false"/>
                  <w:color w:val="000000"/>
                  <w:sz w:val="18"/>
                  <w:u w:val="none"/>
                  <w:effect w:val="none"/>
                </w:rPr>
                <w:t>Policy on Stock Pledging</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97">
              <w:r>
                <w:rPr>
                  <w:rStyle w:val="InternetLink"/>
                  <w:rFonts w:ascii="Lato;sans-serif" w:hAnsi="Lato;sans-serif"/>
                  <w:b w:val="false"/>
                  <w:strike w:val="false"/>
                  <w:dstrike w:val="false"/>
                  <w:color w:val="000000"/>
                  <w:sz w:val="18"/>
                  <w:u w:val="none"/>
                  <w:effect w:val="none"/>
                </w:rPr>
                <w:t>25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746">
              <w:r>
                <w:rPr>
                  <w:rStyle w:val="InternetLink"/>
                  <w:rFonts w:ascii="Lato;sans-serif" w:hAnsi="Lato;sans-serif"/>
                  <w:b w:val="false"/>
                  <w:strike w:val="false"/>
                  <w:dstrike w:val="false"/>
                  <w:color w:val="000000"/>
                  <w:sz w:val="18"/>
                  <w:u w:val="none"/>
                  <w:effect w:val="none"/>
                </w:rPr>
                <w:t>Insider Trading Policy</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746">
              <w:r>
                <w:rPr>
                  <w:rStyle w:val="InternetLink"/>
                  <w:rFonts w:ascii="Lato;sans-serif" w:hAnsi="Lato;sans-serif"/>
                  <w:b w:val="false"/>
                  <w:strike w:val="false"/>
                  <w:dstrike w:val="false"/>
                  <w:color w:val="000000"/>
                  <w:sz w:val="18"/>
                  <w:u w:val="none"/>
                  <w:effect w:val="none"/>
                </w:rPr>
                <w:t>25</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103">
              <w:r>
                <w:rPr>
                  <w:rStyle w:val="InternetLink"/>
                  <w:rFonts w:ascii="Lato;sans-serif" w:hAnsi="Lato;sans-serif"/>
                  <w:b/>
                  <w:strike w:val="false"/>
                  <w:dstrike w:val="false"/>
                  <w:color w:val="000000"/>
                  <w:sz w:val="18"/>
                  <w:u w:val="none"/>
                  <w:effect w:val="none"/>
                </w:rPr>
                <w:t>Executive Compensation</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103">
              <w:r>
                <w:rPr>
                  <w:rStyle w:val="InternetLink"/>
                  <w:rFonts w:ascii="Lato;sans-serif" w:hAnsi="Lato;sans-serif"/>
                  <w:b w:val="false"/>
                  <w:strike w:val="false"/>
                  <w:dstrike w:val="false"/>
                  <w:color w:val="000000"/>
                  <w:sz w:val="18"/>
                  <w:u w:val="none"/>
                  <w:effect w:val="none"/>
                </w:rPr>
                <w:t>25</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106">
              <w:r>
                <w:rPr>
                  <w:rStyle w:val="InternetLink"/>
                  <w:rFonts w:ascii="Lato;sans-serif" w:hAnsi="Lato;sans-serif"/>
                  <w:b w:val="false"/>
                  <w:strike w:val="false"/>
                  <w:dstrike w:val="false"/>
                  <w:color w:val="000000"/>
                  <w:sz w:val="18"/>
                  <w:u w:val="none"/>
                  <w:effect w:val="none"/>
                </w:rPr>
                <w:t>Summary Compensation Table</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106">
              <w:r>
                <w:rPr>
                  <w:rStyle w:val="InternetLink"/>
                  <w:rFonts w:ascii="Lato;sans-serif" w:hAnsi="Lato;sans-serif"/>
                  <w:b w:val="false"/>
                  <w:strike w:val="false"/>
                  <w:dstrike w:val="false"/>
                  <w:color w:val="000000"/>
                  <w:sz w:val="18"/>
                  <w:u w:val="none"/>
                  <w:effect w:val="none"/>
                </w:rPr>
                <w:t>26</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0d47ff4ed33a4fec9f9ecbfa6b56655b_109">
              <w:r>
                <w:rPr>
                  <w:rStyle w:val="InternetLink"/>
                  <w:rFonts w:ascii="Lato;sans-serif" w:hAnsi="Lato;sans-serif"/>
                  <w:b w:val="false"/>
                  <w:strike w:val="false"/>
                  <w:dstrike w:val="false"/>
                  <w:color w:val="000000"/>
                  <w:sz w:val="18"/>
                  <w:u w:val="none"/>
                  <w:effect w:val="none"/>
                </w:rPr>
                <w:t>Outstanding Equity Awards at Fiscal Year-End</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109">
              <w:r>
                <w:rPr>
                  <w:rStyle w:val="InternetLink"/>
                  <w:rFonts w:ascii="Lato;sans-serif" w:hAnsi="Lato;sans-serif"/>
                  <w:b w:val="false"/>
                  <w:strike w:val="false"/>
                  <w:dstrike w:val="false"/>
                  <w:color w:val="000000"/>
                  <w:sz w:val="18"/>
                  <w:u w:val="none"/>
                  <w:effect w:val="none"/>
                </w:rPr>
                <w:t>29</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112">
              <w:r>
                <w:rPr>
                  <w:rStyle w:val="InternetLink"/>
                  <w:rFonts w:ascii="Lato;sans-serif" w:hAnsi="Lato;sans-serif"/>
                  <w:b w:val="false"/>
                  <w:strike w:val="false"/>
                  <w:dstrike w:val="false"/>
                  <w:color w:val="000000"/>
                  <w:sz w:val="18"/>
                  <w:u w:val="none"/>
                  <w:effect w:val="none"/>
                </w:rPr>
                <w:t>Executive Compensation Arrangements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112">
              <w:r>
                <w:rPr>
                  <w:rStyle w:val="InternetLink"/>
                  <w:rFonts w:ascii="Lato;sans-serif" w:hAnsi="Lato;sans-serif"/>
                  <w:b w:val="false"/>
                  <w:strike w:val="false"/>
                  <w:dstrike w:val="false"/>
                  <w:color w:val="000000"/>
                  <w:sz w:val="18"/>
                  <w:u w:val="none"/>
                  <w:effect w:val="none"/>
                </w:rPr>
                <w:t>30</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115">
              <w:r>
                <w:rPr>
                  <w:rStyle w:val="InternetLink"/>
                  <w:rFonts w:ascii="Lato;sans-serif" w:hAnsi="Lato;sans-serif"/>
                  <w:b/>
                  <w:strike w:val="false"/>
                  <w:dstrike w:val="false"/>
                  <w:color w:val="000000"/>
                  <w:sz w:val="18"/>
                  <w:u w:val="none"/>
                  <w:effect w:val="none"/>
                </w:rPr>
                <w:t>Equity Compensation Plan Information</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115">
              <w:r>
                <w:rPr>
                  <w:rStyle w:val="InternetLink"/>
                  <w:rFonts w:ascii="Lato;sans-serif" w:hAnsi="Lato;sans-serif"/>
                  <w:b w:val="false"/>
                  <w:strike w:val="false"/>
                  <w:dstrike w:val="false"/>
                  <w:color w:val="000000"/>
                  <w:sz w:val="18"/>
                  <w:u w:val="none"/>
                  <w:effect w:val="none"/>
                </w:rPr>
                <w:t>31</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9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118">
              <w:r>
                <w:rPr>
                  <w:rStyle w:val="InternetLink"/>
                  <w:rFonts w:ascii="Lato;sans-serif" w:hAnsi="Lato;sans-serif"/>
                  <w:b/>
                  <w:strike w:val="false"/>
                  <w:dstrike w:val="false"/>
                  <w:color w:val="005CB9"/>
                  <w:sz w:val="18"/>
                  <w:u w:val="none"/>
                  <w:effect w:val="none"/>
                </w:rPr>
                <w:t>Proposal No. 2 - Ratification of Appointment of Independent Registered Public Accounting Firm</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118">
              <w:r>
                <w:rPr>
                  <w:rStyle w:val="InternetLink"/>
                  <w:rFonts w:ascii="Lato;sans-serif" w:hAnsi="Lato;sans-serif"/>
                  <w:b w:val="false"/>
                  <w:strike w:val="false"/>
                  <w:dstrike w:val="false"/>
                  <w:color w:val="000000"/>
                  <w:sz w:val="18"/>
                  <w:u w:val="none"/>
                  <w:effect w:val="none"/>
                </w:rPr>
                <w:t>32</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121">
              <w:r>
                <w:rPr>
                  <w:rStyle w:val="InternetLink"/>
                  <w:rFonts w:ascii="Lato;sans-serif" w:hAnsi="Lato;sans-serif"/>
                  <w:b w:val="false"/>
                  <w:strike w:val="false"/>
                  <w:dstrike w:val="false"/>
                  <w:color w:val="000000"/>
                  <w:sz w:val="18"/>
                  <w:u w:val="none"/>
                  <w:effect w:val="none"/>
                </w:rPr>
                <w:t>Pre-Approval Policies and Procedures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121">
              <w:r>
                <w:rPr>
                  <w:rStyle w:val="InternetLink"/>
                  <w:rFonts w:ascii="Lato;sans-serif" w:hAnsi="Lato;sans-serif"/>
                  <w:b w:val="false"/>
                  <w:strike w:val="false"/>
                  <w:dstrike w:val="false"/>
                  <w:color w:val="000000"/>
                  <w:sz w:val="18"/>
                  <w:u w:val="none"/>
                  <w:effect w:val="none"/>
                </w:rPr>
                <w:t>32</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124">
              <w:r>
                <w:rPr>
                  <w:rStyle w:val="InternetLink"/>
                  <w:rFonts w:ascii="Lato;sans-serif" w:hAnsi="Lato;sans-serif"/>
                  <w:b/>
                  <w:strike w:val="false"/>
                  <w:dstrike w:val="false"/>
                  <w:color w:val="000000"/>
                  <w:sz w:val="18"/>
                  <w:u w:val="none"/>
                  <w:effect w:val="none"/>
                </w:rPr>
                <w:t>Audit Committee Report</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124">
              <w:r>
                <w:rPr>
                  <w:rStyle w:val="InternetLink"/>
                  <w:rFonts w:ascii="Lato;sans-serif" w:hAnsi="Lato;sans-serif"/>
                  <w:b w:val="false"/>
                  <w:strike w:val="false"/>
                  <w:dstrike w:val="false"/>
                  <w:color w:val="000000"/>
                  <w:sz w:val="18"/>
                  <w:u w:val="none"/>
                  <w:effect w:val="none"/>
                </w:rPr>
                <w:t>33</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9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127">
              <w:r>
                <w:rPr>
                  <w:rStyle w:val="InternetLink"/>
                  <w:rFonts w:ascii="Lato;sans-serif" w:hAnsi="Lato;sans-serif"/>
                  <w:b/>
                  <w:strike w:val="false"/>
                  <w:dstrike w:val="false"/>
                  <w:color w:val="000000"/>
                  <w:sz w:val="18"/>
                  <w:u w:val="none"/>
                  <w:effect w:val="none"/>
                </w:rPr>
                <w:t>Questions and Answers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127">
              <w:r>
                <w:rPr>
                  <w:rStyle w:val="InternetLink"/>
                  <w:rFonts w:ascii="Lato;sans-serif" w:hAnsi="Lato;sans-serif"/>
                  <w:b w:val="false"/>
                  <w:strike w:val="false"/>
                  <w:dstrike w:val="false"/>
                  <w:color w:val="000000"/>
                  <w:sz w:val="18"/>
                  <w:u w:val="none"/>
                  <w:effect w:val="none"/>
                </w:rPr>
                <w:t>34</w:t>
              </w:r>
            </w:hyperlink>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9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130">
              <w:r>
                <w:rPr>
                  <w:rStyle w:val="InternetLink"/>
                  <w:rFonts w:ascii="Lato;sans-serif" w:hAnsi="Lato;sans-serif"/>
                  <w:b/>
                  <w:strike w:val="false"/>
                  <w:dstrike w:val="false"/>
                  <w:color w:val="000000"/>
                  <w:sz w:val="18"/>
                  <w:u w:val="none"/>
                  <w:effect w:val="none"/>
                </w:rPr>
                <w:t>Other Business</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130">
              <w:r>
                <w:rPr>
                  <w:rStyle w:val="InternetLink"/>
                  <w:rFonts w:ascii="Lato;sans-serif" w:hAnsi="Lato;sans-serif"/>
                  <w:b w:val="false"/>
                  <w:strike w:val="false"/>
                  <w:dstrike w:val="false"/>
                  <w:color w:val="000000"/>
                  <w:sz w:val="18"/>
                  <w:u w:val="none"/>
                  <w:effect w:val="none"/>
                </w:rPr>
                <w:t>38</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d47ff4ed33a4fec9f9ecbfa6b56655b_133">
              <w:r>
                <w:rPr>
                  <w:rStyle w:val="InternetLink"/>
                  <w:rFonts w:ascii="Lato;sans-serif" w:hAnsi="Lato;sans-serif"/>
                  <w:b/>
                  <w:strike w:val="false"/>
                  <w:dstrike w:val="false"/>
                  <w:color w:val="000000"/>
                  <w:sz w:val="18"/>
                  <w:u w:val="none"/>
                  <w:effect w:val="none"/>
                </w:rPr>
                <w:t>Availability of Proxy Materials and Annual Report</w:t>
              </w:r>
            </w:hyperlink>
          </w:p>
        </w:tc>
        <w:tc>
          <w:tcPr>
            <w:tcW w:w="39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d47ff4ed33a4fec9f9ecbfa6b56655b_133">
              <w:r>
                <w:rPr>
                  <w:rStyle w:val="InternetLink"/>
                  <w:rFonts w:ascii="Lato;sans-serif" w:hAnsi="Lato;sans-serif"/>
                  <w:b w:val="false"/>
                  <w:strike w:val="false"/>
                  <w:dstrike w:val="false"/>
                  <w:color w:val="000000"/>
                  <w:sz w:val="18"/>
                  <w:u w:val="none"/>
                  <w:effect w:val="none"/>
                </w:rPr>
                <w:t>39</w:t>
              </w:r>
            </w:hyperlink>
          </w:p>
        </w:tc>
      </w:tr>
      <w:tr>
        <w:trPr/>
        <w:tc>
          <w:tcPr>
            <w:tcW w:w="9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40410"/>
                <wp:effectExtent l="0" t="0" r="0" b="0"/>
                <wp:wrapNone/>
                <wp:docPr id="10" name="Frame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72" w:type="dxa"/>
                              <w:jc w:val="center"/>
                              <w:tblInd w:w="0" w:type="dxa"/>
                              <w:tblLayout w:type="fixed"/>
                              <w:tblCellMar>
                                <w:top w:w="28" w:type="dxa"/>
                                <w:left w:w="28" w:type="dxa"/>
                                <w:bottom w:w="28" w:type="dxa"/>
                                <w:right w:w="28" w:type="dxa"/>
                              </w:tblCellMar>
                            </w:tblPr>
                            <w:tblGrid>
                              <w:gridCol w:w="1846"/>
                              <w:gridCol w:w="1623"/>
                              <w:gridCol w:w="1631"/>
                              <w:gridCol w:w="109"/>
                              <w:gridCol w:w="109"/>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72" w:type="dxa"/>
                        <w:jc w:val="center"/>
                        <w:tblInd w:w="0" w:type="dxa"/>
                        <w:tblLayout w:type="fixed"/>
                        <w:tblCellMar>
                          <w:top w:w="28" w:type="dxa"/>
                          <w:left w:w="28" w:type="dxa"/>
                          <w:bottom w:w="28" w:type="dxa"/>
                          <w:right w:w="28" w:type="dxa"/>
                        </w:tblCellMar>
                      </w:tblPr>
                      <w:tblGrid>
                        <w:gridCol w:w="1846"/>
                        <w:gridCol w:w="1623"/>
                        <w:gridCol w:w="1631"/>
                        <w:gridCol w:w="109"/>
                        <w:gridCol w:w="109"/>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0"/>
        <w:jc w:val="center"/>
        <w:rPr>
          <w:rFonts w:ascii="Lato;sans-serif" w:hAnsi="Lato;sans-serif"/>
          <w:b/>
          <w:color w:val="005CB9"/>
          <w:sz w:val="36"/>
        </w:rPr>
      </w:pPr>
      <w:r>
        <w:rPr>
          <w:rFonts w:ascii="Lato;sans-serif" w:hAnsi="Lato;sans-serif"/>
          <w:b/>
          <w:color w:val="005CB9"/>
          <w:sz w:val="36"/>
        </w:rPr>
        <w:t>ABOUT INTUITIVE MACHINES</w:t>
      </w:r>
    </w:p>
    <w:p>
      <w:pPr>
        <w:pStyle w:val="TextBody"/>
        <w:bidi w:val="0"/>
        <w:spacing w:before="0" w:after="0"/>
        <w:jc w:val="center"/>
        <w:rPr/>
      </w:pPr>
      <w:r>
        <w:rPr/>
      </w:r>
    </w:p>
    <w:p>
      <w:pPr>
        <w:pStyle w:val="TextBody"/>
        <w:bidi w:val="0"/>
        <w:spacing w:lineRule="auto" w:line="312" w:before="0" w:after="0"/>
        <w:jc w:val="left"/>
        <w:rPr>
          <w:rFonts w:ascii="Lato Black;sans-serif" w:hAnsi="Lato Black;sans-serif"/>
          <w:b w:val="false"/>
          <w:color w:val="005CB9"/>
          <w:sz w:val="28"/>
        </w:rPr>
      </w:pPr>
      <w:r>
        <w:rPr>
          <w:rFonts w:ascii="Lato Black;sans-serif" w:hAnsi="Lato Black;sans-serif"/>
          <w:b w:val="false"/>
          <w:color w:val="005CB9"/>
          <w:sz w:val="28"/>
        </w:rPr>
        <w:t>Company Overview</w:t>
      </w:r>
    </w:p>
    <w:p>
      <w:pPr>
        <w:pStyle w:val="TextBody"/>
        <w:bidi w:val="0"/>
        <w:spacing w:lineRule="auto" w:line="312" w:before="160" w:after="283"/>
        <w:jc w:val="both"/>
        <w:rPr>
          <w:rFonts w:ascii="Lato;sans-serif" w:hAnsi="Lato;sans-serif"/>
          <w:b w:val="false"/>
          <w:color w:val="000000"/>
          <w:sz w:val="18"/>
        </w:rPr>
      </w:pPr>
      <w:r>
        <w:rPr>
          <w:rFonts w:ascii="Lato;sans-serif" w:hAnsi="Lato;sans-serif"/>
          <w:b w:val="false"/>
          <w:color w:val="000000"/>
          <w:sz w:val="18"/>
        </w:rPr>
        <w:t xml:space="preserve">Intuitive Machines, Inc. ("IM," the "Company") is a space infrastructure and services company founded in 2013 that is contributing to the establishment of cislunar infrastructure and helping to develop cislunar and deep space commerce. Cislunar encompasses objects in orbit in the Earth-Moon system and on the Lunar surface, while deep space exploration is space beyond the Moon, including Mars. We believe we have a leading position in the development of technology platforms operating in three core pillars —delivery services, data transmission services, and infrastructure as a service. </w:t>
      </w:r>
    </w:p>
    <w:p>
      <w:pPr>
        <w:pStyle w:val="TextBody"/>
        <w:bidi w:val="0"/>
        <w:spacing w:lineRule="auto" w:line="312" w:before="0" w:after="0"/>
        <w:jc w:val="both"/>
        <w:rPr/>
      </w:pPr>
      <w:r>
        <w:rPr>
          <w:rFonts w:ascii="Lato;sans-serif" w:hAnsi="Lato;sans-serif"/>
          <w:b/>
          <w:i/>
          <w:color w:val="000000"/>
          <w:sz w:val="18"/>
        </w:rPr>
        <w:t>Delivery Services</w:t>
      </w:r>
      <w:r>
        <w:rPr>
          <w:color w:val="000000"/>
        </w:rPr>
        <w:t xml:space="preserve"> </w:t>
      </w:r>
      <w:r>
        <w:rPr>
          <w:rFonts w:ascii="Lato;sans-serif" w:hAnsi="Lato;sans-serif"/>
          <w:b w:val="false"/>
          <w:color w:val="000000"/>
          <w:sz w:val="18"/>
        </w:rPr>
        <w:t xml:space="preserve">provides for the transportation and delivery of payloads, such as, satellites, scientific instruments and cargo to various destinations in space, in addition to rideshare delivery and lunar surface access. On February 22, 2024, our Nova-C lander became the first U.S. vehicle to softly land on the lunar surface since 1972. In March 2025, our IM-2 mission landed at the southernmost location of the moon, 5 degrees from the south pole and conducted a shortened mission. </w:t>
      </w:r>
    </w:p>
    <w:p>
      <w:pPr>
        <w:pStyle w:val="TextBody"/>
        <w:bidi w:val="0"/>
        <w:spacing w:before="0" w:after="0"/>
        <w:jc w:val="left"/>
        <w:rPr/>
      </w:pPr>
      <w:r>
        <w:rPr/>
      </w:r>
    </w:p>
    <w:p>
      <w:pPr>
        <w:pStyle w:val="TextBody"/>
        <w:bidi w:val="0"/>
        <w:spacing w:lineRule="auto" w:line="312" w:before="0" w:after="0"/>
        <w:jc w:val="both"/>
        <w:rPr/>
      </w:pPr>
      <w:r>
        <w:rPr>
          <w:rFonts w:ascii="Lato;sans-serif" w:hAnsi="Lato;sans-serif"/>
          <w:b/>
          <w:i/>
          <w:color w:val="000000"/>
          <w:sz w:val="18"/>
        </w:rPr>
        <w:t>Data Transmission Services</w:t>
      </w:r>
      <w:r>
        <w:rPr>
          <w:color w:val="000000"/>
        </w:rPr>
        <w:t xml:space="preserve"> </w:t>
      </w:r>
      <w:r>
        <w:rPr>
          <w:rFonts w:ascii="Lato;sans-serif" w:hAnsi="Lato;sans-serif"/>
          <w:b w:val="false"/>
          <w:color w:val="000000"/>
          <w:sz w:val="18"/>
        </w:rPr>
        <w:t xml:space="preserve">offerings include the collection, processing, and interpretation of space-based data, utilizing AI applications, such as, command, control, communications, reconnaissance and prospecting. In September 2024, NASA awarded Intuitive Machines a NSN contract for communication and navigation services for missions in the near space region, which extends from Earth’s surface to beyond the Moon. </w:t>
      </w:r>
    </w:p>
    <w:p>
      <w:pPr>
        <w:pStyle w:val="TextBody"/>
        <w:bidi w:val="0"/>
        <w:spacing w:before="0" w:after="0"/>
        <w:jc w:val="left"/>
        <w:rPr/>
      </w:pPr>
      <w:r>
        <w:rPr/>
      </w:r>
    </w:p>
    <w:p>
      <w:pPr>
        <w:pStyle w:val="TextBody"/>
        <w:bidi w:val="0"/>
        <w:spacing w:lineRule="auto" w:line="312" w:before="0" w:after="0"/>
        <w:jc w:val="both"/>
        <w:rPr/>
      </w:pPr>
      <w:r>
        <w:rPr>
          <w:rFonts w:ascii="Lato;sans-serif" w:hAnsi="Lato;sans-serif"/>
          <w:b/>
          <w:i/>
          <w:color w:val="000000"/>
          <w:sz w:val="18"/>
        </w:rPr>
        <w:t>Infrastructure as a Service</w:t>
      </w:r>
      <w:r>
        <w:rPr>
          <w:color w:val="000000"/>
        </w:rPr>
        <w:t xml:space="preserve"> </w:t>
      </w:r>
      <w:r>
        <w:rPr>
          <w:rFonts w:ascii="Lato;sans-serif" w:hAnsi="Lato;sans-serif"/>
          <w:b w:val="false"/>
          <w:color w:val="000000"/>
          <w:sz w:val="18"/>
        </w:rPr>
        <w:t>delivers</w:t>
      </w:r>
      <w:r>
        <w:rPr>
          <w:color w:val="000000"/>
        </w:rPr>
        <w:t xml:space="preserve"> </w:t>
      </w:r>
      <w:r>
        <w:rPr>
          <w:rFonts w:ascii="Lato;sans-serif" w:hAnsi="Lato;sans-serif"/>
          <w:b w:val="false"/>
          <w:color w:val="000000"/>
          <w:sz w:val="18"/>
        </w:rPr>
        <w:t>space assets performing tasks and making decisions without human intervention that are designed to perform essential functions, such as, navigation, maintenance, scientific data collection, and system health monitoring. During 2024, NASA awarded Intuitive Machines $30.8 million for the LTV contract to support the agency’s Artemis Campaign as a prime contractor, leading the development of the Moon RACER.</w:t>
      </w:r>
    </w:p>
    <w:p>
      <w:pPr>
        <w:pStyle w:val="TextBody"/>
        <w:bidi w:val="0"/>
        <w:spacing w:before="0" w:after="0"/>
        <w:jc w:val="both"/>
        <w:rPr/>
      </w:pPr>
      <w:r>
        <w:rPr/>
      </w:r>
    </w:p>
    <w:p>
      <w:pPr>
        <w:pStyle w:val="TextBody"/>
        <w:bidi w:val="0"/>
        <w:spacing w:lineRule="auto" w:line="312" w:before="0" w:after="0"/>
        <w:jc w:val="both"/>
        <w:rPr>
          <w:rFonts w:ascii="Lato;sans-serif" w:hAnsi="Lato;sans-serif"/>
          <w:b w:val="false"/>
          <w:color w:val="000000"/>
          <w:sz w:val="18"/>
        </w:rPr>
      </w:pPr>
      <w:r>
        <w:rPr>
          <w:rFonts w:ascii="Lato;sans-serif" w:hAnsi="Lato;sans-serif"/>
          <w:b w:val="false"/>
          <w:color w:val="000000"/>
          <w:sz w:val="18"/>
        </w:rPr>
        <w:t xml:space="preserve">On February 13, 2023, the Company became a public company as a result of a series of transactions pursuant to which Inflection Point Acquisition Corp. (“IPAX”) combined with Intuitive Machines, LLC (the “Business Combination” or the “Transactions”) and the Company’s Class A Common Stock began trading under the symbol “LUNR” on Nasdaq on February 14, 2023.. </w:t>
      </w:r>
    </w:p>
    <w:p>
      <w:pPr>
        <w:pStyle w:val="TextBody"/>
        <w:bidi w:val="0"/>
        <w:spacing w:lineRule="auto" w:line="312" w:before="240" w:after="160"/>
        <w:jc w:val="both"/>
        <w:rPr>
          <w:rFonts w:ascii="Lato Black;sans-serif" w:hAnsi="Lato Black;sans-serif"/>
          <w:b w:val="false"/>
          <w:color w:val="005CB9"/>
          <w:sz w:val="28"/>
        </w:rPr>
      </w:pPr>
      <w:r>
        <w:rPr>
          <w:rFonts w:ascii="Lato Black;sans-serif" w:hAnsi="Lato Black;sans-serif"/>
          <w:b w:val="false"/>
          <w:color w:val="005CB9"/>
          <w:sz w:val="28"/>
        </w:rPr>
        <w:t>Human Capital</w:t>
      </w:r>
    </w:p>
    <w:p>
      <w:pPr>
        <w:pStyle w:val="TextBody"/>
        <w:bidi w:val="0"/>
        <w:spacing w:lineRule="auto" w:line="312" w:before="0" w:after="0"/>
        <w:jc w:val="both"/>
        <w:rPr>
          <w:rFonts w:ascii="Lato;sans-serif" w:hAnsi="Lato;sans-serif"/>
          <w:b w:val="false"/>
          <w:color w:val="000000"/>
          <w:sz w:val="18"/>
        </w:rPr>
      </w:pPr>
      <w:r>
        <w:rPr>
          <w:rFonts w:ascii="Lato;sans-serif" w:hAnsi="Lato;sans-serif"/>
          <w:b w:val="false"/>
          <w:color w:val="000000"/>
          <w:sz w:val="18"/>
        </w:rPr>
        <w:t xml:space="preserve">As of December 31, 2024, we had 435 employees throughout our operations. At Intuitive Machines, our human capital management approach starts with a foundation in our core RIDE Values of Respect, Integrity, Dedication and Excellence. We value technical expertise, original thinking, adaptability, and a willingness to collaborate with our excellent team. While our original workforce is rooted in aerospace, we welcome new perspectives and technology expertise as we grow. We extend our corporate culture to create a safe and welcoming environment for all employees to reach their full potential, which improves performance outcomes, increases productivity, and boosts retention, employee morale and fellowship. From our lunar operations &amp; production center in Houston, Texas, to our new mechanisms and robotics facility in Glen Burnie, Maryland, to our newest office for data scientists in Phoenix, Arizona, we’re deliberately creating onsite workspaces that are specific to our needs, allow for growth, and foster collaboration and innovation. </w:t>
      </w:r>
    </w:p>
    <w:p>
      <w:pPr>
        <w:pStyle w:val="TextBody"/>
        <w:bidi w:val="0"/>
        <w:spacing w:lineRule="auto" w:line="312" w:before="240" w:after="283"/>
        <w:jc w:val="both"/>
        <w:rPr>
          <w:rFonts w:ascii="Lato Black;sans-serif" w:hAnsi="Lato Black;sans-serif"/>
          <w:b w:val="false"/>
          <w:color w:val="005CB9"/>
          <w:sz w:val="28"/>
        </w:rPr>
      </w:pPr>
      <w:r>
        <w:rPr>
          <w:rFonts w:ascii="Lato Black;sans-serif" w:hAnsi="Lato Black;sans-serif"/>
          <w:b w:val="false"/>
          <w:color w:val="005CB9"/>
          <w:sz w:val="28"/>
        </w:rPr>
        <w:t>Governance</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Our business and affairs are managed under the direction of our Board. Our Board is chaired by Dr. Kamal Ghaffarian and includes Stephen Altemus, Michael Blitzer, William J. Liquori, Robert L. Masson and Nicole Seligman as members. The Board has determined that Michael Blitzer, William J. Liquori, Robert L. Masson and Nicole Seligman qualify as independent in accordance with applicable Nasdaq rules.</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When considering whether directors and director nominees have the experience, qualifications, attributes and skills, taken as a whole, to enable our Board to satisfy its oversight responsibilities effectively in light of its business and structure, our Board expects to focus primarily on each person’s background and experience as reflected in the information discussed in each of the directors’ individual biographies in order to provide an appropriate mix of experience and skills relevant to the size and nature of its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40410"/>
                <wp:effectExtent l="0" t="0" r="0" b="0"/>
                <wp:wrapNone/>
                <wp:docPr id="11" name="Frame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72" w:type="dxa"/>
                              <w:jc w:val="center"/>
                              <w:tblInd w:w="0" w:type="dxa"/>
                              <w:tblLayout w:type="fixed"/>
                              <w:tblCellMar>
                                <w:top w:w="28" w:type="dxa"/>
                                <w:left w:w="28" w:type="dxa"/>
                                <w:bottom w:w="28" w:type="dxa"/>
                                <w:right w:w="28" w:type="dxa"/>
                              </w:tblCellMar>
                            </w:tblPr>
                            <w:tblGrid>
                              <w:gridCol w:w="1846"/>
                              <w:gridCol w:w="1623"/>
                              <w:gridCol w:w="1631"/>
                              <w:gridCol w:w="109"/>
                              <w:gridCol w:w="109"/>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72" w:type="dxa"/>
                        <w:jc w:val="center"/>
                        <w:tblInd w:w="0" w:type="dxa"/>
                        <w:tblLayout w:type="fixed"/>
                        <w:tblCellMar>
                          <w:top w:w="28" w:type="dxa"/>
                          <w:left w:w="28" w:type="dxa"/>
                          <w:bottom w:w="28" w:type="dxa"/>
                          <w:right w:w="28" w:type="dxa"/>
                        </w:tblCellMar>
                      </w:tblPr>
                      <w:tblGrid>
                        <w:gridCol w:w="1846"/>
                        <w:gridCol w:w="1623"/>
                        <w:gridCol w:w="1631"/>
                        <w:gridCol w:w="109"/>
                        <w:gridCol w:w="109"/>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160"/>
        <w:jc w:val="left"/>
        <w:rPr>
          <w:rFonts w:ascii="Lato;sans-serif" w:hAnsi="Lato;sans-serif"/>
          <w:b/>
          <w:color w:val="005CB9"/>
          <w:sz w:val="32"/>
        </w:rPr>
      </w:pPr>
      <w:r>
        <w:rPr>
          <w:rFonts w:ascii="Lato;sans-serif" w:hAnsi="Lato;sans-serif"/>
          <w:b/>
          <w:color w:val="005CB9"/>
          <w:sz w:val="32"/>
        </w:rPr>
        <w:t>Proxy Summary</w:t>
      </w:r>
    </w:p>
    <w:p>
      <w:pPr>
        <w:pStyle w:val="TextBody"/>
        <w:bidi w:val="0"/>
        <w:spacing w:lineRule="auto" w:line="268" w:before="160" w:after="160"/>
        <w:jc w:val="both"/>
        <w:rPr>
          <w:rFonts w:ascii="Lato;sans-serif" w:hAnsi="Lato;sans-serif"/>
          <w:b w:val="false"/>
          <w:color w:val="000000"/>
          <w:sz w:val="18"/>
        </w:rPr>
      </w:pPr>
      <w:r>
        <w:rPr>
          <w:rFonts w:ascii="Lato;sans-serif" w:hAnsi="Lato;sans-serif"/>
          <w:b w:val="false"/>
          <w:color w:val="000000"/>
          <w:sz w:val="18"/>
        </w:rPr>
        <w:t>This summary highlights information contained elsewhere in this Proxy Statement. This summary does not contain all of the information that you should consider, and you should read the entire Proxy Statement carefully before voting.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80" w:after="160"/>
        <w:jc w:val="left"/>
        <w:rPr>
          <w:rFonts w:ascii="Lato;sans-serif" w:hAnsi="Lato;sans-serif"/>
          <w:b/>
          <w:color w:val="000000"/>
          <w:sz w:val="24"/>
        </w:rPr>
      </w:pPr>
      <w:r>
        <w:rPr>
          <w:rFonts w:ascii="Lato;sans-serif" w:hAnsi="Lato;sans-serif"/>
          <w:b/>
          <w:color w:val="000000"/>
          <w:sz w:val="24"/>
        </w:rPr>
        <w:t>Voting Matters and Board Recommendations</w:t>
      </w:r>
    </w:p>
    <w:tbl>
      <w:tblPr>
        <w:tblW w:w="10205" w:type="dxa"/>
        <w:jc w:val="left"/>
        <w:tblInd w:w="0" w:type="dxa"/>
        <w:tblLayout w:type="fixed"/>
        <w:tblCellMar>
          <w:top w:w="28" w:type="dxa"/>
          <w:left w:w="28" w:type="dxa"/>
          <w:bottom w:w="28" w:type="dxa"/>
          <w:right w:w="28" w:type="dxa"/>
        </w:tblCellMar>
      </w:tblPr>
      <w:tblGrid>
        <w:gridCol w:w="2744"/>
        <w:gridCol w:w="2189"/>
        <w:gridCol w:w="2203"/>
        <w:gridCol w:w="395"/>
        <w:gridCol w:w="395"/>
        <w:gridCol w:w="395"/>
        <w:gridCol w:w="424"/>
        <w:gridCol w:w="424"/>
        <w:gridCol w:w="430"/>
        <w:gridCol w:w="176"/>
        <w:gridCol w:w="176"/>
        <w:gridCol w:w="254"/>
      </w:tblGrid>
      <w:tr>
        <w:trPr/>
        <w:tc>
          <w:tcPr>
            <w:tcW w:w="2744"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71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lack;sans-serif" w:hAnsi="Lato Black;sans-serif"/>
                <w:b/>
                <w:color w:val="000000"/>
                <w:sz w:val="16"/>
              </w:rPr>
            </w:pPr>
            <w:r>
              <w:rPr>
                <w:rFonts w:ascii="Lato Black;sans-serif" w:hAnsi="Lato Black;sans-serif"/>
                <w:b/>
                <w:color w:val="000000"/>
                <w:sz w:val="16"/>
              </w:rPr>
              <w:t>Proposal</w:t>
            </w:r>
          </w:p>
        </w:tc>
        <w:tc>
          <w:tcPr>
            <w:tcW w:w="246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color w:val="000000"/>
                <w:sz w:val="16"/>
              </w:rPr>
            </w:pPr>
            <w:r>
              <w:rPr>
                <w:rFonts w:ascii="Lato Black;sans-serif" w:hAnsi="Lato Black;sans-serif"/>
                <w:b/>
                <w:color w:val="000000"/>
                <w:sz w:val="16"/>
              </w:rPr>
              <w:t>The Board’s Recommendations</w:t>
            </w:r>
          </w:p>
        </w:tc>
        <w:tc>
          <w:tcPr>
            <w:tcW w:w="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color w:val="000000"/>
                <w:sz w:val="16"/>
              </w:rPr>
            </w:pPr>
            <w:r>
              <w:rPr>
                <w:rFonts w:ascii="Lato Black;sans-serif" w:hAnsi="Lato Black;sans-serif"/>
                <w:b/>
                <w:color w:val="000000"/>
                <w:sz w:val="16"/>
              </w:rPr>
              <w:t>Page</w:t>
            </w:r>
          </w:p>
        </w:tc>
      </w:tr>
      <w:tr>
        <w:trPr/>
        <w:tc>
          <w:tcPr>
            <w:tcW w:w="713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160" w:after="160"/>
              <w:ind w:left="0" w:right="0" w:hanging="216"/>
              <w:jc w:val="left"/>
              <w:rPr/>
            </w:pPr>
            <w:r>
              <w:rPr>
                <w:rFonts w:ascii="Lato;sans-serif" w:hAnsi="Lato;sans-serif"/>
                <w:b w:val="false"/>
                <w:color w:val="005CB9"/>
                <w:sz w:val="18"/>
              </w:rPr>
              <w:t>1.</w:t>
            </w:r>
            <w:r>
              <w:rPr>
                <w:rFonts w:ascii="Lato;sans-serif" w:hAnsi="Lato;sans-serif"/>
                <w:b w:val="false"/>
                <w:color w:val="000000"/>
                <w:sz w:val="18"/>
              </w:rPr>
              <w:t>Elect two Class II directors to serve for a term of three years or until their respective successors are duly elected and qualified</w:t>
            </w:r>
          </w:p>
        </w:tc>
        <w:tc>
          <w:tcPr>
            <w:tcW w:w="1185" w:type="dxa"/>
            <w:gridSpan w:val="3"/>
            <w:tcBorders>
              <w:top w:val="single" w:sz="8" w:space="0" w:color="005CB9"/>
            </w:tcBorders>
            <w:tcMar>
              <w:left w:w="0" w:type="dxa"/>
              <w:bottom w:w="0" w:type="dxa"/>
              <w:right w:w="0" w:type="dxa"/>
            </w:tcMar>
            <w:vAlign w:val="center"/>
          </w:tcPr>
          <w:p>
            <w:pPr>
              <w:pStyle w:val="TableContents"/>
              <w:bidi w:val="0"/>
              <w:spacing w:before="0" w:after="0"/>
              <w:jc w:val="right"/>
              <w:rPr/>
            </w:pPr>
            <w:r>
              <w:rPr/>
              <w:drawing>
                <wp:inline distT="0" distB="0" distL="0" distR="0">
                  <wp:extent cx="123825" cy="10477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23825" cy="104775"/>
                          </a:xfrm>
                          <a:prstGeom prst="rect">
                            <a:avLst/>
                          </a:prstGeom>
                        </pic:spPr>
                      </pic:pic>
                    </a:graphicData>
                  </a:graphic>
                </wp:inline>
              </w:drawing>
            </w:r>
          </w:p>
        </w:tc>
        <w:tc>
          <w:tcPr>
            <w:tcW w:w="1278"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5CB9"/>
                <w:sz w:val="18"/>
              </w:rPr>
              <w:t>FOR</w:t>
            </w:r>
            <w:r>
              <w:rPr>
                <w:color w:val="000000"/>
              </w:rPr>
              <w:t xml:space="preserve"> </w:t>
            </w:r>
            <w:r>
              <w:rPr>
                <w:rFonts w:ascii="Lato;sans-serif" w:hAnsi="Lato;sans-serif"/>
                <w:b w:val="false"/>
                <w:color w:val="000000"/>
                <w:sz w:val="18"/>
              </w:rPr>
              <w:t xml:space="preserve">each </w:t>
            </w:r>
          </w:p>
          <w:p>
            <w:pPr>
              <w:pStyle w:val="TableContents"/>
              <w:bidi w:val="0"/>
              <w:spacing w:lineRule="auto" w:line="288" w:before="0" w:after="0"/>
              <w:jc w:val="left"/>
              <w:rPr>
                <w:rFonts w:ascii="Lato;sans-serif" w:hAnsi="Lato;sans-serif"/>
                <w:b w:val="false"/>
                <w:color w:val="000000"/>
                <w:sz w:val="18"/>
              </w:rPr>
            </w:pPr>
            <w:r>
              <w:rPr>
                <w:rFonts w:ascii="Lato;sans-serif" w:hAnsi="Lato;sans-serif"/>
                <w:b w:val="false"/>
                <w:color w:val="000000"/>
                <w:sz w:val="18"/>
              </w:rPr>
              <w:t>Director Nominee</w:t>
            </w:r>
          </w:p>
        </w:tc>
        <w:tc>
          <w:tcPr>
            <w:tcW w:w="60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0"/>
              <w:jc w:val="center"/>
              <w:rPr/>
            </w:pPr>
            <w:hyperlink w:anchor="i0d47ff4ed33a4fec9f9ecbfa6b56655b_25">
              <w:r>
                <w:rPr>
                  <w:rStyle w:val="InternetLink"/>
                  <w:rFonts w:ascii="Lato;sans-serif" w:hAnsi="Lato;sans-serif"/>
                  <w:b w:val="false"/>
                  <w:strike w:val="false"/>
                  <w:dstrike w:val="false"/>
                  <w:color w:val="000000"/>
                  <w:sz w:val="18"/>
                  <w:u w:val="none"/>
                  <w:effect w:val="none"/>
                </w:rPr>
                <w:t>8</w:t>
              </w:r>
            </w:hyperlink>
          </w:p>
        </w:tc>
      </w:tr>
      <w:tr>
        <w:trPr/>
        <w:tc>
          <w:tcPr>
            <w:tcW w:w="713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312" w:before="0" w:after="0"/>
              <w:ind w:left="0" w:right="0" w:hanging="216"/>
              <w:jc w:val="left"/>
              <w:rPr/>
            </w:pPr>
            <w:r>
              <w:rPr>
                <w:rFonts w:ascii="Lato;sans-serif" w:hAnsi="Lato;sans-serif"/>
                <w:b w:val="false"/>
                <w:color w:val="005CB9"/>
                <w:sz w:val="18"/>
              </w:rPr>
              <w:t>2.</w:t>
            </w:r>
            <w:r>
              <w:rPr>
                <w:rFonts w:ascii="Lato;sans-serif" w:hAnsi="Lato;sans-serif"/>
                <w:b w:val="false"/>
                <w:color w:val="000000"/>
                <w:sz w:val="18"/>
              </w:rPr>
              <w:t xml:space="preserve">Ratify the appointment of Grant Thornton, LLP as our independent registered public accounting firm for the year ending December 31, 2025. </w:t>
            </w:r>
          </w:p>
        </w:tc>
        <w:tc>
          <w:tcPr>
            <w:tcW w:w="1185" w:type="dxa"/>
            <w:gridSpan w:val="3"/>
            <w:tcBorders>
              <w:top w:val="single" w:sz="4" w:space="0" w:color="9D9FA2"/>
            </w:tcBorders>
            <w:tcMar>
              <w:left w:w="0" w:type="dxa"/>
              <w:bottom w:w="0" w:type="dxa"/>
              <w:right w:w="0" w:type="dxa"/>
            </w:tcMar>
            <w:vAlign w:val="center"/>
          </w:tcPr>
          <w:p>
            <w:pPr>
              <w:pStyle w:val="TableContents"/>
              <w:bidi w:val="0"/>
              <w:spacing w:before="0" w:after="0"/>
              <w:jc w:val="right"/>
              <w:rPr/>
            </w:pPr>
            <w:r>
              <w:rPr/>
              <w:drawing>
                <wp:inline distT="0" distB="0" distL="0" distR="0">
                  <wp:extent cx="123825" cy="104775"/>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123825" cy="104775"/>
                          </a:xfrm>
                          <a:prstGeom prst="rect">
                            <a:avLst/>
                          </a:prstGeom>
                        </pic:spPr>
                      </pic:pic>
                    </a:graphicData>
                  </a:graphic>
                </wp:inline>
              </w:drawing>
            </w:r>
          </w:p>
        </w:tc>
        <w:tc>
          <w:tcPr>
            <w:tcW w:w="1278"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FOR</w:t>
            </w:r>
          </w:p>
        </w:tc>
        <w:tc>
          <w:tcPr>
            <w:tcW w:w="60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0"/>
              <w:jc w:val="center"/>
              <w:rPr/>
            </w:pPr>
            <w:hyperlink w:anchor="i0d47ff4ed33a4fec9f9ecbfa6b56655b_118">
              <w:r>
                <w:rPr>
                  <w:rStyle w:val="InternetLink"/>
                  <w:rFonts w:ascii="Lato;sans-serif" w:hAnsi="Lato;sans-serif"/>
                  <w:b w:val="false"/>
                  <w:strike w:val="false"/>
                  <w:dstrike w:val="false"/>
                  <w:color w:val="000000"/>
                  <w:sz w:val="18"/>
                  <w:u w:val="none"/>
                  <w:effect w:val="none"/>
                </w:rPr>
                <w:t>32</w:t>
              </w:r>
            </w:hyperlink>
          </w:p>
        </w:tc>
      </w:tr>
      <w:tr>
        <w:trPr/>
        <w:tc>
          <w:tcPr>
            <w:tcW w:w="7136"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Transact any other business as may properly come before the meeting or any adjournment or postponement thereof.</w:t>
            </w:r>
          </w:p>
        </w:tc>
        <w:tc>
          <w:tcPr>
            <w:tcW w:w="1185" w:type="dxa"/>
            <w:gridSpan w:val="3"/>
            <w:tcBorders>
              <w:top w:val="single" w:sz="4" w:space="0" w:color="9D9FA2"/>
              <w:bottom w:val="single" w:sz="8" w:space="0" w:color="005CB9"/>
            </w:tcBorders>
            <w:tcMar>
              <w:left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4" w:space="0" w:color="9D9FA2"/>
              <w:bottom w:val="single" w:sz="8" w:space="0" w:color="005CB9"/>
            </w:tcBorders>
            <w:tcMar>
              <w:left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0"/>
              <w:jc w:val="center"/>
              <w:rPr/>
            </w:pPr>
            <w:hyperlink w:anchor="i0d47ff4ed33a4fec9f9ecbfa6b56655b_130">
              <w:r>
                <w:rPr>
                  <w:rStyle w:val="InternetLink"/>
                  <w:rFonts w:ascii="Lato;sans-serif" w:hAnsi="Lato;sans-serif"/>
                  <w:b w:val="false"/>
                  <w:strike w:val="false"/>
                  <w:dstrike w:val="false"/>
                  <w:color w:val="000000"/>
                  <w:sz w:val="18"/>
                  <w:u w:val="none"/>
                  <w:effect w:val="none"/>
                </w:rPr>
                <w:t>38</w:t>
              </w:r>
            </w:hyperlink>
          </w:p>
        </w:tc>
      </w:tr>
    </w:tbl>
    <w:p>
      <w:pPr>
        <w:pStyle w:val="TextBody"/>
        <w:bidi w:val="0"/>
        <w:spacing w:lineRule="auto" w:line="312" w:before="240" w:after="160"/>
        <w:jc w:val="left"/>
        <w:rPr>
          <w:rFonts w:ascii="Lato;sans-serif" w:hAnsi="Lato;sans-serif"/>
          <w:b/>
          <w:color w:val="000000"/>
          <w:sz w:val="24"/>
          <w:shd w:fill="FFFFFF" w:val="clear"/>
        </w:rPr>
      </w:pPr>
      <w:r>
        <w:rPr>
          <w:rFonts w:ascii="Lato;sans-serif" w:hAnsi="Lato;sans-serif"/>
          <w:b/>
          <w:color w:val="000000"/>
          <w:sz w:val="24"/>
          <w:shd w:fill="FFFFFF" w:val="clear"/>
        </w:rPr>
        <w:t>How to Vote</w:t>
      </w:r>
    </w:p>
    <w:p>
      <w:pPr>
        <w:pStyle w:val="TextBody"/>
        <w:bidi w:val="0"/>
        <w:spacing w:lineRule="auto" w:line="312" w:before="0" w:after="120"/>
        <w:jc w:val="left"/>
        <w:rPr>
          <w:rFonts w:ascii="Lato Black;sans-serif" w:hAnsi="Lato Black;sans-serif"/>
          <w:b/>
          <w:color w:val="000000"/>
          <w:sz w:val="18"/>
          <w:shd w:fill="FFFFFF" w:val="clear"/>
        </w:rPr>
      </w:pPr>
      <w:r>
        <w:rPr>
          <w:rFonts w:ascii="Lato Black;sans-serif" w:hAnsi="Lato Black;sans-serif"/>
          <w:b/>
          <w:color w:val="000000"/>
          <w:sz w:val="18"/>
          <w:shd w:fill="FFFFFF" w:val="clear"/>
        </w:rPr>
        <w:t>Internet</w:t>
      </w:r>
    </w:p>
    <w:p>
      <w:pPr>
        <w:pStyle w:val="TextBody"/>
        <w:bidi w:val="0"/>
        <w:spacing w:lineRule="auto" w:line="312" w:before="0" w:after="0"/>
        <w:jc w:val="left"/>
        <w:rPr/>
      </w:pPr>
      <w:r>
        <w:rPr>
          <w:rFonts w:ascii="Lato;sans-serif" w:hAnsi="Lato;sans-serif"/>
          <w:b w:val="false"/>
          <w:color w:val="000000"/>
          <w:sz w:val="18"/>
        </w:rPr>
        <w:t>Before The Meeting - Go to</w:t>
      </w:r>
      <w:r>
        <w:rPr>
          <w:color w:val="3051F2"/>
          <w:shd w:fill="FFFFFF" w:val="clear"/>
        </w:rPr>
        <w:t xml:space="preserve"> </w:t>
      </w:r>
      <w:r>
        <w:rPr>
          <w:rFonts w:ascii="Lato;sans-serif" w:hAnsi="Lato;sans-serif"/>
          <w:b w:val="false"/>
          <w:color w:val="3051F2"/>
          <w:sz w:val="18"/>
        </w:rPr>
        <w:t>www.proxyvote.com</w:t>
      </w:r>
      <w:r>
        <w:rPr>
          <w:color w:val="000000"/>
        </w:rPr>
        <w:t xml:space="preserve"> </w:t>
      </w:r>
      <w:r>
        <w:rPr>
          <w:rFonts w:ascii="Lato;sans-serif" w:hAnsi="Lato;sans-serif"/>
          <w:b w:val="false"/>
          <w:color w:val="000000"/>
          <w:sz w:val="18"/>
        </w:rPr>
        <w:t xml:space="preserve">or scan the QR Barcode </w:t>
      </w:r>
    </w:p>
    <w:p>
      <w:pPr>
        <w:pStyle w:val="TextBody"/>
        <w:bidi w:val="0"/>
        <w:spacing w:lineRule="auto" w:line="312" w:before="160" w:after="160"/>
        <w:jc w:val="both"/>
        <w:rPr/>
      </w:pPr>
      <w:r>
        <w:rPr>
          <w:rFonts w:ascii="Lato;sans-serif" w:hAnsi="Lato;sans-serif"/>
          <w:b w:val="false"/>
          <w:color w:val="000000"/>
          <w:sz w:val="18"/>
        </w:rPr>
        <w:t>Use the Internet to transmit your voting instructions and for electronic delivery of information up until 11:59 p.m. Eastern Time the day before the cut-off date or meeting date. Have your proxy card in hand when you access the web site and follow the instru</w:t>
      </w:r>
      <w:r>
        <w:rPr>
          <w:rFonts w:ascii="Lato;sans-serif" w:hAnsi="Lato;sans-serif"/>
          <w:b w:val="false"/>
          <w:color w:val="000000"/>
          <w:sz w:val="18"/>
          <w:shd w:fill="FFFFFF" w:val="clear"/>
        </w:rPr>
        <w:t>ctions to obtain your records and to create an electronic voting instruction form.</w:t>
      </w:r>
    </w:p>
    <w:p>
      <w:pPr>
        <w:pStyle w:val="TextBody"/>
        <w:bidi w:val="0"/>
        <w:spacing w:lineRule="auto" w:line="312" w:before="0" w:after="0"/>
        <w:jc w:val="left"/>
        <w:rPr/>
      </w:pPr>
      <w:r>
        <w:rPr>
          <w:rFonts w:ascii="Lato;sans-serif" w:hAnsi="Lato;sans-serif"/>
          <w:b w:val="false"/>
          <w:color w:val="000000"/>
          <w:sz w:val="18"/>
          <w:shd w:fill="FFFFFF" w:val="clear"/>
        </w:rPr>
        <w:t xml:space="preserve">During The Meeting </w:t>
      </w:r>
      <w:r>
        <w:rPr>
          <w:rFonts w:ascii="Lato;sans-serif" w:hAnsi="Lato;sans-serif"/>
          <w:b w:val="false"/>
          <w:color w:val="3051F2"/>
          <w:sz w:val="18"/>
          <w:shd w:fill="FFFFFF" w:val="clear"/>
        </w:rPr>
        <w:t>- Go to www.virtualshareholdermeeting.com/LUNR2025</w:t>
      </w:r>
      <w:r>
        <w:rPr>
          <w:color w:val="000000"/>
          <w:shd w:fill="FFFFFF" w:val="clear"/>
        </w:rPr>
        <w:t xml:space="preserve"> </w:t>
      </w:r>
    </w:p>
    <w:p>
      <w:pPr>
        <w:pStyle w:val="TextBody"/>
        <w:bidi w:val="0"/>
        <w:spacing w:before="0" w:after="0"/>
        <w:jc w:val="left"/>
        <w:rPr/>
      </w:pPr>
      <w:r>
        <w:rPr/>
      </w:r>
    </w:p>
    <w:p>
      <w:pPr>
        <w:pStyle w:val="TextBody"/>
        <w:bidi w:val="0"/>
        <w:spacing w:lineRule="auto" w:line="312" w:before="0" w:after="0"/>
        <w:jc w:val="left"/>
        <w:rPr/>
      </w:pPr>
      <w:r>
        <w:rPr>
          <w:rFonts w:ascii="Lato;sans-serif" w:hAnsi="Lato;sans-serif"/>
          <w:b w:val="false"/>
          <w:color w:val="000000"/>
          <w:sz w:val="18"/>
          <w:shd w:fill="FFFFFF" w:val="clear"/>
        </w:rPr>
        <w:t>You may attend the meeting via the Internet and vote during the meeting. Have the in</w:t>
      </w:r>
      <w:r>
        <w:rPr>
          <w:rFonts w:ascii="Lato;sans-serif" w:hAnsi="Lato;sans-serif"/>
          <w:b w:val="false"/>
          <w:color w:val="000000"/>
          <w:sz w:val="18"/>
        </w:rPr>
        <w:t>formation that is printed in the box marked by the arrow available and follow the instructions.</w:t>
      </w:r>
    </w:p>
    <w:p>
      <w:pPr>
        <w:pStyle w:val="TextBody"/>
        <w:bidi w:val="0"/>
        <w:spacing w:lineRule="auto" w:line="312" w:before="160" w:after="120"/>
        <w:jc w:val="left"/>
        <w:rPr>
          <w:rFonts w:ascii="Lato Black;sans-serif" w:hAnsi="Lato Black;sans-serif"/>
          <w:b/>
          <w:color w:val="000000"/>
          <w:sz w:val="18"/>
        </w:rPr>
      </w:pPr>
      <w:r>
        <w:rPr>
          <w:rFonts w:ascii="Lato Black;sans-serif" w:hAnsi="Lato Black;sans-serif"/>
          <w:b/>
          <w:color w:val="000000"/>
          <w:sz w:val="18"/>
        </w:rPr>
        <w:t>Telephone</w:t>
      </w:r>
    </w:p>
    <w:p>
      <w:pPr>
        <w:pStyle w:val="TextBody"/>
        <w:bidi w:val="0"/>
        <w:spacing w:lineRule="auto" w:line="312" w:before="0" w:after="120"/>
        <w:jc w:val="left"/>
        <w:rPr>
          <w:rFonts w:ascii="Lato;sans-serif" w:hAnsi="Lato;sans-serif"/>
          <w:b w:val="false"/>
          <w:color w:val="000000"/>
          <w:sz w:val="18"/>
        </w:rPr>
      </w:pPr>
      <w:r>
        <w:rPr>
          <w:rFonts w:ascii="Lato;sans-serif" w:hAnsi="Lato;sans-serif"/>
          <w:b w:val="false"/>
          <w:color w:val="000000"/>
          <w:sz w:val="18"/>
        </w:rPr>
        <w:t>1-800-690-6903</w:t>
      </w:r>
    </w:p>
    <w:p>
      <w:pPr>
        <w:pStyle w:val="TextBody"/>
        <w:bidi w:val="0"/>
        <w:spacing w:lineRule="auto" w:line="312" w:before="0" w:after="160"/>
        <w:jc w:val="both"/>
        <w:rPr>
          <w:rFonts w:ascii="Lato;sans-serif" w:hAnsi="Lato;sans-serif"/>
          <w:b w:val="false"/>
          <w:color w:val="000000"/>
          <w:sz w:val="18"/>
        </w:rPr>
      </w:pPr>
      <w:r>
        <w:rPr>
          <w:rFonts w:ascii="Lato;sans-serif" w:hAnsi="Lato;sans-serif"/>
          <w:b w:val="false"/>
          <w:color w:val="000000"/>
          <w:sz w:val="18"/>
        </w:rPr>
        <w:t>Use any touch-tone telephone to transmit your voting instructions up until 11:59 p.m. Eastern Time the day before the cut-off date or meeting date. Have your proxy card in hand when you call and then follow the instructions.</w:t>
      </w:r>
    </w:p>
    <w:p>
      <w:pPr>
        <w:pStyle w:val="TextBody"/>
        <w:bidi w:val="0"/>
        <w:spacing w:lineRule="auto" w:line="312" w:before="160" w:after="120"/>
        <w:jc w:val="left"/>
        <w:rPr>
          <w:rFonts w:ascii="Lato Black;sans-serif" w:hAnsi="Lato Black;sans-serif"/>
          <w:b/>
          <w:color w:val="000000"/>
          <w:sz w:val="18"/>
        </w:rPr>
      </w:pPr>
      <w:r>
        <w:rPr>
          <w:rFonts w:ascii="Lato Black;sans-serif" w:hAnsi="Lato Black;sans-serif"/>
          <w:b/>
          <w:color w:val="000000"/>
          <w:sz w:val="18"/>
        </w:rPr>
        <w:t>Mail</w:t>
      </w:r>
    </w:p>
    <w:p>
      <w:pPr>
        <w:pStyle w:val="TextBody"/>
        <w:bidi w:val="0"/>
        <w:spacing w:lineRule="auto" w:line="312" w:before="0" w:after="120"/>
        <w:jc w:val="both"/>
        <w:rPr>
          <w:rFonts w:ascii="Lato;sans-serif" w:hAnsi="Lato;sans-serif"/>
          <w:b w:val="false"/>
          <w:color w:val="000000"/>
          <w:sz w:val="18"/>
        </w:rPr>
      </w:pPr>
      <w:r>
        <w:rPr>
          <w:rFonts w:ascii="Lato;sans-serif" w:hAnsi="Lato;sans-serif"/>
          <w:b w:val="false"/>
          <w:color w:val="000000"/>
          <w:sz w:val="18"/>
        </w:rPr>
        <w:t>Mark, sign and date your proxy card and return it in the postage-paid envelope we have provided or return it to Vote Processing, c/o Broadridge, 51 Mercedes Way, Edgewood, NY 11717.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40410"/>
                <wp:effectExtent l="0" t="0" r="0" b="0"/>
                <wp:wrapNone/>
                <wp:docPr id="14" name="Frame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72" w:type="dxa"/>
                              <w:jc w:val="center"/>
                              <w:tblInd w:w="0" w:type="dxa"/>
                              <w:tblLayout w:type="fixed"/>
                              <w:tblCellMar>
                                <w:top w:w="28" w:type="dxa"/>
                                <w:left w:w="28" w:type="dxa"/>
                                <w:bottom w:w="28" w:type="dxa"/>
                                <w:right w:w="28" w:type="dxa"/>
                              </w:tblCellMar>
                            </w:tblPr>
                            <w:tblGrid>
                              <w:gridCol w:w="1846"/>
                              <w:gridCol w:w="1623"/>
                              <w:gridCol w:w="1631"/>
                              <w:gridCol w:w="109"/>
                              <w:gridCol w:w="109"/>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72" w:type="dxa"/>
                        <w:jc w:val="center"/>
                        <w:tblInd w:w="0" w:type="dxa"/>
                        <w:tblLayout w:type="fixed"/>
                        <w:tblCellMar>
                          <w:top w:w="28" w:type="dxa"/>
                          <w:left w:w="28" w:type="dxa"/>
                          <w:bottom w:w="28" w:type="dxa"/>
                          <w:right w:w="28" w:type="dxa"/>
                        </w:tblCellMar>
                      </w:tblPr>
                      <w:tblGrid>
                        <w:gridCol w:w="1846"/>
                        <w:gridCol w:w="1623"/>
                        <w:gridCol w:w="1631"/>
                        <w:gridCol w:w="109"/>
                        <w:gridCol w:w="109"/>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320" w:after="160"/>
        <w:jc w:val="left"/>
        <w:rPr>
          <w:rFonts w:ascii="Lato Black;sans-serif" w:hAnsi="Lato Black;sans-serif"/>
          <w:b/>
          <w:color w:val="005CB9"/>
          <w:sz w:val="32"/>
        </w:rPr>
      </w:pPr>
      <w:r>
        <w:rPr>
          <w:rFonts w:ascii="Lato Black;sans-serif" w:hAnsi="Lato Black;sans-serif"/>
          <w:b/>
          <w:color w:val="005CB9"/>
          <w:sz w:val="32"/>
        </w:rPr>
        <w:t>Proposal No. 1: Election of Directors</w:t>
      </w:r>
    </w:p>
    <w:p>
      <w:pPr>
        <w:pStyle w:val="TextBody"/>
        <w:bidi w:val="0"/>
        <w:spacing w:lineRule="auto" w:line="312" w:before="120" w:after="240"/>
        <w:jc w:val="left"/>
        <w:rPr>
          <w:rFonts w:ascii="Lato;sans-serif" w:hAnsi="Lato;sans-serif"/>
          <w:b w:val="false"/>
          <w:color w:val="000000"/>
          <w:sz w:val="18"/>
        </w:rPr>
      </w:pPr>
      <w:r>
        <w:rPr>
          <w:rFonts w:ascii="Lato;sans-serif" w:hAnsi="Lato;sans-serif"/>
          <w:b w:val="false"/>
          <w:color w:val="000000"/>
          <w:sz w:val="18"/>
        </w:rPr>
        <w:t xml:space="preserve">Our business and affairs are managed under the direction of our Board. Our Board is chaired by Dr. Kamal Ghaffarian and includes Stephen Altemus, Michael Blitzer, William J. Liquori, Robert L. Masson and Nicole Seligman as members. </w:t>
      </w:r>
    </w:p>
    <w:tbl>
      <w:tblPr>
        <w:tblW w:w="10205" w:type="dxa"/>
        <w:jc w:val="center"/>
        <w:tblInd w:w="0" w:type="dxa"/>
        <w:tblLayout w:type="fixed"/>
        <w:tblCellMar>
          <w:top w:w="28" w:type="dxa"/>
          <w:left w:w="28" w:type="dxa"/>
          <w:bottom w:w="28" w:type="dxa"/>
          <w:right w:w="28" w:type="dxa"/>
        </w:tblCellMar>
      </w:tblPr>
      <w:tblGrid>
        <w:gridCol w:w="3265"/>
        <w:gridCol w:w="2870"/>
        <w:gridCol w:w="4070"/>
      </w:tblGrid>
      <w:tr>
        <w:trPr/>
        <w:tc>
          <w:tcPr>
            <w:tcW w:w="3265"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lineRule="auto" w:line="288" w:before="160" w:after="283"/>
              <w:jc w:val="both"/>
              <w:rPr/>
            </w:pPr>
            <w:r>
              <w:rPr>
                <w:rFonts w:ascii="Lato;sans-serif" w:hAnsi="Lato;sans-serif"/>
                <w:b w:val="false"/>
                <w:color w:val="005CB9"/>
                <w:sz w:val="24"/>
              </w:rPr>
              <w:t xml:space="preserve">The Board recommends a vote </w:t>
            </w:r>
            <w:r>
              <w:rPr>
                <w:rFonts w:ascii="Lato;sans-serif" w:hAnsi="Lato;sans-serif"/>
                <w:b/>
                <w:color w:val="005CB9"/>
                <w:sz w:val="24"/>
              </w:rPr>
              <w:t>FOR</w:t>
            </w:r>
            <w:r>
              <w:rPr>
                <w:color w:val="005CB9"/>
              </w:rPr>
              <w:t xml:space="preserve"> </w:t>
            </w:r>
            <w:r>
              <w:rPr>
                <w:rFonts w:ascii="Lato;sans-serif" w:hAnsi="Lato;sans-serif"/>
                <w:b w:val="false"/>
                <w:color w:val="005CB9"/>
                <w:sz w:val="24"/>
              </w:rPr>
              <w:t xml:space="preserve">each of Michael Blitzer and Nicole Seligman, the </w:t>
            </w:r>
          </w:p>
          <w:p>
            <w:pPr>
              <w:pStyle w:val="TableContents"/>
              <w:bidi w:val="0"/>
              <w:spacing w:lineRule="auto" w:line="288" w:before="0" w:after="0"/>
              <w:jc w:val="both"/>
              <w:rPr>
                <w:rFonts w:ascii="Lato;sans-serif" w:hAnsi="Lato;sans-serif"/>
                <w:b w:val="false"/>
                <w:color w:val="005CB9"/>
                <w:sz w:val="24"/>
              </w:rPr>
            </w:pPr>
            <w:r>
              <w:rPr>
                <w:rFonts w:ascii="Lato;sans-serif" w:hAnsi="Lato;sans-serif"/>
                <w:b w:val="false"/>
                <w:color w:val="005CB9"/>
                <w:sz w:val="24"/>
              </w:rPr>
              <w:t xml:space="preserve">Class II director nominees. </w:t>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left"/>
        <w:rPr>
          <w:rFonts w:ascii="Lato;sans-serif" w:hAnsi="Lato;sans-serif"/>
          <w:b/>
          <w:color w:val="000000"/>
          <w:sz w:val="24"/>
        </w:rPr>
      </w:pPr>
      <w:r>
        <w:rPr>
          <w:rFonts w:ascii="Lato;sans-serif" w:hAnsi="Lato;sans-serif"/>
          <w:b/>
          <w:color w:val="000000"/>
          <w:sz w:val="24"/>
        </w:rPr>
        <w:t>Classified Board of Directors</w:t>
      </w:r>
    </w:p>
    <w:p>
      <w:pPr>
        <w:pStyle w:val="TextBody"/>
        <w:bidi w:val="0"/>
        <w:spacing w:lineRule="auto" w:line="288" w:before="160" w:after="283"/>
        <w:jc w:val="both"/>
        <w:rPr>
          <w:rFonts w:ascii="Lato;sans-serif" w:hAnsi="Lato;sans-serif"/>
          <w:b w:val="false"/>
          <w:color w:val="000000"/>
          <w:sz w:val="18"/>
        </w:rPr>
      </w:pPr>
      <w:r>
        <w:rPr>
          <w:rFonts w:ascii="Lato;sans-serif" w:hAnsi="Lato;sans-serif"/>
          <w:b w:val="false"/>
          <w:color w:val="000000"/>
          <w:sz w:val="18"/>
        </w:rPr>
        <w:t xml:space="preserve">Pursuant to our Certificate of Incorporation, our directors are divided into three classes, with each class serving staggered three-year terms. Our Board currently consists of six directors who are divided among the three classes as disclosed in the table below. </w:t>
      </w:r>
    </w:p>
    <w:tbl>
      <w:tblPr>
        <w:tblW w:w="9948" w:type="dxa"/>
        <w:jc w:val="left"/>
        <w:tblInd w:w="0" w:type="dxa"/>
        <w:tblLayout w:type="fixed"/>
        <w:tblCellMar>
          <w:top w:w="28" w:type="dxa"/>
          <w:left w:w="28" w:type="dxa"/>
          <w:bottom w:w="28" w:type="dxa"/>
          <w:right w:w="28" w:type="dxa"/>
        </w:tblCellMar>
      </w:tblPr>
      <w:tblGrid>
        <w:gridCol w:w="272"/>
        <w:gridCol w:w="237"/>
        <w:gridCol w:w="240"/>
        <w:gridCol w:w="1427"/>
        <w:gridCol w:w="1427"/>
        <w:gridCol w:w="1450"/>
        <w:gridCol w:w="425"/>
        <w:gridCol w:w="425"/>
        <w:gridCol w:w="426"/>
        <w:gridCol w:w="155"/>
        <w:gridCol w:w="155"/>
        <w:gridCol w:w="156"/>
        <w:gridCol w:w="474"/>
        <w:gridCol w:w="474"/>
        <w:gridCol w:w="476"/>
        <w:gridCol w:w="120"/>
        <w:gridCol w:w="120"/>
        <w:gridCol w:w="121"/>
        <w:gridCol w:w="119"/>
        <w:gridCol w:w="119"/>
        <w:gridCol w:w="123"/>
        <w:gridCol w:w="165"/>
        <w:gridCol w:w="165"/>
        <w:gridCol w:w="166"/>
        <w:gridCol w:w="147"/>
        <w:gridCol w:w="147"/>
        <w:gridCol w:w="217"/>
      </w:tblGrid>
      <w:tr>
        <w:trPr/>
        <w:tc>
          <w:tcPr>
            <w:tcW w:w="2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color w:val="000000"/>
                <w:sz w:val="16"/>
              </w:rPr>
            </w:pPr>
            <w:r>
              <w:rPr>
                <w:rFonts w:ascii="Lato Black;sans-serif" w:hAnsi="Lato Black;sans-serif"/>
                <w:b/>
                <w:color w:val="000000"/>
                <w:sz w:val="16"/>
              </w:rPr>
              <w:t>Committee</w:t>
              <w:br/>
              <w:t>Memberships</w:t>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 Black;sans-serif" w:hAnsi="Lato Black;sans-serif"/>
                <w:b/>
                <w:color w:val="000000"/>
                <w:sz w:val="16"/>
              </w:rPr>
            </w:pPr>
            <w:r>
              <w:rPr>
                <w:rFonts w:ascii="Lato Black;sans-serif" w:hAnsi="Lato Black;sans-serif"/>
                <w:b/>
                <w:color w:val="000000"/>
                <w:sz w:val="16"/>
              </w:rPr>
              <w:t>Name</w:t>
            </w:r>
          </w:p>
        </w:tc>
        <w:tc>
          <w:tcPr>
            <w:tcW w:w="12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color w:val="000000"/>
                <w:sz w:val="16"/>
              </w:rPr>
            </w:pPr>
            <w:r>
              <w:rPr>
                <w:rFonts w:ascii="Lato Black;sans-serif" w:hAnsi="Lato Black;sans-serif"/>
                <w:b/>
                <w:color w:val="000000"/>
                <w:sz w:val="16"/>
              </w:rPr>
              <w:t>Independent</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color w:val="000000"/>
                <w:sz w:val="16"/>
              </w:rPr>
            </w:pPr>
            <w:r>
              <w:rPr>
                <w:rFonts w:ascii="Lato Black;sans-serif" w:hAnsi="Lato Black;sans-serif"/>
                <w:b/>
                <w:color w:val="000000"/>
                <w:sz w:val="16"/>
              </w:rPr>
              <w:t>Age</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color w:val="000000"/>
                <w:sz w:val="16"/>
              </w:rPr>
            </w:pPr>
            <w:r>
              <w:rPr>
                <w:rFonts w:ascii="Lato Black;sans-serif" w:hAnsi="Lato Black;sans-serif"/>
                <w:b/>
                <w:color w:val="000000"/>
                <w:sz w:val="16"/>
              </w:rPr>
              <w:t>Director Since</w:t>
            </w:r>
          </w:p>
        </w:tc>
        <w:tc>
          <w:tcPr>
            <w:tcW w:w="36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color w:val="000000"/>
                <w:sz w:val="16"/>
              </w:rPr>
            </w:pPr>
            <w:r>
              <w:rPr>
                <w:rFonts w:ascii="Lato Black;sans-serif" w:hAnsi="Lato Black;sans-serif"/>
                <w:b/>
                <w:color w:val="000000"/>
                <w:sz w:val="16"/>
              </w:rPr>
              <w:t>AC</w:t>
            </w:r>
          </w:p>
        </w:tc>
        <w:tc>
          <w:tcPr>
            <w:tcW w:w="36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color w:val="000000"/>
                <w:sz w:val="16"/>
              </w:rPr>
            </w:pPr>
            <w:r>
              <w:rPr>
                <w:rFonts w:ascii="Lato Black;sans-serif" w:hAnsi="Lato Black;sans-serif"/>
                <w:b/>
                <w:color w:val="000000"/>
                <w:sz w:val="16"/>
              </w:rPr>
              <w:t>CC</w:t>
            </w:r>
          </w:p>
        </w:tc>
        <w:tc>
          <w:tcPr>
            <w:tcW w:w="49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color w:val="000000"/>
                <w:sz w:val="16"/>
              </w:rPr>
            </w:pPr>
            <w:r>
              <w:rPr>
                <w:rFonts w:ascii="Lato Black;sans-serif" w:hAnsi="Lato Black;sans-serif"/>
                <w:b/>
                <w:color w:val="000000"/>
                <w:sz w:val="16"/>
              </w:rPr>
              <w:t>NGC</w:t>
            </w:r>
          </w:p>
        </w:tc>
        <w:tc>
          <w:tcPr>
            <w:tcW w:w="51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color w:val="000000"/>
                <w:sz w:val="16"/>
              </w:rPr>
            </w:pPr>
            <w:r>
              <w:rPr>
                <w:rFonts w:ascii="Lato Black;sans-serif" w:hAnsi="Lato Black;sans-serif"/>
                <w:b/>
                <w:color w:val="000000"/>
                <w:sz w:val="16"/>
              </w:rPr>
              <w:t>CFC</w:t>
            </w:r>
          </w:p>
        </w:tc>
      </w:tr>
      <w:tr>
        <w:trPr/>
        <w:tc>
          <w:tcPr>
            <w:tcW w:w="749" w:type="dxa"/>
            <w:gridSpan w:val="3"/>
            <w:vMerge w:val="restart"/>
            <w:tcBorders>
              <w:top w:val="single" w:sz="8" w:space="0" w:color="005CB9"/>
            </w:tcBorders>
            <w:shd w:fill="215DAE"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FFFFFF"/>
                <w:sz w:val="16"/>
              </w:rPr>
            </w:pPr>
            <w:r>
              <w:rPr>
                <w:rFonts w:ascii="Lato;sans-serif" w:hAnsi="Lato;sans-serif"/>
                <w:b w:val="false"/>
                <w:color w:val="FFFFFF"/>
                <w:sz w:val="16"/>
              </w:rPr>
              <w:t>Class I</w:t>
            </w:r>
          </w:p>
        </w:tc>
        <w:tc>
          <w:tcPr>
            <w:tcW w:w="4304"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color w:val="005CB9"/>
                <w:sz w:val="16"/>
              </w:rPr>
            </w:pPr>
            <w:r>
              <w:rPr>
                <w:rFonts w:ascii="Lato;sans-serif" w:hAnsi="Lato;sans-serif"/>
                <w:b/>
                <w:color w:val="005CB9"/>
                <w:sz w:val="16"/>
              </w:rPr>
              <w:t>William J. Liquori</w:t>
            </w:r>
          </w:p>
          <w:p>
            <w:pPr>
              <w:pStyle w:val="TableContents"/>
              <w:bidi w:val="0"/>
              <w:spacing w:lineRule="auto" w:line="312" w:before="0" w:after="0"/>
              <w:jc w:val="left"/>
              <w:rPr>
                <w:rFonts w:ascii="Lato;sans-serif" w:hAnsi="Lato;sans-serif"/>
                <w:b w:val="false"/>
                <w:color w:val="000000"/>
                <w:sz w:val="16"/>
                <w:shd w:fill="FFFFFF" w:val="clear"/>
              </w:rPr>
            </w:pPr>
            <w:r>
              <w:rPr>
                <w:rFonts w:ascii="Lato;sans-serif" w:hAnsi="Lato;sans-serif"/>
                <w:b w:val="false"/>
                <w:color w:val="000000"/>
                <w:sz w:val="16"/>
                <w:shd w:fill="FFFFFF" w:val="clear"/>
              </w:rPr>
              <w:t>Director</w:t>
            </w:r>
          </w:p>
        </w:tc>
        <w:tc>
          <w:tcPr>
            <w:tcW w:w="127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Yes</w:t>
            </w:r>
          </w:p>
        </w:tc>
        <w:tc>
          <w:tcPr>
            <w:tcW w:w="46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56</w:t>
            </w:r>
          </w:p>
        </w:tc>
        <w:tc>
          <w:tcPr>
            <w:tcW w:w="1424"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Feb 2023</w:t>
            </w:r>
          </w:p>
        </w:tc>
        <w:tc>
          <w:tcPr>
            <w:tcW w:w="36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16"/>
              </w:rPr>
            </w:pPr>
            <w:r>
              <w:rPr>
                <w:rFonts w:ascii="Wingdings 2;sans-serif" w:hAnsi="Wingdings 2;sans-serif"/>
                <w:b w:val="false"/>
                <w:color w:val="000000"/>
                <w:sz w:val="16"/>
              </w:rPr>
              <w:t>ò</w:t>
            </w:r>
          </w:p>
        </w:tc>
        <w:tc>
          <w:tcPr>
            <w:tcW w:w="361"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16"/>
              </w:rPr>
            </w:pPr>
            <w:r>
              <w:rPr>
                <w:rFonts w:ascii="Wingdings 2;sans-serif" w:hAnsi="Wingdings 2;sans-serif"/>
                <w:b w:val="false"/>
                <w:color w:val="000000"/>
                <w:sz w:val="16"/>
              </w:rPr>
              <w:t>ò</w:t>
            </w:r>
          </w:p>
        </w:tc>
        <w:tc>
          <w:tcPr>
            <w:tcW w:w="51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0"/>
              <w:jc w:val="center"/>
              <w:rPr/>
            </w:pPr>
            <w:r>
              <w:rPr>
                <w:rFonts w:ascii="Wingdings 2;sans-serif" w:hAnsi="Wingdings 2;sans-serif"/>
                <w:b w:val="false"/>
                <w:color w:val="000000"/>
                <w:sz w:val="16"/>
              </w:rPr>
              <w:t>ò</w:t>
            </w:r>
            <w:r>
              <w:rPr>
                <w:rFonts w:ascii="Webdings;sans-serif" w:hAnsi="Webdings;sans-serif"/>
                <w:b w:val="false"/>
                <w:color w:val="000000"/>
                <w:sz w:val="20"/>
              </w:rPr>
              <w:t>m</w:t>
            </w:r>
          </w:p>
        </w:tc>
      </w:tr>
      <w:tr>
        <w:trPr/>
        <w:tc>
          <w:tcPr>
            <w:tcW w:w="749" w:type="dxa"/>
            <w:gridSpan w:val="3"/>
            <w:vMerge w:val="continue"/>
            <w:tcBorders>
              <w:top w:val="single" w:sz="8" w:space="0" w:color="005CB9"/>
            </w:tcBorders>
            <w:shd w:fill="215DAE" w:val="clear"/>
            <w:tcMar>
              <w:top w:w="30" w:type="dxa"/>
              <w:left w:w="0" w:type="dxa"/>
              <w:bottom w:w="0" w:type="dxa"/>
              <w:right w:w="0" w:type="dxa"/>
            </w:tcMar>
            <w:vAlign w:val="center"/>
          </w:tcPr>
          <w:p>
            <w:pPr>
              <w:pStyle w:val="Normal"/>
              <w:bidi w:val="0"/>
              <w:jc w:val="left"/>
              <w:rPr/>
            </w:pPr>
            <w:r>
              <w:rPr/>
            </w:r>
          </w:p>
        </w:tc>
        <w:tc>
          <w:tcPr>
            <w:tcW w:w="430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color w:val="005CB9"/>
                <w:sz w:val="16"/>
              </w:rPr>
            </w:pPr>
            <w:r>
              <w:rPr>
                <w:rFonts w:ascii="Lato;sans-serif" w:hAnsi="Lato;sans-serif"/>
                <w:b/>
                <w:color w:val="005CB9"/>
                <w:sz w:val="16"/>
              </w:rPr>
              <w:t>Robert L. Masson</w:t>
            </w:r>
          </w:p>
          <w:p>
            <w:pPr>
              <w:pStyle w:val="TableContents"/>
              <w:bidi w:val="0"/>
              <w:spacing w:lineRule="auto" w:line="312" w:before="0" w:after="0"/>
              <w:jc w:val="left"/>
              <w:rPr>
                <w:rFonts w:ascii="Lato;sans-serif" w:hAnsi="Lato;sans-serif"/>
                <w:b w:val="false"/>
                <w:color w:val="000000"/>
                <w:sz w:val="16"/>
                <w:shd w:fill="FFFFFF" w:val="clear"/>
              </w:rPr>
            </w:pPr>
            <w:r>
              <w:rPr>
                <w:rFonts w:ascii="Lato;sans-serif" w:hAnsi="Lato;sans-serif"/>
                <w:b w:val="false"/>
                <w:color w:val="000000"/>
                <w:sz w:val="16"/>
                <w:shd w:fill="FFFFFF" w:val="clear"/>
              </w:rPr>
              <w:t>Director</w:t>
            </w:r>
          </w:p>
        </w:tc>
        <w:tc>
          <w:tcPr>
            <w:tcW w:w="127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Yes</w:t>
            </w:r>
          </w:p>
        </w:tc>
        <w:tc>
          <w:tcPr>
            <w:tcW w:w="4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56</w:t>
            </w:r>
          </w:p>
        </w:tc>
        <w:tc>
          <w:tcPr>
            <w:tcW w:w="142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Feb 2023</w:t>
            </w:r>
          </w:p>
        </w:tc>
        <w:tc>
          <w:tcPr>
            <w:tcW w:w="36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0"/>
              <w:jc w:val="center"/>
              <w:rPr/>
            </w:pPr>
            <w:r>
              <w:rPr>
                <w:rFonts w:ascii="Wingdings 2;sans-serif" w:hAnsi="Wingdings 2;sans-serif"/>
                <w:b w:val="false"/>
                <w:color w:val="000000"/>
                <w:sz w:val="16"/>
              </w:rPr>
              <w:t>ò</w:t>
            </w:r>
            <w:r>
              <w:rPr>
                <w:rFonts w:ascii="Webdings;sans-serif" w:hAnsi="Webdings;sans-serif"/>
                <w:b w:val="false"/>
                <w:color w:val="000000"/>
                <w:sz w:val="20"/>
              </w:rPr>
              <w:t>m</w:t>
            </w:r>
          </w:p>
        </w:tc>
        <w:tc>
          <w:tcPr>
            <w:tcW w:w="36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16"/>
              </w:rPr>
            </w:pPr>
            <w:r>
              <w:rPr>
                <w:rFonts w:ascii="Wingdings 2;sans-serif" w:hAnsi="Wingdings 2;sans-serif"/>
                <w:b w:val="false"/>
                <w:color w:val="000000"/>
                <w:sz w:val="16"/>
              </w:rPr>
              <w:t>ò</w:t>
            </w:r>
          </w:p>
        </w:tc>
        <w:tc>
          <w:tcPr>
            <w:tcW w:w="496"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16"/>
              </w:rPr>
            </w:pPr>
            <w:r>
              <w:rPr>
                <w:rFonts w:ascii="Wingdings 2;sans-serif" w:hAnsi="Wingdings 2;sans-serif"/>
                <w:b w:val="false"/>
                <w:color w:val="000000"/>
                <w:sz w:val="16"/>
              </w:rPr>
              <w:t>ò</w:t>
            </w:r>
          </w:p>
        </w:tc>
      </w:tr>
      <w:tr>
        <w:trPr/>
        <w:tc>
          <w:tcPr>
            <w:tcW w:w="749" w:type="dxa"/>
            <w:gridSpan w:val="3"/>
            <w:vMerge w:val="restart"/>
            <w:tcBorders>
              <w:top w:val="single" w:sz="8" w:space="0" w:color="FFFFFF"/>
            </w:tcBorders>
            <w:shd w:fill="215DAE" w:val="clear"/>
            <w:tcMar>
              <w:top w:w="30" w:type="dxa"/>
              <w:left w:w="0" w:type="dxa"/>
              <w:bottom w:w="0" w:type="dxa"/>
              <w:right w:w="0" w:type="dxa"/>
            </w:tcMar>
            <w:vAlign w:val="center"/>
          </w:tcPr>
          <w:p>
            <w:pPr>
              <w:pStyle w:val="TableContents"/>
              <w:bidi w:val="0"/>
              <w:spacing w:lineRule="auto" w:line="312" w:before="0" w:after="283"/>
              <w:jc w:val="center"/>
              <w:rPr>
                <w:rFonts w:ascii="Lato;sans-serif" w:hAnsi="Lato;sans-serif"/>
                <w:b w:val="false"/>
                <w:color w:val="FFFFFF"/>
                <w:sz w:val="16"/>
              </w:rPr>
            </w:pPr>
            <w:r>
              <w:rPr>
                <w:rFonts w:ascii="Lato;sans-serif" w:hAnsi="Lato;sans-serif"/>
                <w:b w:val="false"/>
                <w:color w:val="FFFFFF"/>
                <w:sz w:val="16"/>
              </w:rPr>
              <w:t>Class II</w:t>
            </w:r>
          </w:p>
        </w:tc>
        <w:tc>
          <w:tcPr>
            <w:tcW w:w="4304"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color w:val="005CB9"/>
                <w:sz w:val="16"/>
              </w:rPr>
            </w:pPr>
            <w:r>
              <w:rPr>
                <w:rFonts w:ascii="Lato;sans-serif" w:hAnsi="Lato;sans-serif"/>
                <w:b/>
                <w:color w:val="005CB9"/>
                <w:sz w:val="16"/>
              </w:rPr>
              <w:t>Michael Blitzer</w:t>
            </w:r>
          </w:p>
          <w:p>
            <w:pPr>
              <w:pStyle w:val="TableContents"/>
              <w:bidi w:val="0"/>
              <w:spacing w:lineRule="auto" w:line="312" w:before="0" w:after="0"/>
              <w:jc w:val="left"/>
              <w:rPr>
                <w:rFonts w:ascii="Lato;sans-serif" w:hAnsi="Lato;sans-serif"/>
                <w:b w:val="false"/>
                <w:color w:val="000000"/>
                <w:sz w:val="16"/>
                <w:shd w:fill="FFFFFF" w:val="clear"/>
              </w:rPr>
            </w:pPr>
            <w:r>
              <w:rPr>
                <w:rFonts w:ascii="Lato;sans-serif" w:hAnsi="Lato;sans-serif"/>
                <w:b w:val="false"/>
                <w:color w:val="000000"/>
                <w:sz w:val="16"/>
                <w:shd w:fill="FFFFFF" w:val="clear"/>
              </w:rPr>
              <w:t>Director</w:t>
            </w:r>
          </w:p>
        </w:tc>
        <w:tc>
          <w:tcPr>
            <w:tcW w:w="127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Yes</w:t>
            </w:r>
          </w:p>
        </w:tc>
        <w:tc>
          <w:tcPr>
            <w:tcW w:w="46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47</w:t>
            </w:r>
          </w:p>
        </w:tc>
        <w:tc>
          <w:tcPr>
            <w:tcW w:w="1424"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Feb 2023</w:t>
            </w:r>
          </w:p>
        </w:tc>
        <w:tc>
          <w:tcPr>
            <w:tcW w:w="36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16"/>
              </w:rPr>
            </w:pPr>
            <w:r>
              <w:rPr>
                <w:rFonts w:ascii="Wingdings 2;sans-serif" w:hAnsi="Wingdings 2;sans-serif"/>
                <w:b w:val="false"/>
                <w:color w:val="000000"/>
                <w:sz w:val="16"/>
              </w:rPr>
              <w:t>ò</w:t>
            </w:r>
          </w:p>
        </w:tc>
        <w:tc>
          <w:tcPr>
            <w:tcW w:w="36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0"/>
              <w:jc w:val="center"/>
              <w:rPr/>
            </w:pPr>
            <w:r>
              <w:rPr>
                <w:rFonts w:ascii="Wingdings 2;sans-serif" w:hAnsi="Wingdings 2;sans-serif"/>
                <w:b w:val="false"/>
                <w:color w:val="000000"/>
                <w:sz w:val="16"/>
              </w:rPr>
              <w:t>ò</w:t>
            </w:r>
            <w:r>
              <w:rPr>
                <w:rFonts w:ascii="Webdings;sans-serif" w:hAnsi="Webdings;sans-serif"/>
                <w:b w:val="false"/>
                <w:color w:val="000000"/>
                <w:sz w:val="20"/>
              </w:rPr>
              <w:t>m</w:t>
            </w:r>
          </w:p>
        </w:tc>
        <w:tc>
          <w:tcPr>
            <w:tcW w:w="49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16"/>
              </w:rPr>
            </w:pPr>
            <w:r>
              <w:rPr>
                <w:rFonts w:ascii="Wingdings 2;sans-serif" w:hAnsi="Wingdings 2;sans-serif"/>
                <w:b w:val="false"/>
                <w:color w:val="000000"/>
                <w:sz w:val="16"/>
              </w:rPr>
              <w:t>ò</w:t>
            </w:r>
          </w:p>
        </w:tc>
        <w:tc>
          <w:tcPr>
            <w:tcW w:w="51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16"/>
              </w:rPr>
            </w:pPr>
            <w:r>
              <w:rPr>
                <w:rFonts w:ascii="Wingdings 2;sans-serif" w:hAnsi="Wingdings 2;sans-serif"/>
                <w:b w:val="false"/>
                <w:color w:val="000000"/>
                <w:sz w:val="16"/>
              </w:rPr>
              <w:t>ò</w:t>
            </w:r>
          </w:p>
        </w:tc>
      </w:tr>
      <w:tr>
        <w:trPr/>
        <w:tc>
          <w:tcPr>
            <w:tcW w:w="749" w:type="dxa"/>
            <w:gridSpan w:val="3"/>
            <w:vMerge w:val="continue"/>
            <w:tcBorders>
              <w:top w:val="single" w:sz="8" w:space="0" w:color="FFFFFF"/>
            </w:tcBorders>
            <w:shd w:fill="215DAE" w:val="clear"/>
            <w:tcMar>
              <w:top w:w="30" w:type="dxa"/>
              <w:left w:w="0" w:type="dxa"/>
              <w:bottom w:w="0" w:type="dxa"/>
              <w:right w:w="0" w:type="dxa"/>
            </w:tcMar>
            <w:vAlign w:val="center"/>
          </w:tcPr>
          <w:p>
            <w:pPr>
              <w:pStyle w:val="Normal"/>
              <w:bidi w:val="0"/>
              <w:jc w:val="left"/>
              <w:rPr/>
            </w:pPr>
            <w:r>
              <w:rPr/>
            </w:r>
          </w:p>
        </w:tc>
        <w:tc>
          <w:tcPr>
            <w:tcW w:w="430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color w:val="005CB9"/>
                <w:sz w:val="16"/>
              </w:rPr>
            </w:pPr>
            <w:r>
              <w:rPr>
                <w:rFonts w:ascii="Lato;sans-serif" w:hAnsi="Lato;sans-serif"/>
                <w:b/>
                <w:color w:val="005CB9"/>
                <w:sz w:val="16"/>
              </w:rPr>
              <w:t>Nicole Seligman</w:t>
            </w:r>
          </w:p>
          <w:p>
            <w:pPr>
              <w:pStyle w:val="TableContents"/>
              <w:bidi w:val="0"/>
              <w:spacing w:lineRule="auto" w:line="312" w:before="0" w:after="0"/>
              <w:jc w:val="left"/>
              <w:rPr>
                <w:rFonts w:ascii="Lato;sans-serif" w:hAnsi="Lato;sans-serif"/>
                <w:b w:val="false"/>
                <w:color w:val="000000"/>
                <w:sz w:val="16"/>
                <w:shd w:fill="FFFFFF" w:val="clear"/>
              </w:rPr>
            </w:pPr>
            <w:r>
              <w:rPr>
                <w:rFonts w:ascii="Lato;sans-serif" w:hAnsi="Lato;sans-serif"/>
                <w:b w:val="false"/>
                <w:color w:val="000000"/>
                <w:sz w:val="16"/>
                <w:shd w:fill="FFFFFF" w:val="clear"/>
              </w:rPr>
              <w:t>Director</w:t>
            </w:r>
          </w:p>
        </w:tc>
        <w:tc>
          <w:tcPr>
            <w:tcW w:w="127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Yes</w:t>
            </w:r>
          </w:p>
        </w:tc>
        <w:tc>
          <w:tcPr>
            <w:tcW w:w="46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68</w:t>
            </w:r>
          </w:p>
        </w:tc>
        <w:tc>
          <w:tcPr>
            <w:tcW w:w="142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Jun 2023</w:t>
            </w:r>
          </w:p>
        </w:tc>
        <w:tc>
          <w:tcPr>
            <w:tcW w:w="361"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0"/>
              <w:jc w:val="center"/>
              <w:rPr/>
            </w:pPr>
            <w:r>
              <w:rPr>
                <w:rFonts w:ascii="Wingdings 2;sans-serif" w:hAnsi="Wingdings 2;sans-serif"/>
                <w:b w:val="false"/>
                <w:color w:val="000000"/>
                <w:sz w:val="16"/>
              </w:rPr>
              <w:t>ò</w:t>
            </w:r>
            <w:r>
              <w:rPr>
                <w:rFonts w:ascii="Webdings;sans-serif" w:hAnsi="Webdings;sans-serif"/>
                <w:b w:val="false"/>
                <w:color w:val="000000"/>
                <w:sz w:val="20"/>
              </w:rPr>
              <w:t>m</w:t>
            </w:r>
          </w:p>
        </w:tc>
        <w:tc>
          <w:tcPr>
            <w:tcW w:w="51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Wingdings 2;sans-serif" w:hAnsi="Wingdings 2;sans-serif"/>
                <w:b w:val="false"/>
                <w:color w:val="000000"/>
                <w:sz w:val="16"/>
              </w:rPr>
            </w:pPr>
            <w:r>
              <w:rPr>
                <w:rFonts w:ascii="Wingdings 2;sans-serif" w:hAnsi="Wingdings 2;sans-serif"/>
                <w:b w:val="false"/>
                <w:color w:val="000000"/>
                <w:sz w:val="16"/>
              </w:rPr>
              <w:t>ò</w:t>
            </w:r>
          </w:p>
        </w:tc>
      </w:tr>
      <w:tr>
        <w:trPr/>
        <w:tc>
          <w:tcPr>
            <w:tcW w:w="749" w:type="dxa"/>
            <w:gridSpan w:val="3"/>
            <w:vMerge w:val="restart"/>
            <w:tcBorders>
              <w:top w:val="single" w:sz="8" w:space="0" w:color="FFFFFF"/>
              <w:bottom w:val="single" w:sz="8" w:space="0" w:color="005CB9"/>
            </w:tcBorders>
            <w:shd w:fill="215DAE" w:val="clear"/>
            <w:tcMar>
              <w:top w:w="30" w:type="dxa"/>
              <w:left w:w="0" w:type="dxa"/>
              <w:bottom w:w="30" w:type="dxa"/>
              <w:right w:w="0" w:type="dxa"/>
            </w:tcMar>
            <w:vAlign w:val="center"/>
          </w:tcPr>
          <w:p>
            <w:pPr>
              <w:pStyle w:val="TableContents"/>
              <w:bidi w:val="0"/>
              <w:spacing w:lineRule="auto" w:line="312" w:before="0" w:after="283"/>
              <w:jc w:val="center"/>
              <w:rPr>
                <w:rFonts w:ascii="Lato;sans-serif" w:hAnsi="Lato;sans-serif"/>
                <w:b w:val="false"/>
                <w:color w:val="FFFFFF"/>
                <w:sz w:val="16"/>
              </w:rPr>
            </w:pPr>
            <w:r>
              <w:rPr>
                <w:rFonts w:ascii="Lato;sans-serif" w:hAnsi="Lato;sans-serif"/>
                <w:b w:val="false"/>
                <w:color w:val="FFFFFF"/>
                <w:sz w:val="16"/>
              </w:rPr>
              <w:t>Class III</w:t>
            </w:r>
          </w:p>
        </w:tc>
        <w:tc>
          <w:tcPr>
            <w:tcW w:w="4304"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0" w:after="0"/>
              <w:jc w:val="left"/>
              <w:rPr>
                <w:rFonts w:ascii="Lato;sans-serif" w:hAnsi="Lato;sans-serif"/>
                <w:b/>
                <w:color w:val="005CB9"/>
                <w:sz w:val="16"/>
              </w:rPr>
            </w:pPr>
            <w:r>
              <w:rPr>
                <w:rFonts w:ascii="Lato;sans-serif" w:hAnsi="Lato;sans-serif"/>
                <w:b/>
                <w:color w:val="005CB9"/>
                <w:sz w:val="16"/>
              </w:rPr>
              <w:t>Stephen Altemus</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Chief Executive Officer and President and Director</w:t>
            </w:r>
          </w:p>
        </w:tc>
        <w:tc>
          <w:tcPr>
            <w:tcW w:w="127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No</w:t>
            </w:r>
          </w:p>
        </w:tc>
        <w:tc>
          <w:tcPr>
            <w:tcW w:w="46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61</w:t>
            </w:r>
          </w:p>
        </w:tc>
        <w:tc>
          <w:tcPr>
            <w:tcW w:w="1424"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Feb 2023</w:t>
            </w:r>
          </w:p>
        </w:tc>
        <w:tc>
          <w:tcPr>
            <w:tcW w:w="361"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vMerge w:val="continue"/>
            <w:tcBorders>
              <w:top w:val="single" w:sz="8" w:space="0" w:color="FFFFFF"/>
              <w:bottom w:val="single" w:sz="8" w:space="0" w:color="005CB9"/>
            </w:tcBorders>
            <w:shd w:fill="215DAE" w:val="clear"/>
            <w:tcMar>
              <w:top w:w="30" w:type="dxa"/>
              <w:left w:w="0" w:type="dxa"/>
              <w:bottom w:w="30" w:type="dxa"/>
              <w:right w:w="0" w:type="dxa"/>
            </w:tcMar>
            <w:vAlign w:val="center"/>
          </w:tcPr>
          <w:p>
            <w:pPr>
              <w:pStyle w:val="Normal"/>
              <w:bidi w:val="0"/>
              <w:jc w:val="left"/>
              <w:rPr/>
            </w:pPr>
            <w:r>
              <w:rPr/>
            </w:r>
          </w:p>
        </w:tc>
        <w:tc>
          <w:tcPr>
            <w:tcW w:w="4304"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0" w:after="0"/>
              <w:jc w:val="left"/>
              <w:rPr>
                <w:rFonts w:ascii="Lato;sans-serif" w:hAnsi="Lato;sans-serif"/>
                <w:b/>
                <w:color w:val="005CB9"/>
                <w:sz w:val="16"/>
              </w:rPr>
            </w:pPr>
            <w:r>
              <w:rPr>
                <w:rFonts w:ascii="Lato;sans-serif" w:hAnsi="Lato;sans-serif"/>
                <w:b/>
                <w:color w:val="005CB9"/>
                <w:sz w:val="16"/>
              </w:rPr>
              <w:t>Dr. Kamal Ghaffarian</w:t>
            </w:r>
          </w:p>
          <w:p>
            <w:pPr>
              <w:pStyle w:val="TableContents"/>
              <w:bidi w:val="0"/>
              <w:spacing w:lineRule="auto" w:line="312" w:before="0" w:after="0"/>
              <w:jc w:val="left"/>
              <w:rPr>
                <w:rFonts w:ascii="Lato;sans-serif" w:hAnsi="Lato;sans-serif"/>
                <w:b w:val="false"/>
                <w:color w:val="000000"/>
                <w:sz w:val="16"/>
              </w:rPr>
            </w:pPr>
            <w:r>
              <w:rPr>
                <w:rFonts w:ascii="Lato;sans-serif" w:hAnsi="Lato;sans-serif"/>
                <w:b w:val="false"/>
                <w:color w:val="000000"/>
                <w:sz w:val="16"/>
              </w:rPr>
              <w:t>Chairman of the Board of Directors</w:t>
            </w:r>
          </w:p>
        </w:tc>
        <w:tc>
          <w:tcPr>
            <w:tcW w:w="1276"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No</w:t>
            </w:r>
          </w:p>
        </w:tc>
        <w:tc>
          <w:tcPr>
            <w:tcW w:w="466"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66</w:t>
            </w:r>
          </w:p>
        </w:tc>
        <w:tc>
          <w:tcPr>
            <w:tcW w:w="1424"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Feb 2023</w:t>
            </w:r>
          </w:p>
        </w:tc>
        <w:tc>
          <w:tcPr>
            <w:tcW w:w="361" w:type="dxa"/>
            <w:gridSpan w:val="3"/>
            <w:tcBorders>
              <w:top w:val="single" w:sz="4" w:space="0" w:color="9D9FA2"/>
              <w:bottom w:val="single" w:sz="8" w:space="0" w:color="005CB9"/>
            </w:tcBorders>
            <w:tcMar>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op w:val="single" w:sz="4" w:space="0" w:color="9D9FA2"/>
              <w:bottom w:val="single" w:sz="8" w:space="0" w:color="005CB9"/>
            </w:tcBorders>
            <w:tcMar>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4" w:space="0" w:color="9D9FA2"/>
              <w:bottom w:val="single" w:sz="8" w:space="0" w:color="005CB9"/>
            </w:tcBorders>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4" w:space="0" w:color="9D9FA2"/>
              <w:bottom w:val="single" w:sz="8" w:space="0" w:color="005CB9"/>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rFonts w:ascii="Lato;sans-serif" w:hAnsi="Lato;sans-serif"/>
          <w:b/>
          <w:color w:val="000000"/>
          <w:sz w:val="16"/>
        </w:rPr>
      </w:pPr>
      <w:r>
        <w:rPr>
          <w:rFonts w:ascii="Lato;sans-serif" w:hAnsi="Lato;sans-serif"/>
          <w:b/>
          <w:color w:val="000000"/>
          <w:sz w:val="16"/>
        </w:rPr>
        <w:t>Key to Committees:</w:t>
      </w:r>
    </w:p>
    <w:tbl>
      <w:tblPr>
        <w:tblW w:w="10179" w:type="dxa"/>
        <w:jc w:val="left"/>
        <w:tblInd w:w="0" w:type="dxa"/>
        <w:tblLayout w:type="fixed"/>
        <w:tblCellMar>
          <w:top w:w="28" w:type="dxa"/>
          <w:left w:w="28" w:type="dxa"/>
          <w:bottom w:w="28" w:type="dxa"/>
          <w:right w:w="28" w:type="dxa"/>
        </w:tblCellMar>
      </w:tblPr>
      <w:tblGrid>
        <w:gridCol w:w="124"/>
        <w:gridCol w:w="109"/>
        <w:gridCol w:w="109"/>
        <w:gridCol w:w="439"/>
        <w:gridCol w:w="439"/>
        <w:gridCol w:w="441"/>
        <w:gridCol w:w="109"/>
        <w:gridCol w:w="109"/>
        <w:gridCol w:w="109"/>
        <w:gridCol w:w="659"/>
        <w:gridCol w:w="659"/>
        <w:gridCol w:w="661"/>
        <w:gridCol w:w="145"/>
        <w:gridCol w:w="145"/>
        <w:gridCol w:w="146"/>
        <w:gridCol w:w="1254"/>
        <w:gridCol w:w="1254"/>
        <w:gridCol w:w="1257"/>
        <w:gridCol w:w="135"/>
        <w:gridCol w:w="135"/>
        <w:gridCol w:w="136"/>
        <w:gridCol w:w="470"/>
        <w:gridCol w:w="470"/>
        <w:gridCol w:w="6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88" w:before="0" w:after="283"/>
              <w:jc w:val="left"/>
              <w:rPr>
                <w:rFonts w:ascii="Lato;sans-serif" w:hAnsi="Lato;sans-serif"/>
                <w:b/>
                <w:color w:val="000000"/>
                <w:sz w:val="14"/>
              </w:rPr>
            </w:pPr>
            <w:r>
              <w:rPr>
                <w:rFonts w:ascii="Lato;sans-serif" w:hAnsi="Lato;sans-serif"/>
                <w:b/>
                <w:color w:val="000000"/>
                <w:sz w:val="14"/>
              </w:rPr>
              <w:t>AC</w:t>
            </w:r>
          </w:p>
        </w:tc>
        <w:tc>
          <w:tcPr>
            <w:tcW w:w="1319" w:type="dxa"/>
            <w:gridSpan w:val="3"/>
            <w:tcBorders>
              <w:top w:val="single" w:sz="8" w:space="0" w:color="DBDBDB"/>
              <w:left w:val="single" w:sz="8" w:space="0" w:color="DBDBDB"/>
            </w:tcBorders>
            <w:tcMar>
              <w:top w:w="3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Audit Committee</w:t>
            </w:r>
          </w:p>
        </w:tc>
        <w:tc>
          <w:tcPr>
            <w:tcW w:w="327" w:type="dxa"/>
            <w:gridSpan w:val="3"/>
            <w:tcBorders>
              <w:top w:val="single" w:sz="8" w:space="0" w:color="DBDBDB"/>
              <w:left w:val="single" w:sz="8" w:space="0" w:color="DBDBDB"/>
              <w:bottom w:val="single" w:sz="8" w:space="0" w:color="DBDBDB"/>
            </w:tcBorders>
            <w:tcMar>
              <w:top w:w="30" w:type="dxa"/>
              <w:bottom w:w="30" w:type="dxa"/>
              <w:right w:w="0" w:type="dxa"/>
            </w:tcMar>
            <w:vAlign w:val="center"/>
          </w:tcPr>
          <w:p>
            <w:pPr>
              <w:pStyle w:val="TableContents"/>
              <w:bidi w:val="0"/>
              <w:spacing w:lineRule="auto" w:line="288" w:before="0" w:after="283"/>
              <w:jc w:val="left"/>
              <w:rPr>
                <w:rFonts w:ascii="Lato;sans-serif" w:hAnsi="Lato;sans-serif"/>
                <w:b/>
                <w:color w:val="000000"/>
                <w:sz w:val="14"/>
              </w:rPr>
            </w:pPr>
            <w:r>
              <w:rPr>
                <w:rFonts w:ascii="Lato;sans-serif" w:hAnsi="Lato;sans-serif"/>
                <w:b/>
                <w:color w:val="000000"/>
                <w:sz w:val="14"/>
              </w:rPr>
              <w:t>CC</w:t>
            </w:r>
          </w:p>
        </w:tc>
        <w:tc>
          <w:tcPr>
            <w:tcW w:w="1979" w:type="dxa"/>
            <w:gridSpan w:val="3"/>
            <w:tcBorders>
              <w:top w:val="single" w:sz="8" w:space="0" w:color="DBDBDB"/>
              <w:left w:val="single" w:sz="8" w:space="0" w:color="DBDBDB"/>
              <w:bottom w:val="single" w:sz="8" w:space="0" w:color="DBDBDB"/>
            </w:tcBorders>
            <w:tcMar>
              <w:top w:w="3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Compensation Committee</w:t>
            </w:r>
          </w:p>
        </w:tc>
        <w:tc>
          <w:tcPr>
            <w:tcW w:w="436" w:type="dxa"/>
            <w:gridSpan w:val="3"/>
            <w:tcBorders>
              <w:top w:val="single" w:sz="8" w:space="0" w:color="DBDBDB"/>
              <w:left w:val="single" w:sz="8" w:space="0" w:color="DBDBDB"/>
              <w:bottom w:val="single" w:sz="8" w:space="0" w:color="DBDBDB"/>
            </w:tcBorders>
            <w:tcMar>
              <w:top w:w="30" w:type="dxa"/>
              <w:bottom w:w="30" w:type="dxa"/>
              <w:right w:w="0" w:type="dxa"/>
            </w:tcMar>
            <w:vAlign w:val="center"/>
          </w:tcPr>
          <w:p>
            <w:pPr>
              <w:pStyle w:val="TableContents"/>
              <w:bidi w:val="0"/>
              <w:spacing w:lineRule="auto" w:line="288" w:before="0" w:after="283"/>
              <w:jc w:val="left"/>
              <w:rPr>
                <w:rFonts w:ascii="Lato;sans-serif" w:hAnsi="Lato;sans-serif"/>
                <w:b/>
                <w:color w:val="000000"/>
                <w:sz w:val="14"/>
              </w:rPr>
            </w:pPr>
            <w:r>
              <w:rPr>
                <w:rFonts w:ascii="Lato;sans-serif" w:hAnsi="Lato;sans-serif"/>
                <w:b/>
                <w:color w:val="000000"/>
                <w:sz w:val="14"/>
              </w:rPr>
              <w:t>NGC</w:t>
            </w:r>
          </w:p>
        </w:tc>
        <w:tc>
          <w:tcPr>
            <w:tcW w:w="3765" w:type="dxa"/>
            <w:gridSpan w:val="3"/>
            <w:tcBorders>
              <w:top w:val="single" w:sz="8" w:space="0" w:color="DBDBDB"/>
              <w:left w:val="single" w:sz="8" w:space="0" w:color="DBDBDB"/>
              <w:bottom w:val="single" w:sz="8" w:space="0" w:color="DBDBDB"/>
            </w:tcBorders>
            <w:tcMar>
              <w:top w:w="30" w:type="dxa"/>
              <w:bottom w:w="30" w:type="dxa"/>
              <w:right w:w="0" w:type="dxa"/>
            </w:tcMar>
            <w:vAlign w:val="center"/>
          </w:tcPr>
          <w:p>
            <w:pPr>
              <w:pStyle w:val="TableContents"/>
              <w:bidi w:val="0"/>
              <w:spacing w:lineRule="auto" w:line="268" w:before="0" w:after="0"/>
              <w:jc w:val="left"/>
              <w:rPr>
                <w:rFonts w:ascii="Lato;sans-serif" w:hAnsi="Lato;sans-serif"/>
                <w:b w:val="false"/>
                <w:color w:val="000000"/>
                <w:sz w:val="14"/>
              </w:rPr>
            </w:pPr>
            <w:r>
              <w:rPr>
                <w:rFonts w:ascii="Lato;sans-serif" w:hAnsi="Lato;sans-serif"/>
                <w:b w:val="false"/>
                <w:color w:val="000000"/>
                <w:sz w:val="14"/>
              </w:rPr>
              <w:t>Nominating and Corporate Governance Committee</w:t>
            </w:r>
          </w:p>
        </w:tc>
        <w:tc>
          <w:tcPr>
            <w:tcW w:w="406" w:type="dxa"/>
            <w:gridSpan w:val="3"/>
            <w:tcBorders>
              <w:top w:val="single" w:sz="8" w:space="0" w:color="DBDBDB"/>
              <w:left w:val="single" w:sz="8" w:space="0" w:color="DBDBDB"/>
              <w:bottom w:val="single" w:sz="8" w:space="0" w:color="DBDBDB"/>
            </w:tcBorders>
            <w:tcMar>
              <w:top w:w="30" w:type="dxa"/>
              <w:bottom w:w="30" w:type="dxa"/>
              <w:right w:w="0" w:type="dxa"/>
            </w:tcMar>
            <w:vAlign w:val="center"/>
          </w:tcPr>
          <w:p>
            <w:pPr>
              <w:pStyle w:val="TableContents"/>
              <w:bidi w:val="0"/>
              <w:spacing w:lineRule="auto" w:line="268" w:before="0" w:after="283"/>
              <w:jc w:val="center"/>
              <w:rPr>
                <w:rFonts w:ascii="Lato;sans-serif" w:hAnsi="Lato;sans-serif"/>
                <w:b/>
                <w:color w:val="000000"/>
                <w:sz w:val="14"/>
              </w:rPr>
            </w:pPr>
            <w:r>
              <w:rPr>
                <w:rFonts w:ascii="Lato;sans-serif" w:hAnsi="Lato;sans-serif"/>
                <w:b/>
                <w:color w:val="000000"/>
                <w:sz w:val="14"/>
              </w:rPr>
              <w:t>CFC</w:t>
            </w:r>
          </w:p>
        </w:tc>
        <w:tc>
          <w:tcPr>
            <w:tcW w:w="1605" w:type="dxa"/>
            <w:gridSpan w:val="3"/>
            <w:tcBorders>
              <w:top w:val="single" w:sz="8" w:space="0" w:color="DBDBDB"/>
              <w:left w:val="single" w:sz="8" w:space="0" w:color="DBDBDB"/>
              <w:bottom w:val="single" w:sz="8" w:space="0" w:color="DBDBDB"/>
              <w:right w:val="single" w:sz="8" w:space="0" w:color="DBDBDB"/>
            </w:tcBorders>
            <w:tcMar>
              <w:top w:w="30" w:type="dxa"/>
              <w:bottom w:w="30" w:type="dxa"/>
            </w:tcMar>
            <w:vAlign w:val="center"/>
          </w:tcPr>
          <w:p>
            <w:pPr>
              <w:pStyle w:val="TableContents"/>
              <w:bidi w:val="0"/>
              <w:spacing w:lineRule="auto" w:line="268" w:before="0" w:after="283"/>
              <w:jc w:val="left"/>
              <w:rPr>
                <w:rFonts w:ascii="Lato;sans-serif" w:hAnsi="Lato;sans-serif"/>
                <w:b w:val="false"/>
                <w:color w:val="000000"/>
                <w:sz w:val="14"/>
              </w:rPr>
            </w:pPr>
            <w:r>
              <w:rPr>
                <w:rFonts w:ascii="Lato;sans-serif" w:hAnsi="Lato;sans-serif"/>
                <w:b w:val="false"/>
                <w:color w:val="000000"/>
                <w:sz w:val="14"/>
              </w:rPr>
              <w:t>Conflicts Committee</w:t>
            </w:r>
          </w:p>
        </w:tc>
      </w:tr>
      <w:tr>
        <w:trPr/>
        <w:tc>
          <w:tcPr>
            <w:tcW w:w="342" w:type="dxa"/>
            <w:gridSpan w:val="3"/>
            <w:tcBorders>
              <w:top w:val="single" w:sz="8" w:space="0" w:color="DBDBDB"/>
              <w:left w:val="single" w:sz="8" w:space="0" w:color="DBDBDB"/>
              <w:bottom w:val="single" w:sz="8" w:space="0" w:color="DBDBDB"/>
            </w:tcBorders>
            <w:tcMar>
              <w:top w:w="30" w:type="dxa"/>
              <w:bottom w:w="30" w:type="dxa"/>
              <w:right w:w="0" w:type="dxa"/>
            </w:tcMar>
            <w:vAlign w:val="center"/>
          </w:tcPr>
          <w:p>
            <w:pPr>
              <w:pStyle w:val="TableContents"/>
              <w:bidi w:val="0"/>
              <w:spacing w:lineRule="auto" w:line="288" w:before="0" w:after="283"/>
              <w:jc w:val="center"/>
              <w:rPr>
                <w:rFonts w:ascii="Webdings;sans-serif" w:hAnsi="Webdings;sans-serif"/>
                <w:b/>
                <w:color w:val="000000"/>
                <w:sz w:val="16"/>
              </w:rPr>
            </w:pPr>
            <w:r>
              <w:rPr>
                <w:rFonts w:ascii="Webdings;sans-serif" w:hAnsi="Webdings;sans-serif"/>
                <w:b/>
                <w:color w:val="000000"/>
                <w:sz w:val="16"/>
              </w:rPr>
              <w:t>m</w:t>
            </w:r>
          </w:p>
        </w:tc>
        <w:tc>
          <w:tcPr>
            <w:tcW w:w="9837" w:type="dxa"/>
            <w:gridSpan w:val="21"/>
            <w:tcBorders>
              <w:top w:val="single" w:sz="8" w:space="0" w:color="DBDBDB"/>
              <w:left w:val="single" w:sz="8" w:space="0" w:color="DBDBDB"/>
              <w:bottom w:val="single" w:sz="8" w:space="0" w:color="DBDBDB"/>
              <w:right w:val="single" w:sz="8" w:space="0" w:color="DBDBDB"/>
            </w:tcBorders>
            <w:tcMar>
              <w:top w:w="30" w:type="dxa"/>
              <w:bottom w:w="3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Chair of Committee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Lato;sans-serif" w:hAnsi="Lato;sans-serif"/>
          <w:b/>
          <w:color w:val="000000"/>
          <w:sz w:val="24"/>
        </w:rPr>
      </w:pPr>
      <w:r>
        <w:rPr>
          <w:rFonts w:ascii="Lato;sans-serif" w:hAnsi="Lato;sans-serif"/>
          <w:b/>
          <w:color w:val="000000"/>
          <w:sz w:val="24"/>
        </w:rPr>
        <w:t>Directors and Nominees</w:t>
      </w:r>
    </w:p>
    <w:p>
      <w:pPr>
        <w:pStyle w:val="TextBody"/>
        <w:bidi w:val="0"/>
        <w:spacing w:lineRule="auto" w:line="288" w:before="160" w:after="283"/>
        <w:jc w:val="both"/>
        <w:rPr>
          <w:rFonts w:ascii="Lato;sans-serif" w:hAnsi="Lato;sans-serif"/>
          <w:b w:val="false"/>
          <w:color w:val="000000"/>
          <w:sz w:val="18"/>
        </w:rPr>
      </w:pPr>
      <w:r>
        <w:rPr>
          <w:rFonts w:ascii="Lato;sans-serif" w:hAnsi="Lato;sans-serif"/>
          <w:b w:val="false"/>
          <w:color w:val="000000"/>
          <w:sz w:val="18"/>
        </w:rPr>
        <w:t>The following is a brief biographical summary of the experience of our director nominees.</w:t>
      </w:r>
    </w:p>
    <w:p>
      <w:pPr>
        <w:pStyle w:val="TextBody"/>
        <w:bidi w:val="0"/>
        <w:spacing w:lineRule="auto" w:line="288" w:before="240" w:after="283"/>
        <w:jc w:val="both"/>
        <w:rPr>
          <w:rFonts w:ascii="Lato Black;sans-serif" w:hAnsi="Lato Black;sans-serif"/>
          <w:b/>
          <w:color w:val="000000"/>
          <w:sz w:val="20"/>
        </w:rPr>
      </w:pPr>
      <w:r>
        <w:rPr>
          <w:rFonts w:ascii="Lato Black;sans-serif" w:hAnsi="Lato Black;sans-serif"/>
          <w:b/>
          <w:color w:val="000000"/>
          <w:sz w:val="20"/>
        </w:rPr>
        <w:t>Current Class II Directors Standing for Re-election at the Meeting</w:t>
      </w:r>
    </w:p>
    <w:tbl>
      <w:tblPr>
        <w:tblW w:w="2145" w:type="dxa"/>
        <w:jc w:val="left"/>
        <w:tblInd w:w="0" w:type="dxa"/>
        <w:tblLayout w:type="fixed"/>
        <w:tblCellMar>
          <w:top w:w="28" w:type="dxa"/>
          <w:left w:w="28" w:type="dxa"/>
          <w:bottom w:w="28" w:type="dxa"/>
          <w:right w:w="28" w:type="dxa"/>
        </w:tblCellMar>
      </w:tblPr>
      <w:tblGrid>
        <w:gridCol w:w="687"/>
        <w:gridCol w:w="604"/>
        <w:gridCol w:w="854"/>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5CB9"/>
                <w:sz w:val="24"/>
              </w:rPr>
            </w:pPr>
            <w:r>
              <w:rPr>
                <w:rFonts w:ascii="Lato;sans-serif" w:hAnsi="Lato;sans-serif"/>
                <w:b/>
                <w:color w:val="005CB9"/>
                <w:sz w:val="24"/>
              </w:rPr>
              <w:t>Michael Blitzer</w:t>
            </w:r>
          </w:p>
        </w:tc>
      </w:tr>
      <w:tr>
        <w:trPr/>
        <w:tc>
          <w:tcPr>
            <w:tcW w:w="2145"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both"/>
        <w:rPr>
          <w:rFonts w:ascii="Lato;sans-serif" w:hAnsi="Lato;sans-serif"/>
          <w:b w:val="false"/>
          <w:color w:val="000000"/>
          <w:sz w:val="18"/>
        </w:rPr>
      </w:pPr>
      <w:r>
        <w:rPr>
          <w:rFonts w:ascii="Lato;sans-serif" w:hAnsi="Lato;sans-serif"/>
          <w:b w:val="false"/>
          <w:color w:val="000000"/>
          <w:sz w:val="18"/>
        </w:rPr>
        <w:t xml:space="preserve">Mr. Blitzer has served as a member of our Board since February 2023. Mr. Blitzer was the co-Chief Executive Officer of Inflection Point Acquisition Corp. from February 2021 and a Director since January 2021 until the consummation of the Business Combination. In 2024, Inflection Point Acquisition Corp. II announced its acquisition of USA Rare Earth (NASDAQ: USAR), which is building a vertically integrated rare earth magnet supply chain in North America. Mr. Blitzer serves as Chairman of the Board of USA Rare Earth. Mr. Blitzer is also the CEO of Inflection Point Acquisition Corp. III. Prior to founding Inflection Point Acquisition Corp in 2021, Mr. Blitzer founded Kingstown Capital in 2006, an SEC registered investment advisor, and grew it to a multi-billion dollar asset manager. Mr. Blitzer oversaw all of the firm's investing activities including significant investments across the technology, aerospace, and industrial/manufacturing industries. Mr. Blitzer began his Wall Street career at J.P. Morgan Securities in 1999, advising companies globally in private debt and equity capital raises. He holds a B.S. in Industrial and Labor Relations from Cornell University, where he received the Cornell Tradition Fellowship and an MBA from Columbia Business School, where he was on the Executive Advisory Board of the Heilbrunn Center for Graham &amp; Dodd Investing. He has also taught courses at Columbia Business School in Security Analysis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40410"/>
                <wp:effectExtent l="0" t="0" r="0" b="0"/>
                <wp:wrapNone/>
                <wp:docPr id="15" name="Frame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72" w:type="dxa"/>
                              <w:jc w:val="center"/>
                              <w:tblInd w:w="0" w:type="dxa"/>
                              <w:tblLayout w:type="fixed"/>
                              <w:tblCellMar>
                                <w:top w:w="28" w:type="dxa"/>
                                <w:left w:w="28" w:type="dxa"/>
                                <w:bottom w:w="28" w:type="dxa"/>
                                <w:right w:w="28" w:type="dxa"/>
                              </w:tblCellMar>
                            </w:tblPr>
                            <w:tblGrid>
                              <w:gridCol w:w="1846"/>
                              <w:gridCol w:w="1623"/>
                              <w:gridCol w:w="1631"/>
                              <w:gridCol w:w="109"/>
                              <w:gridCol w:w="109"/>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72" w:type="dxa"/>
                        <w:jc w:val="center"/>
                        <w:tblInd w:w="0" w:type="dxa"/>
                        <w:tblLayout w:type="fixed"/>
                        <w:tblCellMar>
                          <w:top w:w="28" w:type="dxa"/>
                          <w:left w:w="28" w:type="dxa"/>
                          <w:bottom w:w="28" w:type="dxa"/>
                          <w:right w:w="28" w:type="dxa"/>
                        </w:tblCellMar>
                      </w:tblPr>
                      <w:tblGrid>
                        <w:gridCol w:w="1846"/>
                        <w:gridCol w:w="1623"/>
                        <w:gridCol w:w="1631"/>
                        <w:gridCol w:w="109"/>
                        <w:gridCol w:w="109"/>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0"/>
        <w:jc w:val="both"/>
        <w:rPr>
          <w:rFonts w:ascii="Lato;sans-serif" w:hAnsi="Lato;sans-serif"/>
          <w:b w:val="false"/>
          <w:color w:val="000000"/>
          <w:sz w:val="18"/>
        </w:rPr>
      </w:pPr>
      <w:r>
        <w:rPr>
          <w:rFonts w:ascii="Lato;sans-serif" w:hAnsi="Lato;sans-serif"/>
          <w:b w:val="false"/>
          <w:color w:val="000000"/>
          <w:sz w:val="18"/>
        </w:rPr>
        <w:t xml:space="preserve">and Investing as an Adjunct Professor from 2008-2013. Mr. Blitzer is a Trustee of Greens Farms Academy in Westport, CT where he is also the Treasurer and Chair of the Investment Committee. Mr. Blitzer is well qualified to serve on our Board due to his experience with public companies and his financial expertise. </w:t>
      </w:r>
    </w:p>
    <w:tbl>
      <w:tblPr>
        <w:tblW w:w="2310" w:type="dxa"/>
        <w:jc w:val="left"/>
        <w:tblInd w:w="0" w:type="dxa"/>
        <w:tblLayout w:type="fixed"/>
        <w:tblCellMar>
          <w:top w:w="28" w:type="dxa"/>
          <w:left w:w="28" w:type="dxa"/>
          <w:bottom w:w="28" w:type="dxa"/>
          <w:right w:w="28" w:type="dxa"/>
        </w:tblCellMar>
      </w:tblPr>
      <w:tblGrid>
        <w:gridCol w:w="740"/>
        <w:gridCol w:w="650"/>
        <w:gridCol w:w="920"/>
      </w:tblGrid>
      <w:tr>
        <w:trPr/>
        <w:tc>
          <w:tcPr>
            <w:tcW w:w="7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5CB9"/>
                <w:sz w:val="24"/>
              </w:rPr>
            </w:pPr>
            <w:r>
              <w:rPr>
                <w:rFonts w:ascii="Lato;sans-serif" w:hAnsi="Lato;sans-serif"/>
                <w:b/>
                <w:color w:val="005CB9"/>
                <w:sz w:val="24"/>
              </w:rPr>
              <w:t>Nicole Seligman</w:t>
            </w:r>
          </w:p>
        </w:tc>
      </w:tr>
      <w:tr>
        <w:trPr/>
        <w:tc>
          <w:tcPr>
            <w:tcW w:w="2310"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both"/>
        <w:rPr/>
      </w:pPr>
      <w:r>
        <w:rPr>
          <w:rFonts w:ascii="Lato;sans-serif" w:hAnsi="Lato;sans-serif"/>
          <w:b w:val="false"/>
          <w:color w:val="000000"/>
          <w:sz w:val="18"/>
        </w:rPr>
        <w:t xml:space="preserve">Ms. Seligman has served as a member of our Board since June 2023. Ms. Seligman was the President of Sony Entertainment, Inc., a multinational entertainment company, from 2014 to 2016 and of Sony Corporation of America from 2012 to 2016. From 2005 through 2014, she served as the Executive Vice President and global General Counsel of Sony Corporation. She joined Sony in 2001 as Executive Vice President and General Counsel of Sony Corporation of America. Prior to joining Sony, she was a partner in the litigation practice at Williams &amp; Connolly LLP where she worked on a broad range of complex civil and criminal matters and counseled a broad range of clients, including President William Jefferson Clinton and Hillary Clinton. Ms. Seligman served as law clerk to Justice Thurgood Marshall on the Supreme Court of the United States from 1984 to 1985 and as law clerk to Judge Harry T. Edwards at the U.S. Court of Appeals for the District of Columbia Circuit from 1983 to 1984. Ms. Seligman currently also serves on the public company board of Meira GTx Holdings plc.I. She previously served on the boards of directors of Paramount Global (formerly known as ViacomCBS, Inc.), WPP plc, Far Point Acquisition Corporation and Far Peak Acquisition Corporation. Ms. Seligman received her B.A., magna cum laude, from Harvard College (Radcliffe) and her J.D., magna cum laude, from Harvard Law School, where she was a winner of the Sears Prize. </w:t>
      </w:r>
      <w:r>
        <w:rPr>
          <w:rFonts w:ascii="Lato;sans-serif" w:hAnsi="Lato;sans-serif"/>
          <w:b w:val="false"/>
          <w:color w:val="191818"/>
          <w:sz w:val="18"/>
          <w:shd w:fill="FFFFFF" w:val="clear"/>
        </w:rPr>
        <w:t xml:space="preserve">Ms. Seligman serves as Co-Chair of the Schwartzman Animal Medical Center in New Your City and as the Chair of the Doe Fund, a New York non-profit offering transactional services for the homeless and formerly incarcerated and serves on the board of OpenAI. </w:t>
      </w:r>
      <w:r>
        <w:rPr>
          <w:rFonts w:ascii="Lato;sans-serif" w:hAnsi="Lato;sans-serif"/>
          <w:b w:val="false"/>
          <w:color w:val="000000"/>
          <w:sz w:val="18"/>
        </w:rPr>
        <w:t>Ms. Seligman is well qualified to serve on our Board because of her senior leadership roles in global public companies, extensive business and corporate governance experience accompanied by exceptional achievements in the legal profession.</w:t>
      </w:r>
    </w:p>
    <w:p>
      <w:pPr>
        <w:pStyle w:val="TextBody"/>
        <w:bidi w:val="0"/>
        <w:spacing w:before="0" w:after="0"/>
        <w:jc w:val="both"/>
        <w:rPr/>
      </w:pPr>
      <w:r>
        <w:rPr/>
      </w:r>
    </w:p>
    <w:p>
      <w:pPr>
        <w:pStyle w:val="TextBody"/>
        <w:bidi w:val="0"/>
        <w:spacing w:lineRule="auto" w:line="288" w:before="0" w:after="0"/>
        <w:jc w:val="both"/>
        <w:rPr>
          <w:rFonts w:ascii="Lato Black;sans-serif" w:hAnsi="Lato Black;sans-serif"/>
          <w:b/>
          <w:color w:val="000000"/>
          <w:sz w:val="20"/>
        </w:rPr>
      </w:pPr>
      <w:r>
        <w:rPr>
          <w:rFonts w:ascii="Lato Black;sans-serif" w:hAnsi="Lato Black;sans-serif"/>
          <w:b/>
          <w:color w:val="000000"/>
          <w:sz w:val="20"/>
        </w:rPr>
        <w:t>Continuing Directors Not Standing for Re-election at the Meeting</w:t>
      </w:r>
    </w:p>
    <w:tbl>
      <w:tblPr>
        <w:tblW w:w="2999" w:type="dxa"/>
        <w:jc w:val="left"/>
        <w:tblInd w:w="0" w:type="dxa"/>
        <w:tblLayout w:type="fixed"/>
        <w:tblCellMar>
          <w:top w:w="28" w:type="dxa"/>
          <w:left w:w="28" w:type="dxa"/>
          <w:bottom w:w="28" w:type="dxa"/>
          <w:right w:w="28" w:type="dxa"/>
        </w:tblCellMar>
      </w:tblPr>
      <w:tblGrid>
        <w:gridCol w:w="959"/>
        <w:gridCol w:w="843"/>
        <w:gridCol w:w="1197"/>
      </w:tblGrid>
      <w:tr>
        <w:trPr/>
        <w:tc>
          <w:tcPr>
            <w:tcW w:w="95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5CB9"/>
                <w:sz w:val="24"/>
              </w:rPr>
            </w:pPr>
            <w:r>
              <w:rPr>
                <w:rFonts w:ascii="Lato;sans-serif" w:hAnsi="Lato;sans-serif"/>
                <w:b/>
                <w:color w:val="005CB9"/>
                <w:sz w:val="24"/>
              </w:rPr>
              <w:t>Dr. Kamal Ghaffarian</w:t>
            </w:r>
          </w:p>
        </w:tc>
      </w:tr>
      <w:tr>
        <w:trPr/>
        <w:tc>
          <w:tcPr>
            <w:tcW w:w="2999"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both"/>
        <w:rPr>
          <w:rFonts w:ascii="Lato;sans-serif" w:hAnsi="Lato;sans-serif"/>
          <w:b w:val="false"/>
          <w:color w:val="000000"/>
          <w:sz w:val="18"/>
        </w:rPr>
      </w:pPr>
      <w:r>
        <w:rPr>
          <w:rFonts w:ascii="Lato;sans-serif" w:hAnsi="Lato;sans-serif"/>
          <w:b w:val="false"/>
          <w:color w:val="000000"/>
          <w:sz w:val="18"/>
        </w:rPr>
        <w:t xml:space="preserve">Dr. Ghaffarian has served as the Chairman of our Board since February 2023. Throughout his 35-plus year career, Dr. Ghaffarian has created multiple successful companies and has extensive experience working at the intersection of government contracting and technological innovation. </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Dr. Ghaffarian started his entrepreneurial career in 1994 by founding Stinger Ghaffarian Technologies, Inc., a government services company focusing on IT, engineering, and science applications. Dr. Ghaffarian has also held numerous technical and management positions at Lockheed Martin, Ford Aerospace and Loral. Dr. Ghaffarian has obtained two Bachelor of Science degrees, including a B.S. in Computer Science in Engineering and a B.S. in Electronics Engineering, an M.S. in Science in Information Management, a Ph.D. in Management Information System and a Ph.D. in Technology.</w:t>
      </w:r>
    </w:p>
    <w:p>
      <w:pPr>
        <w:pStyle w:val="TextBody"/>
        <w:bidi w:val="0"/>
        <w:spacing w:lineRule="auto" w:line="312" w:before="160" w:after="283"/>
        <w:jc w:val="both"/>
        <w:rPr>
          <w:rFonts w:ascii="Lato;sans-serif" w:hAnsi="Lato;sans-serif"/>
          <w:b w:val="false"/>
          <w:color w:val="000000"/>
          <w:sz w:val="18"/>
        </w:rPr>
      </w:pPr>
      <w:r>
        <w:rPr>
          <w:rFonts w:ascii="Lato;sans-serif" w:hAnsi="Lato;sans-serif"/>
          <w:b w:val="false"/>
          <w:color w:val="000000"/>
          <w:sz w:val="18"/>
        </w:rPr>
        <w:t>Dr. Ghaffarian, our co-founder and Chairman of our Board, is the co-founder and chairman of a number of companies including IBX, Axiom Space, X Energy, Quantum Space and PTX. Dr. Ghaffarian is well qualified to serve on our Board due to his role as our Chairman, his extensive experience in the field and deep understanding of company leadership.</w:t>
      </w:r>
    </w:p>
    <w:tbl>
      <w:tblPr>
        <w:tblW w:w="2489" w:type="dxa"/>
        <w:jc w:val="left"/>
        <w:tblInd w:w="0" w:type="dxa"/>
        <w:tblLayout w:type="fixed"/>
        <w:tblCellMar>
          <w:top w:w="28" w:type="dxa"/>
          <w:left w:w="28" w:type="dxa"/>
          <w:bottom w:w="28" w:type="dxa"/>
          <w:right w:w="28" w:type="dxa"/>
        </w:tblCellMar>
      </w:tblPr>
      <w:tblGrid>
        <w:gridCol w:w="796"/>
        <w:gridCol w:w="700"/>
        <w:gridCol w:w="993"/>
      </w:tblGrid>
      <w:tr>
        <w:trPr/>
        <w:tc>
          <w:tcPr>
            <w:tcW w:w="7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5CB9"/>
                <w:sz w:val="24"/>
              </w:rPr>
            </w:pPr>
            <w:r>
              <w:rPr>
                <w:rFonts w:ascii="Lato;sans-serif" w:hAnsi="Lato;sans-serif"/>
                <w:b/>
                <w:color w:val="005CB9"/>
                <w:sz w:val="24"/>
              </w:rPr>
              <w:t>Stephen Altemus</w:t>
            </w:r>
          </w:p>
        </w:tc>
      </w:tr>
      <w:tr>
        <w:trPr/>
        <w:tc>
          <w:tcPr>
            <w:tcW w:w="2489"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both"/>
        <w:rPr>
          <w:rFonts w:ascii="Lato;sans-serif" w:hAnsi="Lato;sans-serif"/>
          <w:b w:val="false"/>
          <w:color w:val="000000"/>
          <w:sz w:val="18"/>
        </w:rPr>
      </w:pPr>
      <w:r>
        <w:rPr>
          <w:rFonts w:ascii="Lato;sans-serif" w:hAnsi="Lato;sans-serif"/>
          <w:b w:val="false"/>
          <w:color w:val="000000"/>
          <w:sz w:val="18"/>
        </w:rPr>
        <w:t xml:space="preserve">Mr. Altemus has served as our Chief Executive Officer and President and a member of our Board since February 2023 and has served as the Chief Executive Officer of Intuitive Machines, LLC since 2012. Mr. Altemus is also one of our co-founders. Prior to founding Intuitive Machines, in December 2012, Mr. Altemus was appointed to serve as the Deputy Director of NASA’s Johnson Space Center (“JSC”), a position he held until June 2013. Formerly Director of Engineering from July 2006 to December 2012, Mr. Altemus served as the leader and steward of JSC’s engineering capabilities in support of NASA’s human spaceflight programs, projects, and technology activities. </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Mr. Altemus received a B.S. in Aeronautical Engineering from Embry Riddle Aeronautical University where he now serves as a member on the Engineering Advisory Board, and an M.S. in Engineering Management from the University of Central Florida. He joined NASA’s Kennedy Space Center and the Space Shuttle Program in 1989 where he held progressively more responsible positions working in Space Shuttle operations, launch, and landing activities. He served as the Columbia Reconstruction Director after the loss of the Space Shuttle Columbia on February 1, 2003. In January 2005, he joined JSC serving as the Deputy Director of Engineering and was subsequently selected as Director in July 2006. Mr. Altemus is well qualified to serve on our Board due to his role as our Chief Executive Officer, his depth of knowledge of us and our operations, his acute business judgment and extensive familiarity with the business in which we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40410"/>
                <wp:effectExtent l="0" t="0" r="0" b="0"/>
                <wp:wrapNone/>
                <wp:docPr id="16" name="Frame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72" w:type="dxa"/>
                              <w:jc w:val="center"/>
                              <w:tblInd w:w="0" w:type="dxa"/>
                              <w:tblLayout w:type="fixed"/>
                              <w:tblCellMar>
                                <w:top w:w="28" w:type="dxa"/>
                                <w:left w:w="28" w:type="dxa"/>
                                <w:bottom w:w="28" w:type="dxa"/>
                                <w:right w:w="28" w:type="dxa"/>
                              </w:tblCellMar>
                            </w:tblPr>
                            <w:tblGrid>
                              <w:gridCol w:w="1846"/>
                              <w:gridCol w:w="1623"/>
                              <w:gridCol w:w="1631"/>
                              <w:gridCol w:w="109"/>
                              <w:gridCol w:w="109"/>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72" w:type="dxa"/>
                        <w:jc w:val="center"/>
                        <w:tblInd w:w="0" w:type="dxa"/>
                        <w:tblLayout w:type="fixed"/>
                        <w:tblCellMar>
                          <w:top w:w="28" w:type="dxa"/>
                          <w:left w:w="28" w:type="dxa"/>
                          <w:bottom w:w="28" w:type="dxa"/>
                          <w:right w:w="28" w:type="dxa"/>
                        </w:tblCellMar>
                      </w:tblPr>
                      <w:tblGrid>
                        <w:gridCol w:w="1846"/>
                        <w:gridCol w:w="1623"/>
                        <w:gridCol w:w="1631"/>
                        <w:gridCol w:w="109"/>
                        <w:gridCol w:w="109"/>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tbl>
      <w:tblPr>
        <w:tblW w:w="2430" w:type="dxa"/>
        <w:jc w:val="left"/>
        <w:tblInd w:w="0" w:type="dxa"/>
        <w:tblLayout w:type="fixed"/>
        <w:tblCellMar>
          <w:top w:w="28" w:type="dxa"/>
          <w:left w:w="28" w:type="dxa"/>
          <w:bottom w:w="28" w:type="dxa"/>
          <w:right w:w="28" w:type="dxa"/>
        </w:tblCellMar>
      </w:tblPr>
      <w:tblGrid>
        <w:gridCol w:w="778"/>
        <w:gridCol w:w="683"/>
        <w:gridCol w:w="969"/>
      </w:tblGrid>
      <w:tr>
        <w:trPr/>
        <w:tc>
          <w:tcPr>
            <w:tcW w:w="7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5CB9"/>
                <w:sz w:val="24"/>
              </w:rPr>
            </w:pPr>
            <w:r>
              <w:rPr>
                <w:rFonts w:ascii="Lato;sans-serif" w:hAnsi="Lato;sans-serif"/>
                <w:b/>
                <w:color w:val="005CB9"/>
                <w:sz w:val="24"/>
              </w:rPr>
              <w:t>William J. Liquori</w:t>
            </w:r>
          </w:p>
        </w:tc>
      </w:tr>
      <w:tr>
        <w:trPr/>
        <w:tc>
          <w:tcPr>
            <w:tcW w:w="2430"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both"/>
        <w:rPr>
          <w:rFonts w:ascii="Lato;sans-serif" w:hAnsi="Lato;sans-serif"/>
          <w:b w:val="false"/>
          <w:color w:val="000000"/>
          <w:sz w:val="18"/>
        </w:rPr>
      </w:pPr>
      <w:r>
        <w:rPr>
          <w:rFonts w:ascii="Lato;sans-serif" w:hAnsi="Lato;sans-serif"/>
          <w:b w:val="false"/>
          <w:color w:val="000000"/>
          <w:sz w:val="18"/>
        </w:rPr>
        <w:t>Lieutenant General Liquori has served as a member of our Board since February 2023. Lieutenant General Liquori retired as a Lieutenant General from the United States Space Force in 2022, after over thirty years of distinguished service in both the U.S. Air Force and Space Force. Lieutenant General Liquori served as the Space Force’s first Chief Strategy and Resourcing Officer. Lieutenant General Liquori also led the development of the Space Force international engagement strategy; served as the lead policy interface to the Office of the Secretary of Defense, National Security Council and the National Space Council.</w:t>
      </w:r>
    </w:p>
    <w:p>
      <w:pPr>
        <w:pStyle w:val="TextBody"/>
        <w:bidi w:val="0"/>
        <w:spacing w:lineRule="auto" w:line="312" w:before="160" w:after="283"/>
        <w:jc w:val="both"/>
        <w:rPr/>
      </w:pPr>
      <w:r>
        <w:rPr>
          <w:rFonts w:ascii="Lato;sans-serif" w:hAnsi="Lato;sans-serif"/>
          <w:b w:val="false"/>
          <w:color w:val="000000"/>
          <w:sz w:val="18"/>
        </w:rPr>
        <w:t>Lieutenant General Liquori entered the Air Force as a distinguished graduate of the Air Force ROTC program at Boston University. His career included numerous positions in Air Force Space Command, the National Reconnaissance Office, the Air Force Secretariat, U.S. European Command, the Office of the Secretary of Defense, and the White House as Director for Space Policy on the National Security Council staff. During his time at the White House, Liquori served two Presidents of the United States, was the lead author for the 2018 National Space Strategy, served as the primary NSC interface to the National Space Council, co-led the 2018 U.S.-Japan Comprehensive Dialogue on Space, and supported the early policy work leading to the establishment of the United States Space Force. He has commanded a space operations squadron and the 50</w:t>
      </w:r>
      <w:r>
        <w:rPr>
          <w:rFonts w:ascii="Lato;sans-serif" w:hAnsi="Lato;sans-serif"/>
          <w:b w:val="false"/>
          <w:color w:val="000000"/>
          <w:sz w:val="12"/>
        </w:rPr>
        <w:t>th</w:t>
      </w:r>
      <w:r>
        <w:rPr>
          <w:color w:val="000000"/>
        </w:rPr>
        <w:t xml:space="preserve"> </w:t>
      </w:r>
      <w:r>
        <w:rPr>
          <w:rFonts w:ascii="Lato;sans-serif" w:hAnsi="Lato;sans-serif"/>
          <w:b w:val="false"/>
          <w:color w:val="000000"/>
          <w:sz w:val="18"/>
        </w:rPr>
        <w:t>Space Wing.</w:t>
      </w:r>
    </w:p>
    <w:p>
      <w:pPr>
        <w:pStyle w:val="TextBody"/>
        <w:bidi w:val="0"/>
        <w:spacing w:lineRule="auto" w:line="312" w:before="160" w:after="283"/>
        <w:jc w:val="both"/>
        <w:rPr>
          <w:rFonts w:ascii="Lato;sans-serif" w:hAnsi="Lato;sans-serif"/>
          <w:b w:val="false"/>
          <w:color w:val="000000"/>
          <w:sz w:val="18"/>
        </w:rPr>
      </w:pPr>
      <w:r>
        <w:rPr>
          <w:rFonts w:ascii="Lato;sans-serif" w:hAnsi="Lato;sans-serif"/>
          <w:b w:val="false"/>
          <w:color w:val="000000"/>
          <w:sz w:val="18"/>
        </w:rPr>
        <w:t>Lieutenant General Liquori graduated from Boston University in 1991 with a Bachelor of Arts in Computer Science. In 1996, Lieutenant General Liquori earned a Master's degree from Webster University in Computer Resources and Information Management. From 2004-2005, Lieutenant General Liquori proceeded to Air University where he received Master’s Degrees in Airpower Art &amp; Science and Air &amp; Space Power Strategy. Then, in 2009, Lieutenant General Liquori attended the Marine Corps University where he received a Master’s degree in Strategic Studies. Lieutenant General Liquori is well qualified to serve on our Board due to his profound knowledge of the field and extensive leadership expertise.</w:t>
      </w:r>
    </w:p>
    <w:tbl>
      <w:tblPr>
        <w:tblW w:w="2534" w:type="dxa"/>
        <w:jc w:val="left"/>
        <w:tblInd w:w="0" w:type="dxa"/>
        <w:tblLayout w:type="fixed"/>
        <w:tblCellMar>
          <w:top w:w="28" w:type="dxa"/>
          <w:left w:w="28" w:type="dxa"/>
          <w:bottom w:w="28" w:type="dxa"/>
          <w:right w:w="28" w:type="dxa"/>
        </w:tblCellMar>
      </w:tblPr>
      <w:tblGrid>
        <w:gridCol w:w="810"/>
        <w:gridCol w:w="713"/>
        <w:gridCol w:w="1011"/>
      </w:tblGrid>
      <w:tr>
        <w:trPr/>
        <w:tc>
          <w:tcPr>
            <w:tcW w:w="81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5CB9"/>
                <w:sz w:val="24"/>
              </w:rPr>
            </w:pPr>
            <w:r>
              <w:rPr>
                <w:rFonts w:ascii="Lato;sans-serif" w:hAnsi="Lato;sans-serif"/>
                <w:b/>
                <w:color w:val="005CB9"/>
                <w:sz w:val="24"/>
              </w:rPr>
              <w:t>Robert L. Masson</w:t>
            </w:r>
          </w:p>
        </w:tc>
      </w:tr>
      <w:tr>
        <w:trPr/>
        <w:tc>
          <w:tcPr>
            <w:tcW w:w="2534"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60" w:after="283"/>
        <w:jc w:val="both"/>
        <w:rPr>
          <w:rFonts w:ascii="Lato;sans-serif" w:hAnsi="Lato;sans-serif"/>
          <w:b w:val="false"/>
          <w:color w:val="000000"/>
          <w:sz w:val="18"/>
        </w:rPr>
      </w:pPr>
      <w:r>
        <w:rPr>
          <w:rFonts w:ascii="Lato;sans-serif" w:hAnsi="Lato;sans-serif"/>
          <w:b w:val="false"/>
          <w:color w:val="000000"/>
          <w:sz w:val="18"/>
        </w:rPr>
        <w:t xml:space="preserve">Mr. Masson has served as a member of our Board since February 2023. Mr. Masson was the Chief Financial Officer of Noble Supply and Logistics, LLC (“Noble”) from 2023 through February 2025. </w:t>
      </w:r>
    </w:p>
    <w:p>
      <w:pPr>
        <w:pStyle w:val="TextBody"/>
        <w:bidi w:val="0"/>
        <w:spacing w:lineRule="auto" w:line="312" w:before="160" w:after="283"/>
        <w:jc w:val="both"/>
        <w:rPr>
          <w:rFonts w:ascii="Lato;sans-serif" w:hAnsi="Lato;sans-serif"/>
          <w:b w:val="false"/>
          <w:color w:val="000000"/>
          <w:sz w:val="18"/>
        </w:rPr>
      </w:pPr>
      <w:r>
        <w:rPr>
          <w:rFonts w:ascii="Lato;sans-serif" w:hAnsi="Lato;sans-serif"/>
          <w:b w:val="false"/>
          <w:color w:val="000000"/>
          <w:sz w:val="18"/>
        </w:rPr>
        <w:t>Mr. Masson is a skilled finance executive with over 20 years of experience in the aerospace, defense, and industrial sectors. Before joining Noble, Mr. Masson served as Chief Financial Officer of Latham Group, Inc. where he was responsible for planning, implementing, managing, and controlling all financial-related activities for the company. Mr. Masson served as Executive Vice President and Chief Financial Officer of Hypertherm, Inc., where he oversaw the company’s global financial, information technology, and legal operations. From 2016-2018, Mr. Masson was Vice President of Finance at Flowserve, where he led the company’s operational finance, operational accounting, and corporate financial planning and analysis teams. From 2003-2016, he served in various finance leadership roles at Raytheon Technologies, including Chief Financial Officer roles for several of the company’s business units.</w:t>
      </w:r>
    </w:p>
    <w:p>
      <w:pPr>
        <w:pStyle w:val="TextBody"/>
        <w:bidi w:val="0"/>
        <w:spacing w:lineRule="auto" w:line="312" w:before="160" w:after="283"/>
        <w:jc w:val="both"/>
        <w:rPr>
          <w:rFonts w:ascii="Lato;sans-serif" w:hAnsi="Lato;sans-serif"/>
          <w:b w:val="false"/>
          <w:color w:val="000000"/>
          <w:sz w:val="18"/>
        </w:rPr>
      </w:pPr>
      <w:r>
        <w:rPr>
          <w:rFonts w:ascii="Lato;sans-serif" w:hAnsi="Lato;sans-serif"/>
          <w:b w:val="false"/>
          <w:color w:val="000000"/>
          <w:sz w:val="18"/>
        </w:rPr>
        <w:t>Mr. Masson began his career as a Lieutenant and Naval Aviator for the United States Navy, where he worked from 1992-2001. Mr. Masson holds a Bachelor of Science degree in Economics from the United States Naval Academy and a Master of Business Administration from Harvard Business School. Mr. Masson currently serves as a director for Tech-Etch, Inc. where he is Chair of the Audit Committee. Mr. Masson is well qualified to serve on our Board because of his numerous years of experience in finance and the aerospace industry and his knowledge as a director.</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40410"/>
                <wp:effectExtent l="0" t="0" r="0" b="0"/>
                <wp:wrapNone/>
                <wp:docPr id="17" name="Frame1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200"/>
        <w:jc w:val="left"/>
        <w:rPr>
          <w:rFonts w:ascii="Lato Black;sans-serif" w:hAnsi="Lato Black;sans-serif"/>
          <w:b/>
          <w:color w:val="005CB9"/>
          <w:sz w:val="32"/>
        </w:rPr>
      </w:pPr>
      <w:r>
        <w:rPr>
          <w:rFonts w:ascii="Lato Black;sans-serif" w:hAnsi="Lato Black;sans-serif"/>
          <w:b/>
          <w:color w:val="005CB9"/>
          <w:sz w:val="32"/>
        </w:rPr>
        <w:t>Executive Officers</w:t>
      </w:r>
    </w:p>
    <w:tbl>
      <w:tblPr>
        <w:tblW w:w="2579" w:type="dxa"/>
        <w:jc w:val="left"/>
        <w:tblInd w:w="0" w:type="dxa"/>
        <w:tblLayout w:type="fixed"/>
        <w:tblCellMar>
          <w:top w:w="28" w:type="dxa"/>
          <w:left w:w="28" w:type="dxa"/>
          <w:bottom w:w="28" w:type="dxa"/>
          <w:right w:w="28" w:type="dxa"/>
        </w:tblCellMar>
      </w:tblPr>
      <w:tblGrid>
        <w:gridCol w:w="825"/>
        <w:gridCol w:w="725"/>
        <w:gridCol w:w="1029"/>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Lato;sans-serif" w:hAnsi="Lato;sans-serif"/>
                <w:b/>
                <w:color w:val="005CB9"/>
                <w:sz w:val="24"/>
              </w:rPr>
            </w:pPr>
            <w:r>
              <w:rPr>
                <w:rFonts w:ascii="Lato;sans-serif" w:hAnsi="Lato;sans-serif"/>
                <w:b/>
                <w:color w:val="005CB9"/>
                <w:sz w:val="24"/>
              </w:rPr>
              <w:t xml:space="preserve">Stephen Altemus </w:t>
            </w:r>
          </w:p>
        </w:tc>
      </w:tr>
      <w:tr>
        <w:trPr/>
        <w:tc>
          <w:tcPr>
            <w:tcW w:w="2579"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Lato;sans-serif" w:hAnsi="Lato;sans-serif"/>
          <w:b w:val="false"/>
          <w:color w:val="000000"/>
          <w:sz w:val="18"/>
        </w:rPr>
      </w:pPr>
      <w:r>
        <w:rPr>
          <w:rFonts w:ascii="Lato;sans-serif" w:hAnsi="Lato;sans-serif"/>
          <w:b w:val="false"/>
          <w:color w:val="000000"/>
          <w:sz w:val="18"/>
        </w:rPr>
        <w:t>The biography and age of Mr. Altemus appears above under “Continuing Directors Not Standing for Re-election at the Meeting.”.</w:t>
      </w:r>
    </w:p>
    <w:tbl>
      <w:tblPr>
        <w:tblW w:w="3509" w:type="dxa"/>
        <w:jc w:val="left"/>
        <w:tblInd w:w="0" w:type="dxa"/>
        <w:tblLayout w:type="fixed"/>
        <w:tblCellMar>
          <w:top w:w="28" w:type="dxa"/>
          <w:left w:w="28" w:type="dxa"/>
          <w:bottom w:w="28" w:type="dxa"/>
          <w:right w:w="28" w:type="dxa"/>
        </w:tblCellMar>
      </w:tblPr>
      <w:tblGrid>
        <w:gridCol w:w="1124"/>
        <w:gridCol w:w="988"/>
        <w:gridCol w:w="1397"/>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312" w:before="320" w:after="160"/>
              <w:jc w:val="left"/>
              <w:rPr/>
            </w:pPr>
            <w:r>
              <w:rPr>
                <w:rFonts w:ascii="Lato;sans-serif" w:hAnsi="Lato;sans-serif"/>
                <w:b/>
                <w:color w:val="005CB9"/>
                <w:sz w:val="24"/>
              </w:rPr>
              <w:t xml:space="preserve">Dr. Timothy Crain </w:t>
            </w:r>
            <w:r>
              <w:rPr>
                <w:rFonts w:ascii="Lato;sans-serif" w:hAnsi="Lato;sans-serif"/>
                <w:b/>
                <w:color w:val="000000"/>
                <w:sz w:val="16"/>
              </w:rPr>
              <w:t>(Age: 52)</w:t>
            </w:r>
          </w:p>
        </w:tc>
      </w:tr>
      <w:tr>
        <w:trPr/>
        <w:tc>
          <w:tcPr>
            <w:tcW w:w="3509"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283"/>
        <w:jc w:val="both"/>
        <w:rPr>
          <w:rFonts w:ascii="Lato;sans-serif" w:hAnsi="Lato;sans-serif"/>
          <w:b w:val="false"/>
          <w:color w:val="000000"/>
          <w:sz w:val="18"/>
        </w:rPr>
      </w:pPr>
      <w:r>
        <w:rPr>
          <w:rFonts w:ascii="Lato;sans-serif" w:hAnsi="Lato;sans-serif"/>
          <w:b w:val="false"/>
          <w:color w:val="000000"/>
          <w:sz w:val="18"/>
        </w:rPr>
        <w:t>Dr. Crain has served as our Senior Vice President and Chief Growth Officer and Chief Technology Officer since February 2024, prior to that Dr. Crain was the Company’s Chief Technology Officer and has served as Intuitive Machines,LLC’s Chief Technology Officer since 2021. Dr. Crain previously served as Intuitive Machines,LLC’s vice president of research and development since co-founding the Company in 2013 with Mr. Altemus and Dr. Ghaffarian.</w:t>
      </w:r>
    </w:p>
    <w:p>
      <w:pPr>
        <w:pStyle w:val="TextBody"/>
        <w:bidi w:val="0"/>
        <w:spacing w:lineRule="auto" w:line="312" w:before="160" w:after="283"/>
        <w:jc w:val="both"/>
        <w:rPr>
          <w:rFonts w:ascii="Lato;sans-serif" w:hAnsi="Lato;sans-serif"/>
          <w:b w:val="false"/>
          <w:color w:val="000000"/>
          <w:sz w:val="18"/>
        </w:rPr>
      </w:pPr>
      <w:r>
        <w:rPr>
          <w:rFonts w:ascii="Lato;sans-serif" w:hAnsi="Lato;sans-serif"/>
          <w:b w:val="false"/>
          <w:color w:val="000000"/>
          <w:sz w:val="18"/>
        </w:rPr>
        <w:t>Dr. Crain received his Ph.D. in aerospace engineering from the University of Texas at Austin where he was a National Science Foundation Graduate Fellow and Assistant Instructor. He began his professional career in 2000 at NASA’s JSC where he was a lead engineer in the Engineering Directorate’s Aeroscience and Flight Mechanics Division. During his tenure at JSC he worked on the navigation design for Mars Science Lander and was the Orbit Guidance, Navigation, and Control System Manager for the Orion spacecraft. In 2009, Dr. Crain became the Flight Dynamics lead for NASA’s Project Morpheus. Dr. Crain left the NASA civil service in June 2013 to co-found Intuitive Machines.</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Dr. Crain is a recipient of the NASA JSC Center Director’s Commendation Award, the Outstanding Young Texas Ex Award, UT Outstanding Young Engineering Graduate Award, Orion Flight Dynamics Leadership Award, and a finalist for the NASA Rotary Mid-Career Stellar Award. Dr. Crain is a board member of Penumbra, LLC.</w:t>
      </w:r>
    </w:p>
    <w:tbl>
      <w:tblPr>
        <w:tblW w:w="3105" w:type="dxa"/>
        <w:jc w:val="left"/>
        <w:tblInd w:w="0" w:type="dxa"/>
        <w:tblLayout w:type="fixed"/>
        <w:tblCellMar>
          <w:top w:w="28" w:type="dxa"/>
          <w:left w:w="28" w:type="dxa"/>
          <w:bottom w:w="28" w:type="dxa"/>
          <w:right w:w="28" w:type="dxa"/>
        </w:tblCellMar>
      </w:tblPr>
      <w:tblGrid>
        <w:gridCol w:w="994"/>
        <w:gridCol w:w="872"/>
        <w:gridCol w:w="1239"/>
      </w:tblGrid>
      <w:tr>
        <w:trPr/>
        <w:tc>
          <w:tcPr>
            <w:tcW w:w="99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312" w:before="320" w:after="160"/>
              <w:jc w:val="left"/>
              <w:rPr/>
            </w:pPr>
            <w:r>
              <w:rPr>
                <w:rFonts w:ascii="Lato;sans-serif" w:hAnsi="Lato;sans-serif"/>
                <w:b/>
                <w:color w:val="005CB9"/>
                <w:sz w:val="24"/>
              </w:rPr>
              <w:t xml:space="preserve">Peter McGrath </w:t>
            </w:r>
            <w:r>
              <w:rPr>
                <w:rFonts w:ascii="Lato;sans-serif" w:hAnsi="Lato;sans-serif"/>
                <w:b/>
                <w:color w:val="000000"/>
                <w:sz w:val="16"/>
              </w:rPr>
              <w:t>(Age: 57)</w:t>
            </w:r>
          </w:p>
        </w:tc>
      </w:tr>
      <w:tr>
        <w:trPr/>
        <w:tc>
          <w:tcPr>
            <w:tcW w:w="3105"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283"/>
        <w:jc w:val="both"/>
        <w:rPr>
          <w:rFonts w:ascii="Lato;sans-serif" w:hAnsi="Lato;sans-serif"/>
          <w:b w:val="false"/>
          <w:color w:val="000000"/>
          <w:sz w:val="18"/>
        </w:rPr>
      </w:pPr>
      <w:r>
        <w:rPr>
          <w:rFonts w:ascii="Lato;sans-serif" w:hAnsi="Lato;sans-serif"/>
          <w:b w:val="false"/>
          <w:color w:val="000000"/>
          <w:sz w:val="18"/>
        </w:rPr>
        <w:t xml:space="preserve">Mr. McGrath has served as our Senior Vice President and Chief Financial Officer since September 2024. Prior to that role, Mr. McGrath was the Company's Senior Vice President and Chief Operating Officer. Mr. McGrath has been with the Company since August 2020 as Vice President of Business Development. Mr. McGrath has over 35 years of aerospace Project and Program Management, Capture Management, and Business Development experience. With a Bachelors and Master's degree in Aerospace Engineering and a Master's of Business Administration, Mr. McGrath has spent his career leading and supporting NASA, Army, Air Force, International, and Commercial programs. </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Prior to joining Intuitive Machines in August 2020, Mr. McGrath worked at Boeing as the Global Sales and Marketing organization responsible for shaping, extending, and capturing business in support of NASA and commercial space exploration missions. Mr. McGrath began his 31-year career at Boeing as a Structural Analyst on the International Space Station working on critical elements like the Cupola, mating adapters, and primary truss structure. He was a Project Engineer in Phantom Works supporting DC-XA, X-33, and X-34. He served in a Business Development capacity for Boeing Launch Services supporting both Delta and Sea Launch programs, the Launch and Satellite Systems Division, and Space Situational Awareness Programs. Mr. McGrath also served as the Increment 1 Production Program Manager for the Army's Brigade Combat Team Modernization, responsible for delivering the first three brigade sets of hardware to the warfighter.</w:t>
      </w:r>
    </w:p>
    <w:tbl>
      <w:tblPr>
        <w:tblW w:w="2625" w:type="dxa"/>
        <w:jc w:val="left"/>
        <w:tblInd w:w="0" w:type="dxa"/>
        <w:tblLayout w:type="fixed"/>
        <w:tblCellMar>
          <w:top w:w="28" w:type="dxa"/>
          <w:left w:w="28" w:type="dxa"/>
          <w:bottom w:w="28" w:type="dxa"/>
          <w:right w:w="28" w:type="dxa"/>
        </w:tblCellMar>
      </w:tblPr>
      <w:tblGrid>
        <w:gridCol w:w="839"/>
        <w:gridCol w:w="737"/>
        <w:gridCol w:w="1049"/>
      </w:tblGrid>
      <w:tr>
        <w:trPr/>
        <w:tc>
          <w:tcPr>
            <w:tcW w:w="83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312" w:before="320" w:after="160"/>
              <w:jc w:val="left"/>
              <w:rPr/>
            </w:pPr>
            <w:r>
              <w:rPr>
                <w:rFonts w:ascii="Lato;sans-serif" w:hAnsi="Lato;sans-serif"/>
                <w:b/>
                <w:color w:val="005CB9"/>
                <w:sz w:val="24"/>
              </w:rPr>
              <w:t xml:space="preserve">Anna Jones </w:t>
            </w:r>
            <w:r>
              <w:rPr>
                <w:rFonts w:ascii="Lato;sans-serif" w:hAnsi="Lato;sans-serif"/>
                <w:b/>
                <w:color w:val="000000"/>
                <w:sz w:val="16"/>
              </w:rPr>
              <w:t>(Age: 46)</w:t>
            </w:r>
          </w:p>
        </w:tc>
      </w:tr>
      <w:tr>
        <w:trPr/>
        <w:tc>
          <w:tcPr>
            <w:tcW w:w="2625"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80" w:after="283"/>
        <w:ind w:left="0" w:right="0" w:hanging="360"/>
        <w:jc w:val="both"/>
        <w:rPr>
          <w:rFonts w:ascii="Lato;sans-serif" w:hAnsi="Lato;sans-serif"/>
          <w:b w:val="false"/>
          <w:color w:val="000000"/>
          <w:sz w:val="18"/>
        </w:rPr>
      </w:pPr>
      <w:r>
        <w:rPr>
          <w:rFonts w:ascii="Lato;sans-serif" w:hAnsi="Lato;sans-serif"/>
          <w:b w:val="false"/>
          <w:color w:val="000000"/>
          <w:sz w:val="18"/>
        </w:rPr>
        <w:t>Ms. Jones has served as our General Counsel and Corporate Secretary since April 2023. Ms. Jones has a range of experience counseling boards and executives on corporate governance, compliance, securities, finance, and transactional matters across several industries. Before joining Intuitive Machines, Ms. Jones was Vice President of Securities and Corporate Counsel at Paysafe Limited from April 2021 through March 2023, where she advised on securities disclosure and compliance matters, corporate governance, finance and treasury transactions, and other transactions. Previously, Ms. Jones served as Assistant General Counsel and Corporate Secretary at Marathon Oil Corporation. Ms. Jones has also held legal positions at ConocoPhillips, Spectra Energy Corp, and Hyatt Hotels Corporation. Ms. Jones began her legal career as a corporate associate at Latham &amp; Watkins LLP where she worked from 2006 through 2012. Ms. Jones a holds a juris doctor degree from Northwestern University School of Law and a bachelor’s degree in business administration.</w:t>
      </w:r>
    </w:p>
    <w:p>
      <w:pPr>
        <w:pStyle w:val="TextBody"/>
        <w:bidi w:val="0"/>
        <w:spacing w:before="80" w:after="8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40410"/>
                <wp:effectExtent l="0" t="0" r="0" b="0"/>
                <wp:wrapNone/>
                <wp:docPr id="18" name="Frame1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200"/>
        <w:jc w:val="left"/>
        <w:rPr>
          <w:rFonts w:ascii="Lato Black;sans-serif" w:hAnsi="Lato Black;sans-serif"/>
          <w:b/>
          <w:color w:val="005CB9"/>
          <w:sz w:val="32"/>
        </w:rPr>
      </w:pPr>
      <w:r>
        <w:rPr>
          <w:rFonts w:ascii="Lato Black;sans-serif" w:hAnsi="Lato Black;sans-serif"/>
          <w:b/>
          <w:color w:val="005CB9"/>
          <w:sz w:val="32"/>
        </w:rPr>
        <w:t>Corporate Governance</w:t>
      </w:r>
    </w:p>
    <w:p>
      <w:pPr>
        <w:pStyle w:val="TextBody"/>
        <w:bidi w:val="0"/>
        <w:spacing w:lineRule="auto" w:line="312" w:before="0" w:after="240"/>
        <w:jc w:val="both"/>
        <w:rPr/>
      </w:pPr>
      <w:r>
        <w:rPr>
          <w:rFonts w:ascii="Lato;sans-serif" w:hAnsi="Lato;sans-serif"/>
          <w:b w:val="false"/>
          <w:color w:val="000000"/>
          <w:sz w:val="18"/>
        </w:rPr>
        <w:t xml:space="preserve">Our Board has adopted Corporate Governance Guidelines that address, among other topics, the role and responsibilities of our directors, the structure and composition of our Board, and corporate governance policies and standards applicable to us in general. The Corporate Governance Guidelines are subject to periodic reviews and changes by our Nominating and Corporate Governance Committee and our Board. Our Corporate Governance Guidelines is available on our website at </w:t>
      </w:r>
      <w:r>
        <w:rPr>
          <w:rFonts w:ascii="Lato;sans-serif" w:hAnsi="Lato;sans-serif"/>
          <w:b w:val="false"/>
          <w:color w:val="005CB9"/>
          <w:sz w:val="18"/>
        </w:rPr>
        <w:t>https://investors.intuitivemachines.com/</w:t>
      </w:r>
      <w:r>
        <w:rPr>
          <w:color w:val="000000"/>
        </w:rPr>
        <w:t xml:space="preserve"> </w:t>
      </w:r>
      <w:r>
        <w:rPr>
          <w:rFonts w:ascii="Lato;sans-serif" w:hAnsi="Lato;sans-serif"/>
          <w:b w:val="false"/>
          <w:color w:val="000000"/>
          <w:sz w:val="18"/>
        </w:rPr>
        <w:t xml:space="preserve">under the "Corporate Governance" section.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20" w:after="283"/>
        <w:jc w:val="both"/>
        <w:rPr>
          <w:rFonts w:ascii="Lato;sans-serif" w:hAnsi="Lato;sans-serif"/>
          <w:b/>
          <w:color w:val="000000"/>
          <w:sz w:val="24"/>
        </w:rPr>
      </w:pPr>
      <w:r>
        <w:rPr>
          <w:rFonts w:ascii="Lato;sans-serif" w:hAnsi="Lato;sans-serif"/>
          <w:b/>
          <w:color w:val="000000"/>
          <w:sz w:val="24"/>
        </w:rPr>
        <w:t>Director Qualifications</w:t>
      </w:r>
    </w:p>
    <w:p>
      <w:pPr>
        <w:pStyle w:val="TextBody"/>
        <w:bidi w:val="0"/>
        <w:spacing w:lineRule="auto" w:line="312" w:before="120" w:after="240"/>
        <w:jc w:val="both"/>
        <w:rPr>
          <w:rFonts w:ascii="Lato;sans-serif" w:hAnsi="Lato;sans-serif"/>
          <w:b w:val="false"/>
          <w:color w:val="000000"/>
          <w:sz w:val="18"/>
        </w:rPr>
      </w:pPr>
      <w:r>
        <w:rPr>
          <w:rFonts w:ascii="Lato;sans-serif" w:hAnsi="Lato;sans-serif"/>
          <w:b w:val="false"/>
          <w:color w:val="000000"/>
          <w:sz w:val="18"/>
        </w:rPr>
        <w:t>The Nominating and Corporate Governance Committee, in recommending director candidates for election to the Board, and the Board, in nominating director candidates, nominate candidates who have a high level of personal and professional integrity, strong ethics and values and the ability to make mature business judgments. The Board believes that the Board membership should reflect a diversity of experience, qualifications, skills, gender, race and age in order to ensure that the Board, as a whole, has the necessary tools to perform its oversight function effectively in light of the Company’s business and structure.</w:t>
      </w:r>
    </w:p>
    <w:p>
      <w:pPr>
        <w:pStyle w:val="TextBody"/>
        <w:bidi w:val="0"/>
        <w:spacing w:lineRule="auto" w:line="312" w:before="160" w:after="160"/>
        <w:jc w:val="left"/>
        <w:rPr>
          <w:rFonts w:ascii="Lato;sans-serif" w:hAnsi="Lato;sans-serif"/>
          <w:b/>
          <w:color w:val="000000"/>
          <w:sz w:val="18"/>
        </w:rPr>
      </w:pPr>
      <w:r>
        <w:rPr>
          <w:rFonts w:ascii="Lato;sans-serif" w:hAnsi="Lato;sans-serif"/>
          <w:b/>
          <w:color w:val="000000"/>
          <w:sz w:val="18"/>
        </w:rPr>
        <w:t>Additional Selection Criteria</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Pursuant to the Company's Corporate Governance Guidelines, in evaluating director candidates, the Nominating and Corporate Governance Committee and the Board may also consider the following criteria as well as any other factor that they deem to be relevant:</w:t>
      </w:r>
    </w:p>
    <w:p>
      <w:pPr>
        <w:pStyle w:val="TextBody"/>
        <w:bidi w:val="0"/>
        <w:spacing w:lineRule="auto" w:line="312" w:before="160" w:after="160"/>
        <w:ind w:left="0" w:right="0" w:hanging="360"/>
        <w:jc w:val="left"/>
        <w:rPr/>
      </w:pPr>
      <w:r>
        <w:rPr>
          <w:color w:val="000000"/>
        </w:rPr>
        <w:t>•</w:t>
      </w:r>
      <w:r>
        <w:rPr>
          <w:rFonts w:ascii="Lato;sans-serif" w:hAnsi="Lato;sans-serif"/>
          <w:b w:val="false"/>
          <w:color w:val="000000"/>
          <w:sz w:val="18"/>
        </w:rPr>
        <w:t>the candidate’s experience in corporate management, such as serving as an officer or former officer of a publicly held company;</w:t>
      </w:r>
    </w:p>
    <w:p>
      <w:pPr>
        <w:pStyle w:val="TextBody"/>
        <w:bidi w:val="0"/>
        <w:spacing w:lineRule="auto" w:line="312" w:before="160" w:after="160"/>
        <w:ind w:left="0" w:right="0" w:hanging="360"/>
        <w:jc w:val="left"/>
        <w:rPr/>
      </w:pPr>
      <w:r>
        <w:rPr>
          <w:color w:val="000000"/>
        </w:rPr>
        <w:t>•</w:t>
      </w:r>
      <w:r>
        <w:rPr>
          <w:rFonts w:ascii="Lato;sans-serif" w:hAnsi="Lato;sans-serif"/>
          <w:b w:val="false"/>
          <w:color w:val="000000"/>
          <w:sz w:val="18"/>
        </w:rPr>
        <w:t>the candidate’s experience as a board member of another publicly held company;</w:t>
      </w:r>
    </w:p>
    <w:p>
      <w:pPr>
        <w:pStyle w:val="TextBody"/>
        <w:bidi w:val="0"/>
        <w:spacing w:lineRule="auto" w:line="312" w:before="160" w:after="160"/>
        <w:ind w:left="0" w:right="0" w:hanging="360"/>
        <w:jc w:val="left"/>
        <w:rPr/>
      </w:pPr>
      <w:r>
        <w:rPr>
          <w:color w:val="000000"/>
        </w:rPr>
        <w:t>•</w:t>
      </w:r>
      <w:r>
        <w:rPr>
          <w:rFonts w:ascii="Lato;sans-serif" w:hAnsi="Lato;sans-serif"/>
          <w:b w:val="false"/>
          <w:color w:val="000000"/>
          <w:sz w:val="18"/>
        </w:rPr>
        <w:t>the candidate’s professional and academic experience relevant to the Company’s industry, operations, and target markets;</w:t>
      </w:r>
    </w:p>
    <w:p>
      <w:pPr>
        <w:pStyle w:val="TextBody"/>
        <w:bidi w:val="0"/>
        <w:spacing w:lineRule="auto" w:line="312" w:before="160" w:after="160"/>
        <w:ind w:left="0" w:right="0" w:hanging="360"/>
        <w:jc w:val="left"/>
        <w:rPr/>
      </w:pPr>
      <w:r>
        <w:rPr>
          <w:color w:val="000000"/>
        </w:rPr>
        <w:t>•</w:t>
      </w:r>
      <w:r>
        <w:rPr>
          <w:rFonts w:ascii="Lato;sans-serif" w:hAnsi="Lato;sans-serif"/>
          <w:b w:val="false"/>
          <w:color w:val="000000"/>
          <w:sz w:val="18"/>
        </w:rPr>
        <w:t>the candidate's ability to exercise mature business judgment, including, but not limited to, the ability to make independent analytical inquiries;</w:t>
      </w:r>
    </w:p>
    <w:p>
      <w:pPr>
        <w:pStyle w:val="TextBody"/>
        <w:bidi w:val="0"/>
        <w:spacing w:lineRule="auto" w:line="312" w:before="160" w:after="160"/>
        <w:ind w:left="0" w:right="0" w:hanging="360"/>
        <w:jc w:val="left"/>
        <w:rPr/>
      </w:pPr>
      <w:r>
        <w:rPr>
          <w:color w:val="000000"/>
        </w:rPr>
        <w:t>•</w:t>
      </w:r>
      <w:r>
        <w:rPr>
          <w:rFonts w:ascii="Lato;sans-serif" w:hAnsi="Lato;sans-serif"/>
          <w:b w:val="false"/>
          <w:color w:val="000000"/>
          <w:sz w:val="18"/>
        </w:rPr>
        <w:t>the strength of the candidate’s leadership skills;</w:t>
      </w:r>
    </w:p>
    <w:p>
      <w:pPr>
        <w:pStyle w:val="TextBody"/>
        <w:bidi w:val="0"/>
        <w:spacing w:lineRule="auto" w:line="312" w:before="160" w:after="160"/>
        <w:ind w:left="0" w:right="0" w:hanging="360"/>
        <w:jc w:val="left"/>
        <w:rPr/>
      </w:pPr>
      <w:r>
        <w:rPr>
          <w:color w:val="000000"/>
        </w:rPr>
        <w:t>•</w:t>
      </w:r>
      <w:r>
        <w:rPr>
          <w:rFonts w:ascii="Lato;sans-serif" w:hAnsi="Lato;sans-serif"/>
          <w:b w:val="false"/>
          <w:color w:val="000000"/>
          <w:sz w:val="18"/>
        </w:rPr>
        <w:t xml:space="preserve">the candidate’s experience in finance and accounting and/or executive compensation practices; </w:t>
      </w:r>
    </w:p>
    <w:p>
      <w:pPr>
        <w:pStyle w:val="TextBody"/>
        <w:bidi w:val="0"/>
        <w:spacing w:lineRule="auto" w:line="312" w:before="160" w:after="160"/>
        <w:ind w:left="0" w:right="0" w:hanging="360"/>
        <w:jc w:val="left"/>
        <w:rPr/>
      </w:pPr>
      <w:r>
        <w:rPr>
          <w:color w:val="000000"/>
        </w:rPr>
        <w:t>•</w:t>
      </w:r>
      <w:r>
        <w:rPr>
          <w:rFonts w:ascii="Lato;sans-serif" w:hAnsi="Lato;sans-serif"/>
          <w:b w:val="false"/>
          <w:color w:val="000000"/>
          <w:sz w:val="18"/>
        </w:rPr>
        <w:t>whether the candidate has the time required for preparation, participation and attendance at Board meetings and committee meetings, if applicable; and</w:t>
      </w:r>
    </w:p>
    <w:p>
      <w:pPr>
        <w:pStyle w:val="TextBody"/>
        <w:bidi w:val="0"/>
        <w:spacing w:lineRule="auto" w:line="312" w:before="160" w:after="240"/>
        <w:ind w:left="0" w:right="0" w:hanging="360"/>
        <w:jc w:val="left"/>
        <w:rPr/>
      </w:pPr>
      <w:r>
        <w:rPr>
          <w:color w:val="000000"/>
        </w:rPr>
        <w:t>•</w:t>
      </w:r>
      <w:r>
        <w:rPr>
          <w:rFonts w:ascii="Lato;sans-serif" w:hAnsi="Lato;sans-serif"/>
          <w:b w:val="false"/>
          <w:color w:val="000000"/>
          <w:sz w:val="18"/>
        </w:rPr>
        <w:t>the candidate’s diversity of background and perspective, including, but not limited to, with respect to age, gender, race and geographic background as well as diversity of expertise and experience in substantive matters pertaining to the Company’s business relative to other board members.</w:t>
      </w:r>
    </w:p>
    <w:p>
      <w:pPr>
        <w:pStyle w:val="TextBody"/>
        <w:bidi w:val="0"/>
        <w:spacing w:lineRule="auto" w:line="312" w:before="0" w:after="240"/>
        <w:jc w:val="left"/>
        <w:rPr>
          <w:rFonts w:ascii="Lato;sans-serif" w:hAnsi="Lato;sans-serif"/>
          <w:b w:val="false"/>
          <w:color w:val="000000"/>
          <w:sz w:val="18"/>
        </w:rPr>
      </w:pPr>
      <w:r>
        <w:rPr>
          <w:rFonts w:ascii="Lato;sans-serif" w:hAnsi="Lato;sans-serif"/>
          <w:b w:val="false"/>
          <w:color w:val="000000"/>
          <w:sz w:val="18"/>
        </w:rPr>
        <w:t xml:space="preserve">Our Nominating and Corporate Governance Committee will consider director candidates recommended by stockholders and evaluate them using the same criteria as candidates identified by the Board or the Nominating and Corporate Governance Committee for consideration.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80" w:after="160"/>
        <w:jc w:val="left"/>
        <w:rPr>
          <w:rFonts w:ascii="Lato;sans-serif" w:hAnsi="Lato;sans-serif"/>
          <w:b/>
          <w:color w:val="000000"/>
          <w:sz w:val="24"/>
        </w:rPr>
      </w:pPr>
      <w:r>
        <w:rPr>
          <w:rFonts w:ascii="Lato;sans-serif" w:hAnsi="Lato;sans-serif"/>
          <w:b/>
          <w:color w:val="000000"/>
          <w:sz w:val="24"/>
        </w:rPr>
        <w:t>Board Evaluations</w:t>
      </w:r>
    </w:p>
    <w:p>
      <w:pPr>
        <w:pStyle w:val="TextBody"/>
        <w:bidi w:val="0"/>
        <w:spacing w:lineRule="auto" w:line="312" w:before="160" w:after="283"/>
        <w:jc w:val="both"/>
        <w:rPr>
          <w:rFonts w:ascii="Lato;sans-serif" w:hAnsi="Lato;sans-serif"/>
          <w:b w:val="false"/>
          <w:color w:val="000000"/>
          <w:sz w:val="18"/>
        </w:rPr>
      </w:pPr>
      <w:r>
        <w:rPr>
          <w:rFonts w:ascii="Lato;sans-serif" w:hAnsi="Lato;sans-serif"/>
          <w:b w:val="false"/>
          <w:color w:val="000000"/>
          <w:sz w:val="18"/>
        </w:rPr>
        <w:t>To improve the effectiveness of the Board, the Board completes annual evaluations. Each year, the Chair of the Nominating and Corporate Governance Committee meets with the Board to discuss among other things, Board performance; recommendations to improve meetings; committees’ structure and leadership; whether key topics and risks are sufficiently considered by the Board; support from management; and Board effectiveness. Based on the cumulative results of the Board evaluation, the Chair of the Nominating &amp; Corporate Governance Committee makes recommendations for improvements to the directors and to the Secretary of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40410"/>
                <wp:effectExtent l="0" t="0" r="0" b="0"/>
                <wp:wrapNone/>
                <wp:docPr id="19" name="Frame1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 xml:space="preserve">Corporate Governance </w:t>
      </w:r>
    </w:p>
    <w:p>
      <w:pPr>
        <w:pStyle w:val="TextBody"/>
        <w:bidi w:val="0"/>
        <w:spacing w:lineRule="auto" w:line="312" w:before="160" w:after="283"/>
        <w:jc w:val="both"/>
        <w:rPr>
          <w:rFonts w:ascii="Lato;sans-serif" w:hAnsi="Lato;sans-serif"/>
          <w:b/>
          <w:color w:val="000000"/>
          <w:sz w:val="24"/>
        </w:rPr>
      </w:pPr>
      <w:r>
        <w:rPr>
          <w:rFonts w:ascii="Lato;sans-serif" w:hAnsi="Lato;sans-serif"/>
          <w:b/>
          <w:color w:val="000000"/>
          <w:sz w:val="24"/>
        </w:rPr>
        <w:t>Director Independence</w:t>
      </w:r>
    </w:p>
    <w:p>
      <w:pPr>
        <w:pStyle w:val="TextBody"/>
        <w:bidi w:val="0"/>
        <w:spacing w:lineRule="auto" w:line="312" w:before="120" w:after="160"/>
        <w:jc w:val="both"/>
        <w:rPr>
          <w:rFonts w:ascii="Lato;sans-serif" w:hAnsi="Lato;sans-serif"/>
          <w:b w:val="false"/>
          <w:color w:val="000000"/>
          <w:sz w:val="18"/>
        </w:rPr>
      </w:pPr>
      <w:r>
        <w:rPr>
          <w:rFonts w:ascii="Lato;sans-serif" w:hAnsi="Lato;sans-serif"/>
          <w:b w:val="false"/>
          <w:color w:val="000000"/>
          <w:sz w:val="18"/>
        </w:rPr>
        <w:t>Under our Corporate Governance Guidelines and the Nasdaq rules, a director will not be independent unless our Board affirmatively determines that such director does not have a direct or indirect material relationship with the Company or any of its subsidiaries. In addition, the director must not be precluded from qualifying as independent under the per se bars set forth by the Nasdaq rules.</w:t>
      </w:r>
    </w:p>
    <w:p>
      <w:pPr>
        <w:pStyle w:val="TextBody"/>
        <w:bidi w:val="0"/>
        <w:spacing w:lineRule="auto" w:line="312" w:before="0" w:after="0"/>
        <w:jc w:val="both"/>
        <w:rPr>
          <w:rFonts w:ascii="Lato;sans-serif" w:hAnsi="Lato;sans-serif"/>
          <w:b w:val="false"/>
          <w:color w:val="000000"/>
          <w:sz w:val="18"/>
        </w:rPr>
      </w:pPr>
      <w:r>
        <w:rPr>
          <w:rFonts w:ascii="Lato;sans-serif" w:hAnsi="Lato;sans-serif"/>
          <w:b w:val="false"/>
          <w:color w:val="000000"/>
          <w:sz w:val="18"/>
        </w:rPr>
        <w:t xml:space="preserve">On an annual basis, our Board reviews its composition, the composition of its committees and the independence of directors and considers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Michael Blitzer, William J. Liquori, Robert L. Masson and Nicole Seligman (the "independent directors") do not have a relationship that would interfere with the exercise of independent judgment in carrying out the responsibilities of a director and that each of these directors qualifies as “independent” as that term is defined under the Nasdaq rules. The Board also determined that all independent directors meet the standards regarding independence set forth in our Corporate Governance Guidelines and are free of any material relationship with the Company. In making such determination, the Board specifically considered, with the help of the Conflicts Committee, the fact that some of our directors may be directors and stockholders of companies with which we conduct business. In all cases, the Board determined that the nature of the business conducted and the interest of the director by virtue of such position did not impact independence. </w:t>
      </w:r>
    </w:p>
    <w:p>
      <w:pPr>
        <w:pStyle w:val="TextBody"/>
        <w:bidi w:val="0"/>
        <w:spacing w:lineRule="auto" w:line="312" w:before="160" w:after="240"/>
        <w:jc w:val="both"/>
        <w:rPr>
          <w:rFonts w:ascii="Lato;sans-serif" w:hAnsi="Lato;sans-serif"/>
          <w:b w:val="false"/>
          <w:color w:val="000000"/>
          <w:sz w:val="18"/>
        </w:rPr>
      </w:pPr>
      <w:r>
        <w:rPr>
          <w:rFonts w:ascii="Lato;sans-serif" w:hAnsi="Lato;sans-serif"/>
          <w:b w:val="false"/>
          <w:color w:val="000000"/>
          <w:sz w:val="18"/>
        </w:rPr>
        <w:t>There are no family relationships between the Board and any of our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left"/>
        <w:rPr>
          <w:rFonts w:ascii="Lato;sans-serif" w:hAnsi="Lato;sans-serif"/>
          <w:b/>
          <w:color w:val="000000"/>
          <w:sz w:val="24"/>
        </w:rPr>
      </w:pPr>
      <w:r>
        <w:rPr>
          <w:rFonts w:ascii="Lato;sans-serif" w:hAnsi="Lato;sans-serif"/>
          <w:b/>
          <w:color w:val="000000"/>
          <w:sz w:val="24"/>
        </w:rPr>
        <w:t>Board Leadership Structure</w:t>
      </w:r>
    </w:p>
    <w:p>
      <w:pPr>
        <w:pStyle w:val="TextBody"/>
        <w:bidi w:val="0"/>
        <w:spacing w:lineRule="auto" w:line="312" w:before="120" w:after="283"/>
        <w:jc w:val="both"/>
        <w:rPr>
          <w:rFonts w:ascii="Lato;sans-serif" w:hAnsi="Lato;sans-serif"/>
          <w:b w:val="false"/>
          <w:color w:val="000000"/>
          <w:sz w:val="18"/>
        </w:rPr>
      </w:pPr>
      <w:r>
        <w:rPr>
          <w:rFonts w:ascii="Lato;sans-serif" w:hAnsi="Lato;sans-serif"/>
          <w:b w:val="false"/>
          <w:color w:val="000000"/>
          <w:sz w:val="18"/>
        </w:rPr>
        <w:t xml:space="preserve">We believe that all members of our Board should have a voice in the affairs and the management of Intuitive Machines. The Board believes that our stockholders are best served at this time by having Dr. Ghaffarian as our Chairman. Dr. Ghaffarian has served as Chairman of our Board since the closing of the Business Combination in February 2023, and previously served as the Chairman of Intuitive Machines, LLC. Dr. Ghaffarian brings considerable skills and experience, as described above, to the role.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Lato;sans-serif" w:hAnsi="Lato;sans-serif"/>
          <w:b/>
          <w:color w:val="000000"/>
          <w:sz w:val="24"/>
        </w:rPr>
      </w:pPr>
      <w:r>
        <w:rPr>
          <w:rFonts w:ascii="Lato;sans-serif" w:hAnsi="Lato;sans-serif"/>
          <w:b/>
          <w:color w:val="000000"/>
          <w:sz w:val="24"/>
        </w:rPr>
        <w:t xml:space="preserve">Role of Board in Risk Oversight </w:t>
      </w:r>
    </w:p>
    <w:p>
      <w:pPr>
        <w:pStyle w:val="TextBody"/>
        <w:bidi w:val="0"/>
        <w:spacing w:lineRule="auto" w:line="312" w:before="120" w:after="283"/>
        <w:jc w:val="both"/>
        <w:rPr>
          <w:rFonts w:ascii="Lato;sans-serif" w:hAnsi="Lato;sans-serif"/>
          <w:b w:val="false"/>
          <w:color w:val="000000"/>
          <w:sz w:val="18"/>
        </w:rPr>
      </w:pPr>
      <w:r>
        <w:rPr>
          <w:rFonts w:ascii="Lato;sans-serif" w:hAnsi="Lato;sans-serif"/>
          <w:b w:val="false"/>
          <w:color w:val="000000"/>
          <w:sz w:val="18"/>
        </w:rPr>
        <w:t>The Board and Board committees have active and extensive involvement in the oversight of risk management related to Intuitive Machines. The Board regularly reviews information regarding the Company’s strategic, operational, financial and compliance and regulatory risk and risk management, as well as the Company’s cybersecurity risks. The Audit Committee is responsible for overseeing the Company’s policies with respect to risk assessment and risk management, including the framework by which the Company’s exposure to risk is handled, in accordance with those policies. The Company’s Compensation Committee is responsible for overseeing the management of risks relating to the Company’s executive compensation plans and arrangements. The Company’s Audit Committee oversees management of financial risks. The Nominating and Corporate Governance Committee manages risks associated with the independence of the Board and environmental and social matters and compliance and regulatory. The Conflict Committee manages risk associated with conflicts of interest and anti-trust concerns. While each committee is responsible for evaluating certain risks and overseeing the management of such risks, the entire Board is regularly informed through committee reports about such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120"/>
        <w:jc w:val="left"/>
        <w:rPr>
          <w:rFonts w:ascii="Lato;sans-serif" w:hAnsi="Lato;sans-serif"/>
          <w:b/>
          <w:color w:val="000000"/>
          <w:sz w:val="24"/>
        </w:rPr>
      </w:pPr>
      <w:r>
        <w:rPr>
          <w:rFonts w:ascii="Lato;sans-serif" w:hAnsi="Lato;sans-serif"/>
          <w:b/>
          <w:color w:val="000000"/>
          <w:sz w:val="24"/>
        </w:rPr>
        <w:t>Board Meetings and Committees</w:t>
      </w:r>
    </w:p>
    <w:p>
      <w:pPr>
        <w:pStyle w:val="TextBody"/>
        <w:bidi w:val="0"/>
        <w:spacing w:lineRule="auto" w:line="312" w:before="0" w:after="0"/>
        <w:jc w:val="both"/>
        <w:rPr/>
      </w:pPr>
      <w:r>
        <w:rPr>
          <w:rFonts w:ascii="Lato;sans-serif" w:hAnsi="Lato;sans-serif"/>
          <w:b w:val="false"/>
          <w:color w:val="000000"/>
          <w:sz w:val="18"/>
        </w:rPr>
        <w:t xml:space="preserve">Our Board of Directors </w:t>
      </w:r>
      <w:r>
        <w:rPr>
          <w:rFonts w:ascii="Lato;sans-serif" w:hAnsi="Lato;sans-serif"/>
          <w:b w:val="false"/>
          <w:color w:val="000000"/>
          <w:sz w:val="18"/>
          <w:shd w:fill="FFFFFF" w:val="clear"/>
        </w:rPr>
        <w:t>met 11 times during 2024. Our Board has an Audit Committee, which met four times in 2024, a Compensation Committee which met five times in 2024, a Nominating and Corporate Governance Committee, which met four times in 2024 and a Conflicts Committee, which met ten times in 2024. Each director attended at least 80% of the meetings of the Board and the committees on which they serve, which has the composition as describe</w:t>
      </w:r>
      <w:r>
        <w:rPr>
          <w:rFonts w:ascii="Lato;sans-serif" w:hAnsi="Lato;sans-serif"/>
          <w:b w:val="false"/>
          <w:color w:val="000000"/>
          <w:sz w:val="18"/>
        </w:rPr>
        <w:t xml:space="preserve">d above. </w:t>
      </w:r>
      <w:r>
        <w:rPr>
          <w:rFonts w:ascii="Lato;sans-serif" w:hAnsi="Lato;sans-serif"/>
          <w:b w:val="false"/>
          <w:color w:val="000000"/>
          <w:sz w:val="18"/>
          <w:shd w:fill="FFFFFF" w:val="clear"/>
        </w:rPr>
        <w:t>The directors serve on these committees for such term or terms as our Board may determine or until their earlier resig</w:t>
      </w:r>
      <w:r>
        <w:rPr>
          <w:rFonts w:ascii="Lato;sans-serif" w:hAnsi="Lato;sans-serif"/>
          <w:b w:val="false"/>
          <w:color w:val="000000"/>
          <w:sz w:val="18"/>
        </w:rPr>
        <w:t xml:space="preserve">nations or death. The independent directors also met regularly in executive session (without members of management present). Each committee is governed by a written charter. Each committee charter is posted on our website at </w:t>
      </w:r>
      <w:r>
        <w:rPr>
          <w:rFonts w:ascii="Lato;sans-serif" w:hAnsi="Lato;sans-serif"/>
          <w:b w:val="false"/>
          <w:color w:val="005CB9"/>
          <w:sz w:val="18"/>
        </w:rPr>
        <w:t>https://investors.intuitivemachines.com/corporate-governance/governance-documents</w:t>
      </w:r>
      <w:r>
        <w:rPr>
          <w:rFonts w:ascii="Lato;sans-serif" w:hAnsi="Lato;sans-serif"/>
          <w:b w:val="false"/>
          <w:color w:val="000000"/>
          <w:sz w:val="18"/>
        </w:rPr>
        <w:t xml:space="preserve">. From time to time, our Board may also </w:t>
      </w:r>
      <w:r>
        <w:rPr>
          <w:rFonts w:ascii="Lato;sans-serif" w:hAnsi="Lato;sans-serif"/>
          <w:b w:val="false"/>
          <w:color w:val="000000"/>
          <w:sz w:val="18"/>
          <w:shd w:fill="FFFFFF" w:val="clear"/>
        </w:rPr>
        <w:t>establish other, special committees when necessary to address specific issues. The Company does not have a formal Annual Stockholder Meeting attendance requirement, but does encourage director attendance. In 2024, four of our six directors were present at the Annual Stockholder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40410"/>
                <wp:effectExtent l="0" t="0" r="0" b="0"/>
                <wp:wrapNone/>
                <wp:docPr id="20" name="Frame1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Corporate Governance </w:t>
      </w:r>
    </w:p>
    <w:p>
      <w:pPr>
        <w:pStyle w:val="TextBody"/>
        <w:bidi w:val="0"/>
        <w:spacing w:before="0" w:after="0"/>
        <w:jc w:val="both"/>
        <w:rPr/>
      </w:pPr>
      <w:r>
        <w:rPr/>
      </w:r>
    </w:p>
    <w:tbl>
      <w:tblPr>
        <w:tblW w:w="2459" w:type="dxa"/>
        <w:jc w:val="left"/>
        <w:tblInd w:w="0" w:type="dxa"/>
        <w:tblLayout w:type="fixed"/>
        <w:tblCellMar>
          <w:top w:w="28" w:type="dxa"/>
          <w:left w:w="28" w:type="dxa"/>
          <w:bottom w:w="28" w:type="dxa"/>
          <w:right w:w="28" w:type="dxa"/>
        </w:tblCellMar>
      </w:tblPr>
      <w:tblGrid>
        <w:gridCol w:w="787"/>
        <w:gridCol w:w="692"/>
        <w:gridCol w:w="980"/>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0" w:after="283"/>
              <w:jc w:val="left"/>
              <w:rPr>
                <w:rFonts w:ascii="Lato Black;sans-serif" w:hAnsi="Lato Black;sans-serif"/>
                <w:b/>
                <w:color w:val="005CB9"/>
                <w:sz w:val="24"/>
              </w:rPr>
            </w:pPr>
            <w:r>
              <w:rPr>
                <w:rFonts w:ascii="Lato Black;sans-serif" w:hAnsi="Lato Black;sans-serif"/>
                <w:b/>
                <w:color w:val="005CB9"/>
                <w:sz w:val="24"/>
              </w:rPr>
              <w:t>Audit Committee</w:t>
            </w:r>
          </w:p>
        </w:tc>
      </w:tr>
    </w:tbl>
    <w:p>
      <w:pPr>
        <w:pStyle w:val="TextBody"/>
        <w:bidi w:val="0"/>
        <w:spacing w:lineRule="auto" w:line="312" w:before="80" w:after="160"/>
        <w:jc w:val="both"/>
        <w:rPr>
          <w:rFonts w:ascii="Lato;sans-serif" w:hAnsi="Lato;sans-serif"/>
          <w:b w:val="false"/>
          <w:color w:val="000000"/>
          <w:sz w:val="18"/>
        </w:rPr>
      </w:pPr>
      <w:r>
        <w:rPr>
          <w:rFonts w:ascii="Lato;sans-serif" w:hAnsi="Lato;sans-serif"/>
          <w:b w:val="false"/>
          <w:color w:val="000000"/>
          <w:sz w:val="18"/>
        </w:rPr>
        <w:t>Our Audit Committee is responsible for, among other things:</w:t>
      </w:r>
    </w:p>
    <w:p>
      <w:pPr>
        <w:pStyle w:val="TextBody"/>
        <w:bidi w:val="0"/>
        <w:spacing w:lineRule="auto" w:line="312" w:before="80" w:after="80"/>
        <w:ind w:left="0" w:right="0" w:hanging="360"/>
        <w:jc w:val="both"/>
        <w:rPr/>
      </w:pPr>
      <w:r>
        <w:rPr>
          <w:color w:val="000000"/>
        </w:rPr>
        <w:t>•</w:t>
      </w:r>
      <w:r>
        <w:rPr>
          <w:rFonts w:ascii="Lato;sans-serif" w:hAnsi="Lato;sans-serif"/>
          <w:b w:val="false"/>
          <w:color w:val="000000"/>
          <w:sz w:val="18"/>
        </w:rPr>
        <w:t>overseeing our accounting and financial reporting process;</w:t>
      </w:r>
    </w:p>
    <w:p>
      <w:pPr>
        <w:pStyle w:val="TextBody"/>
        <w:bidi w:val="0"/>
        <w:spacing w:lineRule="auto" w:line="312" w:before="80" w:after="160"/>
        <w:ind w:left="0" w:right="0" w:hanging="360"/>
        <w:jc w:val="both"/>
        <w:rPr/>
      </w:pPr>
      <w:r>
        <w:rPr>
          <w:color w:val="000000"/>
        </w:rPr>
        <w:t>•</w:t>
      </w:r>
      <w:r>
        <w:rPr>
          <w:rFonts w:ascii="Lato;sans-serif" w:hAnsi="Lato;sans-serif"/>
          <w:b w:val="false"/>
          <w:color w:val="000000"/>
          <w:sz w:val="18"/>
        </w:rPr>
        <w:t>appointing, compensating, retaining and overseeing the work of our independent registered public accounting firm and any other registered public accounting firm engaged for the purpose of preparing or issuing an audit report or related work or performing other audit, review or attest services for us;</w:t>
      </w:r>
    </w:p>
    <w:p>
      <w:pPr>
        <w:pStyle w:val="TextBody"/>
        <w:bidi w:val="0"/>
        <w:spacing w:lineRule="auto" w:line="312" w:before="80" w:after="160"/>
        <w:ind w:left="0" w:right="0" w:hanging="360"/>
        <w:jc w:val="both"/>
        <w:rPr/>
      </w:pPr>
      <w:r>
        <w:rPr>
          <w:color w:val="000000"/>
        </w:rPr>
        <w:t>•</w:t>
      </w:r>
      <w:r>
        <w:rPr>
          <w:rFonts w:ascii="Lato;sans-serif" w:hAnsi="Lato;sans-serif"/>
          <w:b w:val="false"/>
          <w:color w:val="000000"/>
          <w:sz w:val="18"/>
        </w:rPr>
        <w:t>discussing with our independent registered public accounting firm any audit problems or difficulties and management’s response;</w:t>
      </w:r>
    </w:p>
    <w:p>
      <w:pPr>
        <w:pStyle w:val="TextBody"/>
        <w:bidi w:val="0"/>
        <w:spacing w:lineRule="auto" w:line="312" w:before="80" w:after="160"/>
        <w:ind w:left="0" w:right="0" w:hanging="360"/>
        <w:jc w:val="both"/>
        <w:rPr/>
      </w:pPr>
      <w:r>
        <w:rPr>
          <w:color w:val="000000"/>
        </w:rPr>
        <w:t>•</w:t>
      </w:r>
      <w:r>
        <w:rPr>
          <w:rFonts w:ascii="Lato;sans-serif" w:hAnsi="Lato;sans-serif"/>
          <w:b w:val="false"/>
          <w:color w:val="000000"/>
          <w:sz w:val="18"/>
        </w:rPr>
        <w:t>pre-approving all audit and non-audit services provided to us by our independent registered public accounting firm (other than those provided pursuant to appropriate preapproval policies established by the Audit Committee or exempt from such requirement under the rules of the SEC);</w:t>
      </w:r>
    </w:p>
    <w:p>
      <w:pPr>
        <w:pStyle w:val="TextBody"/>
        <w:bidi w:val="0"/>
        <w:spacing w:lineRule="auto" w:line="312" w:before="80" w:after="160"/>
        <w:ind w:left="0" w:right="0" w:hanging="360"/>
        <w:jc w:val="both"/>
        <w:rPr/>
      </w:pPr>
      <w:r>
        <w:rPr>
          <w:color w:val="000000"/>
        </w:rPr>
        <w:t>•</w:t>
      </w:r>
      <w:r>
        <w:rPr>
          <w:rFonts w:ascii="Lato;sans-serif" w:hAnsi="Lato;sans-serif"/>
          <w:b w:val="false"/>
          <w:color w:val="000000"/>
          <w:sz w:val="18"/>
        </w:rPr>
        <w:t>reviewing and discussing our annual and quarterly financial statements with management and our independent registered public accounting firm;</w:t>
      </w:r>
    </w:p>
    <w:p>
      <w:pPr>
        <w:pStyle w:val="TextBody"/>
        <w:bidi w:val="0"/>
        <w:spacing w:lineRule="auto" w:line="312" w:before="80" w:after="160"/>
        <w:ind w:left="0" w:right="0" w:hanging="360"/>
        <w:jc w:val="both"/>
        <w:rPr/>
      </w:pPr>
      <w:r>
        <w:rPr>
          <w:color w:val="000000"/>
        </w:rPr>
        <w:t>•</w:t>
      </w:r>
      <w:r>
        <w:rPr>
          <w:rFonts w:ascii="Lato;sans-serif" w:hAnsi="Lato;sans-serif"/>
          <w:b w:val="false"/>
          <w:color w:val="000000"/>
          <w:sz w:val="18"/>
        </w:rPr>
        <w:t xml:space="preserve">discussing our risk management policies; </w:t>
      </w:r>
    </w:p>
    <w:p>
      <w:pPr>
        <w:pStyle w:val="TextBody"/>
        <w:bidi w:val="0"/>
        <w:spacing w:lineRule="auto" w:line="312" w:before="80" w:after="160"/>
        <w:ind w:left="0" w:right="0" w:hanging="360"/>
        <w:jc w:val="both"/>
        <w:rPr/>
      </w:pPr>
      <w:r>
        <w:rPr>
          <w:color w:val="000000"/>
        </w:rPr>
        <w:t>•</w:t>
      </w:r>
      <w:r>
        <w:rPr>
          <w:rFonts w:ascii="Lato;sans-serif" w:hAnsi="Lato;sans-serif"/>
          <w:b w:val="false"/>
          <w:color w:val="000000"/>
          <w:sz w:val="18"/>
        </w:rPr>
        <w:t>establishing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w:t>
      </w:r>
    </w:p>
    <w:p>
      <w:pPr>
        <w:pStyle w:val="TextBody"/>
        <w:bidi w:val="0"/>
        <w:spacing w:lineRule="auto" w:line="312" w:before="80" w:after="160"/>
        <w:ind w:left="0" w:right="0" w:hanging="360"/>
        <w:jc w:val="both"/>
        <w:rPr/>
      </w:pPr>
      <w:r>
        <w:rPr>
          <w:color w:val="000000"/>
        </w:rPr>
        <w:t>•</w:t>
      </w:r>
      <w:r>
        <w:rPr>
          <w:rFonts w:ascii="Lato;sans-serif" w:hAnsi="Lato;sans-serif"/>
          <w:b w:val="false"/>
          <w:color w:val="000000"/>
          <w:sz w:val="18"/>
        </w:rPr>
        <w:t>preparing the Audit Committee report required by SEC rules.</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Our Audit Committee consists of William J. Liquori, Michael Blitzer and Robert L. Masson with Mr. Masson serving as Chair. All members of our Audit Committee meet the requirements for financial literacy under the applicable Nasdaq rules and regulations. Our Board has affirmatively determined that each member of our Audit Committee qualifies as “independent” under Nasdaq’s additional standards applicable to Audit Committee members and Rule 10A-3 of the Securities Exchange Act of 1934 (as amended, the “Exchange Act”) applicable to Audit Committee members. In addition, our Board has determined that Michael Blitzer qualifies as an “audit committee financial expert,” as such term is defined in Item 407(d)(5) of Regulation S-K.</w:t>
      </w:r>
    </w:p>
    <w:tbl>
      <w:tblPr>
        <w:tblW w:w="3690" w:type="dxa"/>
        <w:jc w:val="left"/>
        <w:tblInd w:w="0" w:type="dxa"/>
        <w:tblLayout w:type="fixed"/>
        <w:tblCellMar>
          <w:top w:w="28" w:type="dxa"/>
          <w:left w:w="28" w:type="dxa"/>
          <w:bottom w:w="28" w:type="dxa"/>
          <w:right w:w="28" w:type="dxa"/>
        </w:tblCellMar>
      </w:tblPr>
      <w:tblGrid>
        <w:gridCol w:w="1182"/>
        <w:gridCol w:w="1038"/>
        <w:gridCol w:w="1470"/>
      </w:tblGrid>
      <w:tr>
        <w:trPr/>
        <w:tc>
          <w:tcPr>
            <w:tcW w:w="1182"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0" w:after="283"/>
              <w:jc w:val="left"/>
              <w:rPr>
                <w:rFonts w:ascii="Lato Black;sans-serif" w:hAnsi="Lato Black;sans-serif"/>
                <w:b/>
                <w:color w:val="005CB9"/>
                <w:sz w:val="24"/>
              </w:rPr>
            </w:pPr>
            <w:r>
              <w:rPr>
                <w:rFonts w:ascii="Lato Black;sans-serif" w:hAnsi="Lato Black;sans-serif"/>
                <w:b/>
                <w:color w:val="005CB9"/>
                <w:sz w:val="24"/>
              </w:rPr>
              <w:t>Compensation Committee</w:t>
            </w:r>
          </w:p>
        </w:tc>
      </w:tr>
    </w:tbl>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Our Compensation Committee is responsible for, among other things:</w:t>
      </w:r>
    </w:p>
    <w:p>
      <w:pPr>
        <w:pStyle w:val="TextBody"/>
        <w:bidi w:val="0"/>
        <w:spacing w:lineRule="auto" w:line="312" w:before="80" w:after="80"/>
        <w:ind w:left="0" w:right="0" w:hanging="360"/>
        <w:jc w:val="both"/>
        <w:rPr/>
      </w:pPr>
      <w:r>
        <w:rPr>
          <w:color w:val="000000"/>
        </w:rPr>
        <w:t>•</w:t>
      </w:r>
      <w:r>
        <w:rPr>
          <w:rFonts w:ascii="Lato;sans-serif" w:hAnsi="Lato;sans-serif"/>
          <w:b w:val="false"/>
          <w:color w:val="000000"/>
          <w:sz w:val="18"/>
        </w:rPr>
        <w:t>reviewing corporate goals and objectives with respect to the compensation of our Chief Executive Officer, evaluating our Chief Executive Officer’s performance in light of these goals and objectives and setting our Chief Executive Officer’s compensation;</w:t>
      </w:r>
    </w:p>
    <w:p>
      <w:pPr>
        <w:pStyle w:val="TextBody"/>
        <w:bidi w:val="0"/>
        <w:spacing w:lineRule="auto" w:line="312" w:before="80" w:after="80"/>
        <w:ind w:left="0" w:right="0" w:hanging="360"/>
        <w:jc w:val="both"/>
        <w:rPr/>
      </w:pPr>
      <w:r>
        <w:rPr>
          <w:color w:val="000000"/>
        </w:rPr>
        <w:t>•</w:t>
      </w:r>
      <w:r>
        <w:rPr>
          <w:rFonts w:ascii="Lato;sans-serif" w:hAnsi="Lato;sans-serif"/>
          <w:b w:val="false"/>
          <w:color w:val="000000"/>
          <w:sz w:val="18"/>
        </w:rPr>
        <w:t>reviewing or making recommendations to our Board regarding the compensation of our other executive officers;</w:t>
      </w:r>
    </w:p>
    <w:p>
      <w:pPr>
        <w:pStyle w:val="TextBody"/>
        <w:bidi w:val="0"/>
        <w:spacing w:lineRule="auto" w:line="312" w:before="80" w:after="80"/>
        <w:ind w:left="0" w:right="0" w:hanging="360"/>
        <w:jc w:val="both"/>
        <w:rPr/>
      </w:pPr>
      <w:r>
        <w:rPr>
          <w:color w:val="000000"/>
        </w:rPr>
        <w:t>•</w:t>
      </w:r>
      <w:r>
        <w:rPr>
          <w:rFonts w:ascii="Lato;sans-serif" w:hAnsi="Lato;sans-serif"/>
          <w:b w:val="false"/>
          <w:color w:val="000000"/>
          <w:sz w:val="18"/>
        </w:rPr>
        <w:t>reviewing and making recommendations to our Board regarding director compensation;</w:t>
      </w:r>
    </w:p>
    <w:p>
      <w:pPr>
        <w:pStyle w:val="TextBody"/>
        <w:bidi w:val="0"/>
        <w:spacing w:lineRule="auto" w:line="312" w:before="80" w:after="80"/>
        <w:ind w:left="0" w:right="0" w:hanging="360"/>
        <w:jc w:val="both"/>
        <w:rPr/>
      </w:pPr>
      <w:r>
        <w:rPr>
          <w:color w:val="000000"/>
        </w:rPr>
        <w:t>•</w:t>
      </w:r>
      <w:r>
        <w:rPr>
          <w:rFonts w:ascii="Lato;sans-serif" w:hAnsi="Lato;sans-serif"/>
          <w:b w:val="false"/>
          <w:color w:val="000000"/>
          <w:sz w:val="18"/>
        </w:rPr>
        <w:t>reviewing and making recommendations to our Board regarding our incentive compensation and equity-based plans and arrangements;</w:t>
      </w:r>
    </w:p>
    <w:p>
      <w:pPr>
        <w:pStyle w:val="TextBody"/>
        <w:bidi w:val="0"/>
        <w:spacing w:lineRule="auto" w:line="312" w:before="80" w:after="80"/>
        <w:ind w:left="0" w:right="0" w:hanging="360"/>
        <w:jc w:val="both"/>
        <w:rPr/>
      </w:pPr>
      <w:r>
        <w:rPr>
          <w:color w:val="000000"/>
        </w:rPr>
        <w:t>•</w:t>
      </w:r>
      <w:r>
        <w:rPr>
          <w:rFonts w:ascii="Lato;sans-serif" w:hAnsi="Lato;sans-serif"/>
          <w:b w:val="false"/>
          <w:color w:val="000000"/>
          <w:sz w:val="18"/>
        </w:rPr>
        <w:t>appointing and overseeing any compensation consultants;</w:t>
      </w:r>
    </w:p>
    <w:p>
      <w:pPr>
        <w:pStyle w:val="TextBody"/>
        <w:bidi w:val="0"/>
        <w:spacing w:lineRule="auto" w:line="312" w:before="80" w:after="80"/>
        <w:ind w:left="0" w:right="0" w:hanging="360"/>
        <w:jc w:val="both"/>
        <w:rPr/>
      </w:pPr>
      <w:r>
        <w:rPr>
          <w:color w:val="000000"/>
        </w:rPr>
        <w:t>•</w:t>
      </w:r>
      <w:r>
        <w:rPr>
          <w:rFonts w:ascii="Lato;sans-serif" w:hAnsi="Lato;sans-serif"/>
          <w:b w:val="false"/>
          <w:color w:val="000000"/>
          <w:sz w:val="18"/>
        </w:rPr>
        <w:t>reviewing and discussing annually with management our “Compensation Discussion and Analysis,” to the extent required; and</w:t>
      </w:r>
    </w:p>
    <w:p>
      <w:pPr>
        <w:pStyle w:val="TextBody"/>
        <w:bidi w:val="0"/>
        <w:spacing w:lineRule="auto" w:line="312" w:before="80" w:after="80"/>
        <w:ind w:left="0" w:right="0" w:hanging="360"/>
        <w:jc w:val="both"/>
        <w:rPr/>
      </w:pPr>
      <w:r>
        <w:rPr>
          <w:color w:val="000000"/>
        </w:rPr>
        <w:t>•</w:t>
      </w:r>
      <w:r>
        <w:rPr>
          <w:rFonts w:ascii="Lato;sans-serif" w:hAnsi="Lato;sans-serif"/>
          <w:b w:val="false"/>
          <w:color w:val="000000"/>
          <w:sz w:val="18"/>
        </w:rPr>
        <w:t>preparing the annual Compensation Committee report required by SEC rules, to the extent required.</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Our Compensation Committee consists of Robert Masson and Michael Blitzer with Mr. Blitzer serving as Chair. Our Board has determined that Robert Masson and Michael Blitzer qualify as “independent” under Nasdaq’s additional standards applicable to Compensation Committee members and each member of the Compensation Committee is a “non-employee director” as defined in Rule 16b-3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40410"/>
                <wp:effectExtent l="0" t="0" r="0" b="0"/>
                <wp:wrapNone/>
                <wp:docPr id="21" name="Frame1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 xml:space="preserve">Corporate Governance </w:t>
      </w:r>
    </w:p>
    <w:tbl>
      <w:tblPr>
        <w:tblW w:w="7020" w:type="dxa"/>
        <w:jc w:val="left"/>
        <w:tblInd w:w="0" w:type="dxa"/>
        <w:tblLayout w:type="fixed"/>
        <w:tblCellMar>
          <w:top w:w="28" w:type="dxa"/>
          <w:left w:w="28" w:type="dxa"/>
          <w:bottom w:w="28" w:type="dxa"/>
          <w:right w:w="28" w:type="dxa"/>
        </w:tblCellMar>
      </w:tblPr>
      <w:tblGrid>
        <w:gridCol w:w="2247"/>
        <w:gridCol w:w="1975"/>
        <w:gridCol w:w="2798"/>
      </w:tblGrid>
      <w:tr>
        <w:trPr/>
        <w:tc>
          <w:tcPr>
            <w:tcW w:w="2247"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0" w:after="283"/>
              <w:jc w:val="left"/>
              <w:rPr>
                <w:rFonts w:ascii="Lato Black;sans-serif" w:hAnsi="Lato Black;sans-serif"/>
                <w:b/>
                <w:color w:val="005CB9"/>
                <w:sz w:val="24"/>
              </w:rPr>
            </w:pPr>
            <w:r>
              <w:rPr>
                <w:rFonts w:ascii="Lato Black;sans-serif" w:hAnsi="Lato Black;sans-serif"/>
                <w:b/>
                <w:color w:val="005CB9"/>
                <w:sz w:val="24"/>
              </w:rPr>
              <w:t>Nominating and Corporate Governance Committee</w:t>
            </w:r>
          </w:p>
        </w:tc>
      </w:tr>
    </w:tbl>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Our Nominating and Corporate Governance Committee is responsible for, among other things:</w:t>
      </w:r>
    </w:p>
    <w:p>
      <w:pPr>
        <w:pStyle w:val="TextBody"/>
        <w:bidi w:val="0"/>
        <w:spacing w:lineRule="auto" w:line="312" w:before="80" w:after="80"/>
        <w:ind w:left="0" w:right="0" w:hanging="360"/>
        <w:jc w:val="both"/>
        <w:rPr/>
      </w:pPr>
      <w:r>
        <w:rPr>
          <w:color w:val="000000"/>
        </w:rPr>
        <w:t>•</w:t>
      </w:r>
      <w:r>
        <w:rPr>
          <w:rFonts w:ascii="Lato;sans-serif" w:hAnsi="Lato;sans-serif"/>
          <w:b w:val="false"/>
          <w:color w:val="000000"/>
          <w:sz w:val="18"/>
        </w:rPr>
        <w:t>identifying individuals qualified to become members of our Board and ensure our Board has the requisite expertise and consists of persons with sufficiently diverse and independent backgrounds;</w:t>
      </w:r>
    </w:p>
    <w:p>
      <w:pPr>
        <w:pStyle w:val="TextBody"/>
        <w:bidi w:val="0"/>
        <w:spacing w:lineRule="auto" w:line="312" w:before="80" w:after="80"/>
        <w:ind w:left="0" w:right="0" w:hanging="360"/>
        <w:jc w:val="both"/>
        <w:rPr/>
      </w:pPr>
      <w:r>
        <w:rPr>
          <w:color w:val="000000"/>
        </w:rPr>
        <w:t>•</w:t>
      </w:r>
      <w:r>
        <w:rPr>
          <w:rFonts w:ascii="Lato;sans-serif" w:hAnsi="Lato;sans-serif"/>
          <w:b w:val="false"/>
          <w:color w:val="000000"/>
          <w:sz w:val="18"/>
        </w:rPr>
        <w:t>recommending to our Board the persons to be nominated for election as directors and to each committee of our Board;</w:t>
      </w:r>
    </w:p>
    <w:p>
      <w:pPr>
        <w:pStyle w:val="TextBody"/>
        <w:bidi w:val="0"/>
        <w:spacing w:lineRule="auto" w:line="312" w:before="80" w:after="80"/>
        <w:ind w:left="0" w:right="0" w:hanging="360"/>
        <w:jc w:val="both"/>
        <w:rPr/>
      </w:pPr>
      <w:r>
        <w:rPr>
          <w:color w:val="000000"/>
        </w:rPr>
        <w:t>•</w:t>
      </w:r>
      <w:r>
        <w:rPr>
          <w:rFonts w:ascii="Lato;sans-serif" w:hAnsi="Lato;sans-serif"/>
          <w:b w:val="false"/>
          <w:color w:val="000000"/>
          <w:sz w:val="18"/>
        </w:rPr>
        <w:t>developing and recommending to our Board corporate governance guidelines, and reviewing and recommending to our Board proposed changes to our corporate governance guidelines from time to time; and</w:t>
      </w:r>
    </w:p>
    <w:p>
      <w:pPr>
        <w:pStyle w:val="TextBody"/>
        <w:bidi w:val="0"/>
        <w:spacing w:lineRule="auto" w:line="312" w:before="80" w:after="80"/>
        <w:ind w:left="0" w:right="0" w:hanging="360"/>
        <w:jc w:val="both"/>
        <w:rPr/>
      </w:pPr>
      <w:r>
        <w:rPr>
          <w:color w:val="000000"/>
        </w:rPr>
        <w:t>•</w:t>
      </w:r>
      <w:r>
        <w:rPr>
          <w:rFonts w:ascii="Lato;sans-serif" w:hAnsi="Lato;sans-serif"/>
          <w:b w:val="false"/>
          <w:color w:val="000000"/>
          <w:sz w:val="18"/>
        </w:rPr>
        <w:t>overseeing the annual evaluations of our Board and its committees.</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 xml:space="preserve">The Nominating and Corporate Governance Committee follow the criteria set forth in the Company's Corporate Governance Guidelines and described above when selecting individuals qualified to become members of the Board. </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Our Nominating and Corporate Governance Committee consists of Michael Blitzer, William J. Liquori and Nicole Seligman with Nicole Seligman serving as Chair. The Board has determined that each of the members of our Nominating and Corporate Governance Committee qualify as “independent” under Nasdaq rules applicable to Nominating and Corporate Governance Committee members.</w:t>
      </w:r>
    </w:p>
    <w:tbl>
      <w:tblPr>
        <w:tblW w:w="2925" w:type="dxa"/>
        <w:jc w:val="left"/>
        <w:tblInd w:w="0" w:type="dxa"/>
        <w:tblLayout w:type="fixed"/>
        <w:tblCellMar>
          <w:top w:w="28" w:type="dxa"/>
          <w:left w:w="28" w:type="dxa"/>
          <w:bottom w:w="28" w:type="dxa"/>
          <w:right w:w="28" w:type="dxa"/>
        </w:tblCellMar>
      </w:tblPr>
      <w:tblGrid>
        <w:gridCol w:w="936"/>
        <w:gridCol w:w="823"/>
        <w:gridCol w:w="1166"/>
      </w:tblGrid>
      <w:tr>
        <w:trPr/>
        <w:tc>
          <w:tcPr>
            <w:tcW w:w="93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0" w:after="283"/>
              <w:jc w:val="left"/>
              <w:rPr>
                <w:rFonts w:ascii="Lato Black;sans-serif" w:hAnsi="Lato Black;sans-serif"/>
                <w:b/>
                <w:color w:val="005CB9"/>
                <w:sz w:val="24"/>
              </w:rPr>
            </w:pPr>
            <w:r>
              <w:rPr>
                <w:rFonts w:ascii="Lato Black;sans-serif" w:hAnsi="Lato Black;sans-serif"/>
                <w:b/>
                <w:color w:val="005CB9"/>
                <w:sz w:val="24"/>
              </w:rPr>
              <w:t>Conflicts Committee</w:t>
            </w:r>
          </w:p>
        </w:tc>
      </w:tr>
    </w:tbl>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Our Conflicts Committee is responsible for, among other things:</w:t>
      </w:r>
    </w:p>
    <w:p>
      <w:pPr>
        <w:pStyle w:val="TextBody"/>
        <w:bidi w:val="0"/>
        <w:spacing w:lineRule="auto" w:line="312" w:before="80" w:after="80"/>
        <w:ind w:left="0" w:right="0" w:hanging="360"/>
        <w:jc w:val="both"/>
        <w:rPr/>
      </w:pPr>
      <w:r>
        <w:rPr>
          <w:color w:val="000000"/>
        </w:rPr>
        <w:t>•</w:t>
      </w:r>
      <w:r>
        <w:rPr>
          <w:rFonts w:ascii="Lato;sans-serif" w:hAnsi="Lato;sans-serif"/>
          <w:b w:val="false"/>
          <w:color w:val="000000"/>
          <w:sz w:val="18"/>
        </w:rPr>
        <w:t>reviewing and approving business matters in which the interests of the Company or its subsidiaries may conflict or be competitive or appear to conflict or be competitive with the interests of IBX or any other IBX affiliate or any director or any of such director’s affiliates; and</w:t>
      </w:r>
    </w:p>
    <w:p>
      <w:pPr>
        <w:pStyle w:val="TextBody"/>
        <w:bidi w:val="0"/>
        <w:spacing w:lineRule="auto" w:line="312" w:before="80" w:after="80"/>
        <w:ind w:left="0" w:right="0" w:hanging="360"/>
        <w:jc w:val="both"/>
        <w:rPr/>
      </w:pPr>
      <w:r>
        <w:rPr>
          <w:color w:val="000000"/>
        </w:rPr>
        <w:t>•</w:t>
      </w:r>
      <w:r>
        <w:rPr>
          <w:rFonts w:ascii="Lato;sans-serif" w:hAnsi="Lato;sans-serif"/>
          <w:b w:val="false"/>
          <w:color w:val="000000"/>
          <w:sz w:val="18"/>
        </w:rPr>
        <w:t>reviewing and approving or ratifying any related person transactions.</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 xml:space="preserve">Our Conflicts Committee consists of Michael Blitzer, William J. Liquori, Robert L. Masson and Nicole Seligman with William J. Liquori serving as Chair.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120"/>
        <w:jc w:val="left"/>
        <w:rPr>
          <w:rFonts w:ascii="Lato;sans-serif" w:hAnsi="Lato;sans-serif"/>
          <w:b/>
          <w:color w:val="000000"/>
          <w:sz w:val="24"/>
        </w:rPr>
      </w:pPr>
      <w:r>
        <w:rPr>
          <w:rFonts w:ascii="Lato;sans-serif" w:hAnsi="Lato;sans-serif"/>
          <w:b/>
          <w:color w:val="000000"/>
          <w:sz w:val="24"/>
        </w:rPr>
        <w:t>Code of Business Conduct and Ethics</w:t>
      </w:r>
    </w:p>
    <w:p>
      <w:pPr>
        <w:pStyle w:val="TextBody"/>
        <w:bidi w:val="0"/>
        <w:spacing w:lineRule="auto" w:line="312" w:before="120" w:after="283"/>
        <w:jc w:val="both"/>
        <w:rPr/>
      </w:pPr>
      <w:r>
        <w:rPr>
          <w:rFonts w:ascii="Lato;sans-serif" w:hAnsi="Lato;sans-serif"/>
          <w:b w:val="false"/>
          <w:color w:val="000000"/>
          <w:sz w:val="18"/>
        </w:rPr>
        <w:t xml:space="preserve">Our Board has adopted our Code of Business Conduct and Ethics, which applies to all of our executive officers, directors and employees, including our principal executive officer, our principal financial officer, principal accounting officer or controller or persons performing similar functions. Our Code of Business Conduct and Ethics is available on our website at </w:t>
      </w:r>
      <w:r>
        <w:rPr>
          <w:rFonts w:ascii="Lato;sans-serif" w:hAnsi="Lato;sans-serif"/>
          <w:b w:val="false"/>
          <w:color w:val="005CB9"/>
          <w:sz w:val="18"/>
        </w:rPr>
        <w:t>https://investors.intuitivemachines.com/</w:t>
      </w:r>
      <w:r>
        <w:rPr>
          <w:color w:val="000000"/>
        </w:rPr>
        <w:t xml:space="preserve"> </w:t>
      </w:r>
      <w:r>
        <w:rPr>
          <w:rFonts w:ascii="Lato;sans-serif" w:hAnsi="Lato;sans-serif"/>
          <w:b w:val="false"/>
          <w:color w:val="000000"/>
          <w:sz w:val="18"/>
        </w:rPr>
        <w:t xml:space="preserve">under the "Corporate Governance" section. </w:t>
      </w:r>
    </w:p>
    <w:p>
      <w:pPr>
        <w:pStyle w:val="TextBody"/>
        <w:bidi w:val="0"/>
        <w:spacing w:before="0" w:after="0"/>
        <w:jc w:val="both"/>
        <w:rPr/>
      </w:pPr>
      <w:r>
        <w:rPr/>
      </w:r>
    </w:p>
    <w:p>
      <w:pPr>
        <w:pStyle w:val="TextBody"/>
        <w:bidi w:val="0"/>
        <w:spacing w:lineRule="auto" w:line="312" w:before="0" w:after="0"/>
        <w:jc w:val="both"/>
        <w:rPr>
          <w:rFonts w:ascii="Lato;sans-serif" w:hAnsi="Lato;sans-serif"/>
          <w:b w:val="false"/>
          <w:color w:val="000000"/>
          <w:sz w:val="18"/>
        </w:rPr>
      </w:pPr>
      <w:r>
        <w:rPr>
          <w:rFonts w:ascii="Lato;sans-serif" w:hAnsi="Lato;sans-serif"/>
          <w:b w:val="false"/>
          <w:color w:val="000000"/>
          <w:sz w:val="18"/>
        </w:rPr>
        <w:t>We intend to make any legally required disclosures regarding amendments to, or waivers of, provisions of our Code of Business Conduct and Ethics on our website rather than by filing a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120"/>
        <w:jc w:val="left"/>
        <w:rPr>
          <w:rFonts w:ascii="Lato;sans-serif" w:hAnsi="Lato;sans-serif"/>
          <w:b/>
          <w:color w:val="000000"/>
          <w:sz w:val="24"/>
        </w:rPr>
      </w:pPr>
      <w:r>
        <w:rPr>
          <w:rFonts w:ascii="Lato;sans-serif" w:hAnsi="Lato;sans-serif"/>
          <w:b/>
          <w:color w:val="000000"/>
          <w:sz w:val="24"/>
        </w:rPr>
        <w:t>Compensation Committee Interlocks and Insider Participation</w:t>
      </w:r>
    </w:p>
    <w:p>
      <w:pPr>
        <w:pStyle w:val="TextBody"/>
        <w:bidi w:val="0"/>
        <w:spacing w:lineRule="auto" w:line="312" w:before="120" w:after="283"/>
        <w:jc w:val="both"/>
        <w:rPr>
          <w:rFonts w:ascii="Lato;sans-serif" w:hAnsi="Lato;sans-serif"/>
          <w:b w:val="false"/>
          <w:color w:val="000000"/>
          <w:sz w:val="18"/>
        </w:rPr>
      </w:pPr>
      <w:r>
        <w:rPr>
          <w:rFonts w:ascii="Lato;sans-serif" w:hAnsi="Lato;sans-serif"/>
          <w:b w:val="false"/>
          <w:color w:val="000000"/>
          <w:sz w:val="18"/>
        </w:rPr>
        <w:t>No member of the Compensation Committee was at any time during fiscal year 2024, or at any other time, one of our officers or employees. None of our executive officers has served as a director or member of a Compensation Committee (or other committee serving an equivalent function) of any entity, one of whose executive officers served as a director of our Board or member of our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160"/>
        <w:jc w:val="left"/>
        <w:rPr>
          <w:rFonts w:ascii="Lato;sans-serif" w:hAnsi="Lato;sans-serif"/>
          <w:b/>
          <w:color w:val="000000"/>
          <w:sz w:val="24"/>
        </w:rPr>
      </w:pPr>
      <w:r>
        <w:rPr>
          <w:rFonts w:ascii="Lato;sans-serif" w:hAnsi="Lato;sans-serif"/>
          <w:b/>
          <w:color w:val="000000"/>
          <w:sz w:val="24"/>
        </w:rPr>
        <w:t>Communications with the Board of Directors</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Interested parties may communicate with our Board or with an individual director by writing to our Board or to the particular director and mailing the correspondence to: Intuitive Machines, Inc., 13467 Columbia Shuttle Street, Houston, TX 77059, Attention: Corporate Secretary. The Corporate Secretary will promptly relay to the addressee all communications that he determines require prompt attention and will regularly provide our Board with a summary of all substantive communications.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40410"/>
                <wp:effectExtent l="0" t="0" r="0" b="0"/>
                <wp:wrapNone/>
                <wp:docPr id="22" name="Frame1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Corporate Governance </w:t>
      </w:r>
    </w:p>
    <w:p>
      <w:pPr>
        <w:pStyle w:val="TextBody"/>
        <w:bidi w:val="0"/>
        <w:spacing w:lineRule="auto" w:line="312" w:before="380" w:after="160"/>
        <w:jc w:val="left"/>
        <w:rPr>
          <w:rFonts w:ascii="Lato;sans-serif" w:hAnsi="Lato;sans-serif"/>
          <w:b/>
          <w:color w:val="000000"/>
          <w:sz w:val="24"/>
        </w:rPr>
      </w:pPr>
      <w:r>
        <w:rPr>
          <w:rFonts w:ascii="Lato;sans-serif" w:hAnsi="Lato;sans-serif"/>
          <w:b/>
          <w:color w:val="000000"/>
          <w:sz w:val="24"/>
        </w:rPr>
        <w:t xml:space="preserve">Certain Relationships and Related Person Transactions </w:t>
      </w:r>
    </w:p>
    <w:p>
      <w:pPr>
        <w:pStyle w:val="TextBody"/>
        <w:bidi w:val="0"/>
        <w:spacing w:lineRule="auto" w:line="312" w:before="160" w:after="160"/>
        <w:jc w:val="both"/>
        <w:rPr>
          <w:rFonts w:ascii="Lato Black;sans-serif" w:hAnsi="Lato Black;sans-serif"/>
          <w:b w:val="false"/>
          <w:i/>
          <w:color w:val="000000"/>
          <w:sz w:val="18"/>
        </w:rPr>
      </w:pPr>
      <w:r>
        <w:rPr>
          <w:rFonts w:ascii="Lato Black;sans-serif" w:hAnsi="Lato Black;sans-serif"/>
          <w:b w:val="false"/>
          <w:i/>
          <w:color w:val="000000"/>
          <w:sz w:val="18"/>
        </w:rPr>
        <w:t>Our Relationship with Ghaffarian Enterprises, LLC</w:t>
      </w:r>
    </w:p>
    <w:p>
      <w:pPr>
        <w:pStyle w:val="TextBody"/>
        <w:bidi w:val="0"/>
        <w:spacing w:lineRule="auto" w:line="312" w:before="120" w:after="160"/>
        <w:jc w:val="both"/>
        <w:rPr>
          <w:rFonts w:ascii="Lato;sans-serif" w:hAnsi="Lato;sans-serif"/>
          <w:b w:val="false"/>
          <w:color w:val="000000"/>
          <w:sz w:val="18"/>
        </w:rPr>
      </w:pPr>
      <w:r>
        <w:rPr>
          <w:rFonts w:ascii="Lato;sans-serif" w:hAnsi="Lato;sans-serif"/>
          <w:b w:val="false"/>
          <w:color w:val="000000"/>
          <w:sz w:val="18"/>
        </w:rPr>
        <w:t>On January 10, 2024, Intuitive Machines, LLC (“Intuitive Machines OpCo”), a subsidiary of Intuitive Machines, Inc., entered into the Loan Documentation with Pershing, LLC (the "Lender). The Loan Documentation included the Credit Support Guarantees by the Ghaffarian Enterprises, LLC, an affiliate of Dr. Kamal Ghaffarian (the "Guarantor") and documentation by which the Guarantor supported such Credit Support Guarantees with collateral including marketable securities, in each case in favor of the Lender for the benefit of Intuitive Machines OpCo.</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On January 28, 2024, the Company, Intuitive Machines OpCo and the Guarantor entered into the Letter Agreement pursuant to which, on January 29, 2024: (i) the Guarantor contributed $10.0 million to the Company and Intuitive Machines OpCo for purposes of repaying the Repayment Obligation, in exchange for which (x) the Company issued to the Guarantor the Conversion Shares and the Conversion Warrants and (y) Intuitive Machines OpCo issued to the Guarantor the OpCo Conversion Warrants. Following the Contribution, the Company contributed $10.0 million to Intuitive Machines OpCo for purposes of repaying the Repayment Obligations, in exchange for which Intuitive Machines OpCo issued to the Company the Conversion Units and the OpCo Mirror Warrants. Following the OpCo Contribution, Intuitive Machines OpCo caused the Repayment Obligation and all other amounts required to be paid to the Lender in satisfaction of the Credit Line to be repaid in full.</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Pursuant to the Letter Agreement, the Guarantor agreed to make the Contribution. In exchange for the Contribution, (i) Intuitive Machines OpCo agreed to issue to the Guarantor, pursuant to Section 4(a)(2) of the Securities Act, (A) the OpCo Series A Warrant, which OpCo Series A Warrant will only be exercisable if, when and to the extent that the Conversion Series A Warrant is exercised by the holder thereof for shares of Class C Common Stock, with an exercise price per unit equal to $2.57 and an expiration date of January 29, 2029, and (B) OpCo Series B Warrant, which OpCo Series B Warrant will only be exercisable if, when and to the extent that the Conversion Series B Warrant is exercised by the holder thereof for shares of Class C Common Stock, with an exercise price per unit equal to $2.57 and an expiration date of July 29, 2025, and (ii) the Company agreed to issue to the Guarantor, pursuant to Section 4(a)(2) of the Securities Act, (A) the Conversion Shares and (B) (1) the Conversion Series A Warrant, which Conversion Series A Warrant is immediately exercisable and an expiration date of January 29, 2029, and (2) the Conversion Series B Warrant, which Series B Warrant is immediately exercisable and has an expiration date of July 29, 2025.</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The Company further agreed that, immediately following the Conversion Transactions, the Company would contribute the OpCo Contribution in exchange for (i) the Conversion Units, (ii) the OpCo Series A Mirror Warrant, which OpCo Series A Mirror Warrant will only be exercisable if, when and to the extent that the Conversion Series A Warrant is exercised by the holder of the Conversion Series A Warrant for shares of Class A Common Stock, with an exercise price per unit equal to $2.57 and an expiration date of January 29, 2029, and (iii) the OpCo Series B Mirror Warrant, which OpCo Series B Mirror Warrant will only be exercisable if, when and to the extent that the Conversion Series B Warrant is exercised by the holder of the Conversion Series B Warrant for shares of Class A Common Stock, with an exercise price per unit equal to $2.57 and an expiration date of July 25, 2025.</w:t>
      </w:r>
    </w:p>
    <w:p>
      <w:pPr>
        <w:pStyle w:val="TextBody"/>
        <w:bidi w:val="0"/>
        <w:spacing w:lineRule="auto" w:line="312" w:before="240" w:after="160"/>
        <w:jc w:val="left"/>
        <w:rPr>
          <w:rFonts w:ascii="Lato Black;sans-serif" w:hAnsi="Lato Black;sans-serif"/>
          <w:b w:val="false"/>
          <w:i/>
          <w:color w:val="000000"/>
          <w:sz w:val="18"/>
        </w:rPr>
      </w:pPr>
      <w:r>
        <w:rPr>
          <w:rFonts w:ascii="Lato Black;sans-serif" w:hAnsi="Lato Black;sans-serif"/>
          <w:b w:val="false"/>
          <w:i/>
          <w:color w:val="000000"/>
          <w:sz w:val="18"/>
        </w:rPr>
        <w:t>Our Relationship with Axiom Space, Inc.</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Dr. Kamal Ghaffarian is a co-founder and Executive Chairman of Axiom Space, Inc. (“Axiom”). Axiom Space uses our services in the ordinary course of its space infrastructure development activities. As such, revenues related to Axiom are incurred in the normal course of business and amounts are settled under normal business terms. The Company recognized revenue from Axiom related to engineering services of $50 thousand and $153 thousand for the years ended December 31, 2024 and 2023, respectively. As of December 31, 2024 and 2023, there was no affiliate accounts receivable related to Axiom.</w:t>
      </w:r>
    </w:p>
    <w:p>
      <w:pPr>
        <w:pStyle w:val="TextBody"/>
        <w:bidi w:val="0"/>
        <w:spacing w:lineRule="auto" w:line="312" w:before="240" w:after="160"/>
        <w:jc w:val="left"/>
        <w:rPr>
          <w:rFonts w:ascii="Lato Black;sans-serif" w:hAnsi="Lato Black;sans-serif"/>
          <w:b w:val="false"/>
          <w:i/>
          <w:color w:val="000000"/>
          <w:sz w:val="18"/>
        </w:rPr>
      </w:pPr>
      <w:r>
        <w:rPr>
          <w:rFonts w:ascii="Lato Black;sans-serif" w:hAnsi="Lato Black;sans-serif"/>
          <w:b w:val="false"/>
          <w:i/>
          <w:color w:val="000000"/>
          <w:sz w:val="18"/>
        </w:rPr>
        <w:t>Our Relationship with X-energy, LLC</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Dr. Kamal Ghaffarian is the Executive Chairman of X-Energy Reactor Company, LLC, which is the parent company of X-Energy, LLC ("X-Energy"). The Company incurred expenses with X-Energy of $0.3 million for the year ended December 31, 2024 and incurred no expenses for the year ended December 31, 2023. As of December 31, 2024 and 2023, there were no affiliate accounts payable related to X-Energy expenses. Expenses related to X-Energy are incurred in the normal course of business and amounts are settled under normal business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40410"/>
                <wp:effectExtent l="0" t="0" r="0" b="0"/>
                <wp:wrapNone/>
                <wp:docPr id="23" name="Frame1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 xml:space="preserve">Corporate Governance </w:t>
      </w:r>
    </w:p>
    <w:p>
      <w:pPr>
        <w:pStyle w:val="TextBody"/>
        <w:bidi w:val="0"/>
        <w:spacing w:lineRule="auto" w:line="312" w:before="240" w:after="160"/>
        <w:jc w:val="both"/>
        <w:rPr>
          <w:rFonts w:ascii="Lato Black;sans-serif" w:hAnsi="Lato Black;sans-serif"/>
          <w:b w:val="false"/>
          <w:i/>
          <w:color w:val="000000"/>
          <w:sz w:val="18"/>
        </w:rPr>
      </w:pPr>
      <w:r>
        <w:rPr>
          <w:rFonts w:ascii="Lato Black;sans-serif" w:hAnsi="Lato Black;sans-serif"/>
          <w:b w:val="false"/>
          <w:i/>
          <w:color w:val="000000"/>
          <w:sz w:val="18"/>
        </w:rPr>
        <w:t>Our Relationship with IBX, LLC and PTX, LLC</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Dr. Kamal Ghaffarian is the co-founder and current member of management of IBX, LLC (“IBX”). IBX is an innovation and investment firm committed to advancing the state of humanity and human knowledge. We rely on IBX for the provision of management and professional services in the day-to-day operation of our business. These expenses include, among others, fees for the provision of administrative, accounting and legal services. As such, expenses incurred in relation to IBX are incurred in the normal course of business and amounts are settled under normal business terms. The Company incurred expenses with IBX of $54 thousand and $1.5 million for the years ended December 31, 2024 and 2023, respectively. As of December 31, 2024 and 2023, there was approximately zero and $2.7 million, respectively, of affiliate accounts payable related to IBX expenses.</w:t>
      </w:r>
    </w:p>
    <w:p>
      <w:pPr>
        <w:pStyle w:val="TextBody"/>
        <w:bidi w:val="0"/>
        <w:spacing w:lineRule="auto" w:line="312" w:before="240" w:after="160"/>
        <w:jc w:val="both"/>
        <w:rPr>
          <w:rFonts w:ascii="Lato Black;sans-serif" w:hAnsi="Lato Black;sans-serif"/>
          <w:b w:val="false"/>
          <w:i/>
          <w:color w:val="000000"/>
          <w:sz w:val="18"/>
        </w:rPr>
      </w:pPr>
      <w:r>
        <w:rPr>
          <w:rFonts w:ascii="Lato Black;sans-serif" w:hAnsi="Lato Black;sans-serif"/>
          <w:b w:val="false"/>
          <w:i/>
          <w:color w:val="000000"/>
          <w:sz w:val="18"/>
        </w:rPr>
        <w:t>Our Relationship with ASES</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ASES is a joint venture between Aerodyne Industries, LLC and KBR, Inc. Dr. Kamal Ghaffarian has a 20% ownership interest in Aerodyne Industries, LLC. Revenue related to ASES are incurred in the normal course of business and amounts are settled under normal business terms. The Company recognized revenue from ASES related to engineering services of $0.7 million and $1.1 million for the years ended December 31, 2024 and 2023, respectively. As of December 31, 2024 and 2023, there was $0.1 million of affiliate accounts receivable related to ASES revenue.</w:t>
      </w:r>
    </w:p>
    <w:p>
      <w:pPr>
        <w:pStyle w:val="TextBody"/>
        <w:bidi w:val="0"/>
        <w:spacing w:lineRule="auto" w:line="312" w:before="240" w:after="160"/>
        <w:jc w:val="both"/>
        <w:rPr>
          <w:rFonts w:ascii="Lato Black;sans-serif" w:hAnsi="Lato Black;sans-serif"/>
          <w:b w:val="false"/>
          <w:i/>
          <w:color w:val="000000"/>
          <w:sz w:val="18"/>
        </w:rPr>
      </w:pPr>
      <w:r>
        <w:rPr>
          <w:rFonts w:ascii="Lato Black;sans-serif" w:hAnsi="Lato Black;sans-serif"/>
          <w:b w:val="false"/>
          <w:i/>
          <w:color w:val="000000"/>
          <w:sz w:val="18"/>
        </w:rPr>
        <w:t>Our Relationship with KBR, Inc.</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On November 12, 2020, KBR, Inc. (“KBR”), a U.S.-based firm operating in the science, technology and engineering industries, made an initial investment in one of our operating subsidiaries, Space Network Solutions, LLC (“Space Network Solutions”), resulting in a 10% ownership by KBR of Space Network Solutions as of the date of such investment. As of December 31, 2024, KBR held approximately 10% of the equity of Space Network Solutions. In the ordinary course of business, we regularly provide engineering services to KBR. We recognized affiliate revenue from KBR related to engineering services of $2.1 million and $3.1 million for the years ended December 31, 2024 and 2023, respectively. As of December 31, 2024 and 2023, there were $0.4 million and $0.5 million, respectively, of affiliate accounts receivable related to KBR revenue.</w:t>
      </w:r>
    </w:p>
    <w:p>
      <w:pPr>
        <w:pStyle w:val="TextBody"/>
        <w:bidi w:val="0"/>
        <w:spacing w:lineRule="auto" w:line="312" w:before="240" w:after="160"/>
        <w:jc w:val="both"/>
        <w:rPr>
          <w:rFonts w:ascii="Lato Black;sans-serif" w:hAnsi="Lato Black;sans-serif"/>
          <w:b/>
          <w:i/>
          <w:color w:val="000000"/>
          <w:sz w:val="18"/>
        </w:rPr>
      </w:pPr>
      <w:r>
        <w:rPr>
          <w:rFonts w:ascii="Lato Black;sans-serif" w:hAnsi="Lato Black;sans-serif"/>
          <w:b/>
          <w:i/>
          <w:color w:val="000000"/>
          <w:sz w:val="18"/>
        </w:rPr>
        <w:t>Other Agreements, Transactions, and Arrangements</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Joe Altemus, the son of Stephen Altemus, a member of our Board and our Chief Executive Officer, is a Mechanical Systems Engineer at Intuitive Machines. Mr. Altemus’ compensation is based on reference to external market practice of similar positions or internal pay equity when compared to the compensation paid to employees in similar positions who were not related to a member of our Board and our Chief Executive Officer.</w:t>
      </w:r>
    </w:p>
    <w:p>
      <w:pPr>
        <w:pStyle w:val="TextBody"/>
        <w:bidi w:val="0"/>
        <w:spacing w:lineRule="auto" w:line="312" w:before="0" w:after="0"/>
        <w:jc w:val="both"/>
        <w:rPr>
          <w:rFonts w:ascii="Lato;sans-serif" w:hAnsi="Lato;sans-serif"/>
          <w:b w:val="false"/>
          <w:color w:val="000000"/>
          <w:sz w:val="18"/>
        </w:rPr>
      </w:pPr>
      <w:r>
        <w:rPr>
          <w:rFonts w:ascii="Lato;sans-serif" w:hAnsi="Lato;sans-serif"/>
          <w:b w:val="false"/>
          <w:color w:val="000000"/>
          <w:sz w:val="18"/>
        </w:rPr>
        <w:t xml:space="preserve">A partner of Jones Day, is a spouse of an officer of the Company. As of March 31, 2025, we made aggregate payments of $193 thousand to Jones Day for legal services. No payments were made in 2024. </w:t>
      </w:r>
    </w:p>
    <w:p>
      <w:pPr>
        <w:pStyle w:val="TextBody"/>
        <w:bidi w:val="0"/>
        <w:spacing w:lineRule="auto" w:line="312" w:before="160" w:after="283"/>
        <w:jc w:val="both"/>
        <w:rPr>
          <w:rFonts w:ascii="Lato;sans-serif" w:hAnsi="Lato;sans-serif"/>
          <w:b w:val="false"/>
          <w:color w:val="000000"/>
          <w:sz w:val="18"/>
        </w:rPr>
      </w:pPr>
      <w:r>
        <w:rPr>
          <w:rFonts w:ascii="Lato;sans-serif" w:hAnsi="Lato;sans-serif"/>
          <w:b w:val="false"/>
          <w:color w:val="000000"/>
          <w:sz w:val="18"/>
        </w:rPr>
        <w:t>On February 4, 2025, the Company commenced the redemption of all of its outstanding public warrants to purchase shares of the Company’s Class A common stock that were issued under the Warrant Agreement, dated September 21, 2021, by and between the Company and Continental Stock Transfer &amp; Trust Company, as warrant agent (the “Warrant Redemption”). In connection with the Warrant Redemption, Michael Blitzer exercised 1,800,000 warrants, and the Company purchased 941,080 shares of the Company’s Class A common stock for an aggregate purchase price of $20.7 million from Mr. Blitzer, which is equal to the exercise price paid by Mr. Blitzer in connection with the exercise of his warrants.</w:t>
      </w:r>
    </w:p>
    <w:p>
      <w:pPr>
        <w:pStyle w:val="TextBody"/>
        <w:bidi w:val="0"/>
        <w:spacing w:lineRule="auto" w:line="312" w:before="160" w:after="283"/>
        <w:jc w:val="both"/>
        <w:rPr>
          <w:rFonts w:ascii="Lato;sans-serif" w:hAnsi="Lato;sans-serif"/>
          <w:b w:val="false"/>
          <w:color w:val="000000"/>
          <w:sz w:val="18"/>
        </w:rPr>
      </w:pPr>
      <w:r>
        <w:rPr>
          <w:rFonts w:ascii="Lato;sans-serif" w:hAnsi="Lato;sans-serif"/>
          <w:b w:val="false"/>
          <w:color w:val="000000"/>
          <w:sz w:val="18"/>
        </w:rPr>
        <w:t>On November 22, 2024, Starlight Strategies IV LLC ( “Plaintiff”) filed a breach of contract action in Delaware Chancery Court. The Company has filed its answer to the complaint and asserted counterclaims against the Plaintiff and third-party claims against certain entities affiliated with the Plaintiff. Also, on January 24, 2025, Kingstown 1740 Fund L.P. and Kingstown Capital Partners LLC (together, “Kingstown”) moved to intervene, seeking to file a complaint in intervention against Plaintiff. The court granted Kingstown leave to intervene. In connection with the intervention, the Company has agreed to pay Kingstown’s legal fees. Mr. Blitzer is a managing members of some of the Kingstown entities. As of March 31, 2025, the Company has paid $551 thousand in legal fees.</w:t>
      </w:r>
    </w:p>
    <w:p>
      <w:pPr>
        <w:pStyle w:val="TextBody"/>
        <w:bidi w:val="0"/>
        <w:spacing w:lineRule="auto" w:line="312" w:before="240" w:after="160"/>
        <w:jc w:val="left"/>
        <w:rPr>
          <w:rFonts w:ascii="Lato Black;sans-serif" w:hAnsi="Lato Black;sans-serif"/>
          <w:b/>
          <w:i/>
          <w:color w:val="000000"/>
          <w:sz w:val="18"/>
        </w:rPr>
      </w:pPr>
      <w:r>
        <w:rPr>
          <w:rFonts w:ascii="Lato Black;sans-serif" w:hAnsi="Lato Black;sans-serif"/>
          <w:b/>
          <w:i/>
          <w:color w:val="000000"/>
          <w:sz w:val="18"/>
        </w:rPr>
        <w:t>Post-Business Combination Arrangements</w:t>
      </w:r>
    </w:p>
    <w:p>
      <w:pPr>
        <w:pStyle w:val="TextBody"/>
        <w:bidi w:val="0"/>
        <w:spacing w:lineRule="auto" w:line="312" w:before="160" w:after="120"/>
        <w:jc w:val="left"/>
        <w:rPr>
          <w:rFonts w:ascii="Lato;sans-serif" w:hAnsi="Lato;sans-serif"/>
          <w:b w:val="false"/>
          <w:color w:val="000000"/>
          <w:sz w:val="18"/>
        </w:rPr>
      </w:pPr>
      <w:r>
        <w:rPr>
          <w:rFonts w:ascii="Lato;sans-serif" w:hAnsi="Lato;sans-serif"/>
          <w:b w:val="false"/>
          <w:color w:val="000000"/>
          <w:sz w:val="18"/>
        </w:rPr>
        <w:t>In connection with the closing of the Business Combination, certain agreements were entered into, these agreements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40410"/>
                <wp:effectExtent l="0" t="0" r="0" b="0"/>
                <wp:wrapNone/>
                <wp:docPr id="24" name="Frame1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Corporate Governance </w:t>
      </w:r>
    </w:p>
    <w:p>
      <w:pPr>
        <w:pStyle w:val="TextBody"/>
        <w:bidi w:val="0"/>
        <w:spacing w:lineRule="auto" w:line="312" w:before="120" w:after="80"/>
        <w:jc w:val="left"/>
        <w:rPr>
          <w:rFonts w:ascii="Lato;sans-serif" w:hAnsi="Lato;sans-serif"/>
          <w:b/>
          <w:color w:val="000000"/>
          <w:sz w:val="18"/>
        </w:rPr>
      </w:pPr>
      <w:r>
        <w:rPr>
          <w:rFonts w:ascii="Lato;sans-serif" w:hAnsi="Lato;sans-serif"/>
          <w:b/>
          <w:color w:val="000000"/>
          <w:sz w:val="18"/>
        </w:rPr>
        <w:t>Tax Receivable Agreement</w:t>
      </w:r>
    </w:p>
    <w:p>
      <w:pPr>
        <w:pStyle w:val="TextBody"/>
        <w:bidi w:val="0"/>
        <w:spacing w:lineRule="auto" w:line="312" w:before="80" w:after="160"/>
        <w:jc w:val="both"/>
        <w:rPr>
          <w:rFonts w:ascii="Lato;sans-serif" w:hAnsi="Lato;sans-serif"/>
          <w:b w:val="false"/>
          <w:color w:val="000000"/>
          <w:sz w:val="18"/>
        </w:rPr>
      </w:pPr>
      <w:r>
        <w:rPr>
          <w:rFonts w:ascii="Lato;sans-serif" w:hAnsi="Lato;sans-serif"/>
          <w:b w:val="false"/>
          <w:color w:val="000000"/>
          <w:sz w:val="18"/>
        </w:rPr>
        <w:t>In connection with the consummation of the Transactions, we entered into a Tax Receivable Agreement with Intuitive Machines OpCo and certain members of Intuitive Machines OpCo provides for payment to such members of Intuitive Machines OpCo of 85% of the amount of the tax savings, if any, that we realize (or, under certain circumstances, is deemed to realize) as a result of:</w:t>
      </w:r>
    </w:p>
    <w:p>
      <w:pPr>
        <w:pStyle w:val="TextBody"/>
        <w:bidi w:val="0"/>
        <w:spacing w:lineRule="auto" w:line="312" w:before="160" w:after="160"/>
        <w:ind w:left="0" w:right="0" w:hanging="360"/>
        <w:jc w:val="both"/>
        <w:rPr/>
      </w:pPr>
      <w:r>
        <w:rPr>
          <w:color w:val="000000"/>
        </w:rPr>
        <w:t>•</w:t>
      </w:r>
      <w:r>
        <w:rPr>
          <w:rFonts w:ascii="Lato;sans-serif" w:hAnsi="Lato;sans-serif"/>
          <w:b w:val="false"/>
          <w:color w:val="000000"/>
          <w:sz w:val="18"/>
        </w:rPr>
        <w:t>existing tax basis in certain assets of Intuitive Machines OpCo and certain of its direct or indirect subsidiaries (including assets that will eventually be subject to depreciation or amortization once placed in service) that is obtained (i) by Intuitive Machines in connection with the Business Combination and (ii) by Intuitive Machines in connection with and is attributable to an Intuitive Machines OpCo Common Unit exchanged or redeemed by an Intuitive Machines Member (“Existing Basis”);</w:t>
      </w:r>
    </w:p>
    <w:p>
      <w:pPr>
        <w:pStyle w:val="TextBody"/>
        <w:bidi w:val="0"/>
        <w:spacing w:lineRule="auto" w:line="312" w:before="160" w:after="160"/>
        <w:ind w:left="0" w:right="0" w:hanging="360"/>
        <w:jc w:val="both"/>
        <w:rPr/>
      </w:pPr>
      <w:r>
        <w:rPr>
          <w:color w:val="000000"/>
        </w:rPr>
        <w:t>•</w:t>
      </w:r>
      <w:r>
        <w:rPr>
          <w:rFonts w:ascii="Lato;sans-serif" w:hAnsi="Lato;sans-serif"/>
          <w:b w:val="false"/>
          <w:color w:val="000000"/>
          <w:sz w:val="18"/>
        </w:rPr>
        <w:t>tax basis adjustments resulting from future redemptions or exchanges of Intuitive Machines OpCo Common Units from the Intuitive Machines Members or certain distributions (or deemed distributions) by Intuitive Machines OpCo and certain payments made under the Tax Receivable Agreement (“Basis Adjustments”); and</w:t>
      </w:r>
    </w:p>
    <w:p>
      <w:pPr>
        <w:pStyle w:val="TextBody"/>
        <w:bidi w:val="0"/>
        <w:spacing w:lineRule="auto" w:line="312" w:before="160" w:after="160"/>
        <w:ind w:left="0" w:right="0" w:hanging="360"/>
        <w:jc w:val="both"/>
        <w:rPr/>
      </w:pPr>
      <w:r>
        <w:rPr>
          <w:color w:val="000000"/>
        </w:rPr>
        <w:t>•</w:t>
      </w:r>
      <w:r>
        <w:rPr>
          <w:rFonts w:ascii="Lato;sans-serif" w:hAnsi="Lato;sans-serif"/>
          <w:b w:val="false"/>
          <w:color w:val="000000"/>
          <w:sz w:val="18"/>
        </w:rPr>
        <w:t>deductions attributable to imputed interest and other payments of interest by Intuitive Machines pursuant to the Tax Receivable Agreement (“Interest Deductions”).</w:t>
      </w:r>
    </w:p>
    <w:p>
      <w:pPr>
        <w:pStyle w:val="TextBody"/>
        <w:bidi w:val="0"/>
        <w:spacing w:lineRule="auto" w:line="312" w:before="160" w:after="80"/>
        <w:jc w:val="left"/>
        <w:rPr>
          <w:rFonts w:ascii="Lato;sans-serif" w:hAnsi="Lato;sans-serif"/>
          <w:b/>
          <w:color w:val="000000"/>
          <w:sz w:val="18"/>
        </w:rPr>
      </w:pPr>
      <w:r>
        <w:rPr>
          <w:rFonts w:ascii="Lato;sans-serif" w:hAnsi="Lato;sans-serif"/>
          <w:b/>
          <w:color w:val="000000"/>
          <w:sz w:val="18"/>
        </w:rPr>
        <w:t>A&amp;R Operating Agreement</w:t>
      </w:r>
    </w:p>
    <w:p>
      <w:pPr>
        <w:pStyle w:val="TextBody"/>
        <w:bidi w:val="0"/>
        <w:spacing w:lineRule="auto" w:line="312" w:before="80" w:after="160"/>
        <w:jc w:val="both"/>
        <w:rPr>
          <w:rFonts w:ascii="Lato;sans-serif" w:hAnsi="Lato;sans-serif"/>
          <w:b w:val="false"/>
          <w:color w:val="000000"/>
          <w:sz w:val="18"/>
        </w:rPr>
      </w:pPr>
      <w:r>
        <w:rPr>
          <w:rFonts w:ascii="Lato;sans-serif" w:hAnsi="Lato;sans-serif"/>
          <w:b w:val="false"/>
          <w:color w:val="000000"/>
          <w:sz w:val="18"/>
        </w:rPr>
        <w:t>We operate our business through Intuitive Machines OpCo and its subsidiaries. In connection with the consummation of the Transactions, we amended and restated our limited liability company agreement by adopting the Second Amended and Restated Limited Liability Company Agreement (the “A&amp;R Operating Agreement”). The A&amp;R Operating Agreement (i) permits the issuance and ownership of the equity of Intuitive Machines OpCo as contemplated by the Business Combination Agreement following the consummation of the Transactions and (ii) admits the Company as the managing member of Intuitive Machines OpCo. The operations of Intuitive Machines OpCo, and the rights and obligations of the holders of Intuitive Machines OpCo Common Units, are set forth in the A&amp;R Operating Agreement.</w:t>
      </w:r>
    </w:p>
    <w:p>
      <w:pPr>
        <w:pStyle w:val="TextBody"/>
        <w:bidi w:val="0"/>
        <w:spacing w:lineRule="auto" w:line="312" w:before="160" w:after="160"/>
        <w:jc w:val="both"/>
        <w:rPr/>
      </w:pPr>
      <w:r>
        <w:rPr>
          <w:rFonts w:ascii="Lato;sans-serif" w:hAnsi="Lato;sans-serif"/>
          <w:b w:val="false"/>
          <w:i/>
          <w:color w:val="000000"/>
          <w:sz w:val="18"/>
        </w:rPr>
        <w:t>Appointment as Managing Member</w:t>
      </w:r>
      <w:r>
        <w:rPr>
          <w:rFonts w:ascii="Lato;sans-serif" w:hAnsi="Lato;sans-serif"/>
          <w:b w:val="false"/>
          <w:color w:val="000000"/>
          <w:sz w:val="18"/>
        </w:rPr>
        <w:t>. Under the A&amp;R Operating Agreement, we are a member and the managing member of Intuitive Machines OpCo. As the managing member, we are able to control all of the day-to-day business affairs and decision-making of Intuitive Machines OpCo without the approval of any other member, unless otherwise stated in the A&amp;R Operating Agreement. As such, we, through our officers and directors, are responsible for all operational and administrative decisions of Intuitive Machines OpCo and the day-to-day management of Intuitive Machines OpCo’s business, unless otherwise stated in the A&amp;R Operating Agreement. Pursuant to the terms of the A&amp;R Operating Agreement, we cannot be removed as the managing member of Intuitive Machines OpCo by other members.</w:t>
      </w:r>
    </w:p>
    <w:p>
      <w:pPr>
        <w:pStyle w:val="TextBody"/>
        <w:bidi w:val="0"/>
        <w:spacing w:lineRule="auto" w:line="312" w:before="160" w:after="160"/>
        <w:jc w:val="both"/>
        <w:rPr/>
      </w:pPr>
      <w:r>
        <w:rPr>
          <w:rFonts w:ascii="Lato;sans-serif" w:hAnsi="Lato;sans-serif"/>
          <w:b w:val="false"/>
          <w:i/>
          <w:color w:val="000000"/>
          <w:sz w:val="18"/>
        </w:rPr>
        <w:t>Compensation</w:t>
      </w:r>
      <w:r>
        <w:rPr>
          <w:rFonts w:ascii="Lato;sans-serif" w:hAnsi="Lato;sans-serif"/>
          <w:b w:val="false"/>
          <w:color w:val="000000"/>
          <w:sz w:val="18"/>
        </w:rPr>
        <w:t>. We are not entitled to compensation for our services as managing member. We are entitled to reimbursement by Intuitive Machines OpCo for fees and expenses incurred on behalf of Intuitive Machines OpCo, including all expenses associated with the Transactions and maintaining its corporate existence.</w:t>
      </w:r>
    </w:p>
    <w:p>
      <w:pPr>
        <w:pStyle w:val="TextBody"/>
        <w:bidi w:val="0"/>
        <w:spacing w:lineRule="auto" w:line="312" w:before="160" w:after="160"/>
        <w:jc w:val="both"/>
        <w:rPr/>
      </w:pPr>
      <w:r>
        <w:rPr>
          <w:rFonts w:ascii="Lato;sans-serif" w:hAnsi="Lato;sans-serif"/>
          <w:b w:val="false"/>
          <w:i/>
          <w:color w:val="000000"/>
          <w:sz w:val="18"/>
        </w:rPr>
        <w:t>Capitalization</w:t>
      </w:r>
      <w:r>
        <w:rPr>
          <w:rFonts w:ascii="Lato;sans-serif" w:hAnsi="Lato;sans-serif"/>
          <w:b w:val="false"/>
          <w:color w:val="000000"/>
          <w:sz w:val="18"/>
        </w:rPr>
        <w:t>. The A&amp;R Operating Agreement provides for (i) a single class of Intuitive Machines OpCo Common Units; (ii) a single class of Series A Preferred Units; and (iii) a single class of unvested earn out units of Intuitive Machines OpCo (the “Unvested Earn Out Units”). All Intuitive Machines OpCo Common Units have identical rights and privileges in all respects, all Series A Preferred Units have identical rights and privileges in all respects and all Unvested Earn Out Units have identical rights and privileges in all respects. Each Common Unit entitles the holder to a pro rata share of the net profits and net losses and distributions of Intuitive Machines OpCo.</w:t>
      </w:r>
    </w:p>
    <w:p>
      <w:pPr>
        <w:pStyle w:val="TextBody"/>
        <w:bidi w:val="0"/>
        <w:spacing w:lineRule="auto" w:line="312" w:before="160" w:after="160"/>
        <w:jc w:val="both"/>
        <w:rPr/>
      </w:pPr>
      <w:r>
        <w:rPr>
          <w:rFonts w:ascii="Lato;sans-serif" w:hAnsi="Lato;sans-serif"/>
          <w:b w:val="false"/>
          <w:i/>
          <w:color w:val="000000"/>
          <w:sz w:val="18"/>
        </w:rPr>
        <w:t>Distributions</w:t>
      </w:r>
      <w:r>
        <w:rPr>
          <w:rFonts w:ascii="Lato;sans-serif" w:hAnsi="Lato;sans-serif"/>
          <w:b w:val="false"/>
          <w:color w:val="000000"/>
          <w:sz w:val="18"/>
        </w:rPr>
        <w:t>. The A&amp;R Operating Agreement requires “Tax Distributions,” as that term is defined in the A&amp;R Operating Agreement, to be made by Intuitive Machines OpCo to us and to its “Members,” as that term is defined in the A&amp;R Operating Agreement. Tax Distributions shall be made quarterly to us and each Member based on their allocable share of the taxable income of Intuitive Machines OpCo and at a tax rate that will be determined by us. The tax rate used to determine tax distributions will apply regardless of the actual final tax liability of any such member. Tax distributions will also be made only to the extent all distributions from Intuitive Machines OpCo for the relevant period were otherwise insufficient to enable each member to cover its tax liabilities as calculated in the manner described above. The A&amp;R Operating Agreement also allows for distributions to be made by Intuitive Machines OpCo to its members on a pro rata basis out of “distributable cash,” which is the amount of cash that may be distributed by Intuitive Machines OpCo to its Members in accordance with existing credit agreements.</w:t>
      </w:r>
    </w:p>
    <w:p>
      <w:pPr>
        <w:pStyle w:val="TextBody"/>
        <w:bidi w:val="0"/>
        <w:spacing w:lineRule="auto" w:line="312" w:before="160" w:after="160"/>
        <w:jc w:val="both"/>
        <w:rPr/>
      </w:pPr>
      <w:r>
        <w:rPr>
          <w:rFonts w:ascii="Lato;sans-serif" w:hAnsi="Lato;sans-serif"/>
          <w:b w:val="false"/>
          <w:i/>
          <w:color w:val="000000"/>
          <w:sz w:val="18"/>
        </w:rPr>
        <w:t>LLC Unit redemption right</w:t>
      </w:r>
      <w:r>
        <w:rPr>
          <w:rFonts w:ascii="Lato;sans-serif" w:hAnsi="Lato;sans-serif"/>
          <w:b w:val="false"/>
          <w:color w:val="000000"/>
          <w:sz w:val="18"/>
        </w:rPr>
        <w:t xml:space="preserve">. The A&amp;R Operating Agreement provides a redemption right to the Members (other than us and our subsidiaries) and option holders (in connection with the exercise of an Intuitive Machines OpCo Option, as such term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40410"/>
                <wp:effectExtent l="0" t="0" r="0" b="0"/>
                <wp:wrapNone/>
                <wp:docPr id="25" name="Frame1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 xml:space="preserve">Corporate Governance </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defined in the A&amp;R Operating Agreement), which entitles them to have their Intuitive Machines OpCo Common Units redeemed, in whole or in part, at the election of each such person, for newly-issued shares of Class A Common Stock on a one-to-one basis or, to the extent there is cash available from a contemporaneous public offering or private sale of Class A Common Stock by us (in each case, subject to the terms and restrictions set forth in the A&amp;R Operating Agreement). Alternatively, we may instead authorize a cash payment equal to a volume weighted average market prices of one share of Class A Common Stock for each Intuitive Machines OpCo Common Unit redeemed (subject to customary adjustments, including for stock splits, stock dividends and similar events affecting the Class A Common Stock). If we decide to make a cash payment, the Member has the option to rescind its redemption request within a specified time period. Upon the exercise of the redemption right, the redeeming member will surrender its Intuitive Machines OpCo Common Units for cancellation. The A&amp;R Operating Agreement requires that we contribute cash or shares of Class A Common Stock to Intuitive Machines OpCo in exchange for an amount of Intuitive Machines OpCo Common Units that will be issued to us equal to the number of units redeemed from the Member. Intuitive Machines OpCo will then distribute the cash or shares of Class A Common Stock to such Member to complete the redemption. In the event of such election by a Member, we may, at our option, effect a direct exchange of cash or Class A Common Stock for such Intuitive Machines OpCo Common Units in lieu of such a redemption. Whether by redemption or exchange, we are obligated to ensure that at all times the number of Intuitive Machines OpCo Common Units that we own equals the number of shares of Class A Common Stock issued by us (subject to certain exceptions for treasury shares and shares underlying certain convertible or exchangeable securities). Shares of Class B Common Stock and Class C Common Stock, as the case may be, will be cancelled on a one-to-one basis if we, at the election of a Member, redeem or exchange units of such Member pursuant to the terms of the A&amp;R Operating Agreement.</w:t>
      </w:r>
    </w:p>
    <w:p>
      <w:pPr>
        <w:pStyle w:val="TextBody"/>
        <w:bidi w:val="0"/>
        <w:spacing w:lineRule="auto" w:line="312" w:before="160" w:after="160"/>
        <w:jc w:val="both"/>
        <w:rPr/>
      </w:pPr>
      <w:r>
        <w:rPr>
          <w:rFonts w:ascii="Lato;sans-serif" w:hAnsi="Lato;sans-serif"/>
          <w:b w:val="false"/>
          <w:i/>
          <w:color w:val="000000"/>
          <w:sz w:val="18"/>
        </w:rPr>
        <w:t>Issuance of Equity-based Compensation</w:t>
      </w:r>
      <w:r>
        <w:rPr>
          <w:rFonts w:ascii="Lato;sans-serif" w:hAnsi="Lato;sans-serif"/>
          <w:b w:val="false"/>
          <w:color w:val="000000"/>
          <w:sz w:val="18"/>
        </w:rPr>
        <w:t>. We may implement equity compensation plans and any actions taken under such equity compensation plans (such as the grant or exercise of options to acquire shares of Class A Common Stock), whether taken with respect to or by an employee or other service provider of Intuitive Machines, Intuitive Machines OpCo or its subsidiaries, in a manner determined by us, in accordance with the initial implementation guidelines attached to the A&amp;R Operating Agreement, which may be amended from time to time. The Corporation may amend the A&amp;R Operating Agreement (including the initial implementation guidelines attached thereto) as necessary or advisable in its sole discretion in connection with the adoption, implementation, modification or termination of an equity compensation plan. In the event of such an amendment, Intuitive Machines OpCo will provide notice of such amendment to the Members. Intuitive Machines OpCo is expressly authorized to issue units (i) in accordance with the terms of any equity compensation plans or (ii) in an amount equal to the number of shares of Class A Common Stock issued pursuant to any such equity compensation plans, without any further act, approval or vote of any Member or any other persons.</w:t>
      </w:r>
    </w:p>
    <w:p>
      <w:pPr>
        <w:pStyle w:val="TextBody"/>
        <w:bidi w:val="0"/>
        <w:spacing w:lineRule="auto" w:line="312" w:before="160" w:after="160"/>
        <w:jc w:val="both"/>
        <w:rPr/>
      </w:pPr>
      <w:r>
        <w:rPr>
          <w:rFonts w:ascii="Lato;sans-serif" w:hAnsi="Lato;sans-serif"/>
          <w:b w:val="false"/>
          <w:i/>
          <w:color w:val="000000"/>
          <w:sz w:val="18"/>
        </w:rPr>
        <w:t>Maintenance of One-to-One Ratios</w:t>
      </w:r>
      <w:r>
        <w:rPr>
          <w:rFonts w:ascii="Lato;sans-serif" w:hAnsi="Lato;sans-serif"/>
          <w:b w:val="false"/>
          <w:color w:val="000000"/>
          <w:sz w:val="18"/>
        </w:rPr>
        <w:t>. Our Certificate of Incorporation and the A&amp;R Operating Agreement require that we and Intuitive Machines OpCo, respectively, at all times maintain (i) a one-to-one ratio between the number of Intuitive Machines OpCo Common Units owned by us, directly or indirectly, and the number of outstanding shares of Class A Common Stock, (ii) a one-to-one ratio between the number of Intuitive Machines OpCo Common Units owned by each Member (other than us and our subsidiaries), directly or indirectly, and the aggregate number of outstanding shares of Class B Common Stock and Class C Common Stock owned by such Member, (iii) a one-to-one ratio between the number of Series A Preferred Units owned by us, directly or indirectly, and the number of outstanding shares of Series A Preferred Stock, (iv) a one-to-one ratio between the number of warrants owned by us, directly or indirectly, and the number of outstanding Public Warrants and (v) a one-to-one ratio between the number of Preferred Investor Warrants, owned by us, directly or indirectly, and the number of outstanding Preferred Investor Warrants.</w:t>
      </w:r>
    </w:p>
    <w:p>
      <w:pPr>
        <w:pStyle w:val="TextBody"/>
        <w:bidi w:val="0"/>
        <w:spacing w:lineRule="auto" w:line="312" w:before="160" w:after="160"/>
        <w:jc w:val="both"/>
        <w:rPr/>
      </w:pPr>
      <w:r>
        <w:rPr>
          <w:rFonts w:ascii="Lato;sans-serif" w:hAnsi="Lato;sans-serif"/>
          <w:b w:val="false"/>
          <w:i/>
          <w:color w:val="000000"/>
          <w:sz w:val="18"/>
        </w:rPr>
        <w:t>Transfer Restrictions</w:t>
      </w:r>
      <w:r>
        <w:rPr>
          <w:rFonts w:ascii="Lato;sans-serif" w:hAnsi="Lato;sans-serif"/>
          <w:b w:val="false"/>
          <w:color w:val="000000"/>
          <w:sz w:val="18"/>
        </w:rPr>
        <w:t>. The A&amp;R Operating Agreement generally does not permit transfers of Intuitive Machines OpCo Common Units, Series A Preferred Units and Unvested Earn Out Units by Members, subject to limited exceptions. Any transferee of Intuitive Machines OpCo Common Units, Series A Preferred Units and Unvested Earn Out Units must execute the A&amp;R Operating Agreement and any other agreements executed by the holders of Intuitive Machines OpCo Common Units, Series A Preferred Units and Unvested Earn Out Units and relating to such Intuitive Machines OpCo Common Units, Series A Preferred Units and Unvested Earn Out Units, as applicable, in the aggregate.</w:t>
      </w:r>
    </w:p>
    <w:p>
      <w:pPr>
        <w:pStyle w:val="TextBody"/>
        <w:bidi w:val="0"/>
        <w:spacing w:lineRule="auto" w:line="312" w:before="160" w:after="160"/>
        <w:jc w:val="both"/>
        <w:rPr/>
      </w:pPr>
      <w:r>
        <w:rPr>
          <w:rFonts w:ascii="Lato;sans-serif" w:hAnsi="Lato;sans-serif"/>
          <w:b w:val="false"/>
          <w:i/>
          <w:color w:val="000000"/>
          <w:sz w:val="18"/>
        </w:rPr>
        <w:t>Dissolution</w:t>
      </w:r>
      <w:r>
        <w:rPr>
          <w:rFonts w:ascii="Lato;sans-serif" w:hAnsi="Lato;sans-serif"/>
          <w:b w:val="false"/>
          <w:color w:val="000000"/>
          <w:sz w:val="18"/>
        </w:rPr>
        <w:t>. The A&amp;R Operating Agreement provides that our decision with the approval of a majority of the equity interests (including, but not limited to, Intuitive Machines OpCo Common Units, Series A Preferred Units and Unvested Earn Out Units) then outstanding (excluding all units held directly or indirectly by us) will be required to voluntarily dissolve Intuitive Machines OpCo. In addition to a voluntary dissolution, Intuitive Machines OpCo will be dissolved under Section 18-801(4) of the Delaware General Corporate Law (“DGCL”) because all members withdraw/resign (unless Intuitive Machines OpCo is continued without dissolution pursuant thereto) or pursuant to Section 18-802 of the DGCL by operation of law, including entry of a decree of judicial dissolution.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40410"/>
                <wp:effectExtent l="0" t="0" r="0" b="0"/>
                <wp:wrapNone/>
                <wp:docPr id="26" name="Frame1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Corporate Governance </w:t>
      </w:r>
    </w:p>
    <w:p>
      <w:pPr>
        <w:pStyle w:val="TextBody"/>
        <w:bidi w:val="0"/>
        <w:spacing w:lineRule="auto" w:line="312" w:before="160" w:after="160"/>
        <w:jc w:val="both"/>
        <w:rPr/>
      </w:pPr>
      <w:r>
        <w:rPr>
          <w:rFonts w:ascii="Lato;sans-serif" w:hAnsi="Lato;sans-serif"/>
          <w:b w:val="false"/>
          <w:i/>
          <w:color w:val="000000"/>
          <w:sz w:val="18"/>
        </w:rPr>
        <w:t>Confidentiality</w:t>
      </w:r>
      <w:r>
        <w:rPr>
          <w:rFonts w:ascii="Lato;sans-serif" w:hAnsi="Lato;sans-serif"/>
          <w:b w:val="false"/>
          <w:color w:val="000000"/>
          <w:sz w:val="18"/>
        </w:rPr>
        <w:t>. Each Member (other than us) agrees to hold confidential information in confidence and may not disclose or use such information except as otherwise authorized separately in writing by us. This obligation excludes information that (i) is, or becomes, generally available to the public other than as a direct or indirect result of a disclosure by such Member or its affiliates or representatives; (ii) is, or becomes, available to such Member from a source other than us, Intuitive Machines OpCo or their respective representatives; (iii) is approved for release by written authorization of our chief executive officer, chief financial officer or general counsel or any other officer designated by us; or (iv) is or becomes independently developed by such Member or its respective representatives without use of or reference to the confidential information.</w:t>
      </w:r>
    </w:p>
    <w:p>
      <w:pPr>
        <w:pStyle w:val="TextBody"/>
        <w:bidi w:val="0"/>
        <w:spacing w:lineRule="auto" w:line="312" w:before="160" w:after="160"/>
        <w:jc w:val="both"/>
        <w:rPr/>
      </w:pPr>
      <w:r>
        <w:rPr>
          <w:rFonts w:ascii="Lato;sans-serif" w:hAnsi="Lato;sans-serif"/>
          <w:b w:val="false"/>
          <w:i/>
          <w:color w:val="000000"/>
          <w:sz w:val="18"/>
        </w:rPr>
        <w:t>Indemnification and Exculpation</w:t>
      </w:r>
      <w:r>
        <w:rPr>
          <w:rFonts w:ascii="Lato;sans-serif" w:hAnsi="Lato;sans-serif"/>
          <w:b w:val="false"/>
          <w:color w:val="000000"/>
          <w:sz w:val="18"/>
        </w:rPr>
        <w:t>. The A&amp;R Operating Agreement provides for indemnification for all expenses, liabilities and losses (including attorneys’ fees, judgments, fines, excise taxes or penalties) reasonably incurred or suffered by reason of the fact that such person is or was a Member or an affiliate thereof or is or was serving as manager or a director, officer, employee, advisor, attorney, accountant or other agent or representative of the manager, the Company Representative (as such term is defined in the A&amp;R Operating Agreement), or a director, manager, officer, employee, advisor, attorney, accountant or other agent or representative of Intuitive Machines OpCo or is or was serving at the request of Intuitive Machines OpCo as a manager, officer, director, principal, member, employee, advisor, attorney, accountant or other agent or representative of another person; provided, however, that no indemnified person shall be indemnified for any expenses, liabilities and losses suffered that are attributable to such indemnified person’s or its affiliates’ fraud, willful misconduct or knowing violation of law or for any present or future breaches of any representations, warranties or covenants by such indemnified person or its affiliates contained in the A&amp;R Operating Agreement or in other agreements with Intuitive Machines OpCo.</w:t>
      </w:r>
    </w:p>
    <w:p>
      <w:pPr>
        <w:pStyle w:val="TextBody"/>
        <w:bidi w:val="0"/>
        <w:spacing w:lineRule="auto" w:line="312" w:before="160" w:after="160"/>
        <w:jc w:val="both"/>
        <w:rPr/>
      </w:pPr>
      <w:r>
        <w:rPr>
          <w:rFonts w:ascii="Lato;sans-serif" w:hAnsi="Lato;sans-serif"/>
          <w:b w:val="false"/>
          <w:i/>
          <w:color w:val="000000"/>
          <w:sz w:val="18"/>
        </w:rPr>
        <w:t>Amendments</w:t>
      </w:r>
      <w:r>
        <w:rPr>
          <w:rFonts w:ascii="Lato;sans-serif" w:hAnsi="Lato;sans-serif"/>
          <w:b w:val="false"/>
          <w:color w:val="000000"/>
          <w:sz w:val="18"/>
        </w:rPr>
        <w:t>. The A&amp;R Operating Agreement may be amended or modified (including by means of merger, consolidation or other business combination to which Intuitive Machines OpCo is a party) upon our prior written consent together with the prior written consent of the holders of a majority of the equity interests (including, but not limited to, Intuitive Machines OpCo Common Units, Series A Preferred Units and Unvested Earn Out Units) then outstanding (excluding all units held directly or indirectly by us); provided, that no alteration, modification or amendment shall be effective until written notice has been provided to the Members. Notwithstanding the foregoing, no amendment to any of the terms and conditions of the A&amp;R Operating Agreement that expressly require the approval or action of certain persons may be made without obtaining the consent of the requisite number or specified percentage of such persons who are entitled to approve or take action on such matter. Additionally, no alteration, modification or amendment may be made to any of the terms and conditions of the A&amp;R Operating Agreement that would (i) reduce the amounts distributable to a Member in a manner that is not pro rata with respect to all Members, (ii) modify the limited liability of any Member or increase the liabilities of such Member hereunder, (iii) otherwise materially and adversely affect a holder of units in a manner materially disproportionate to any other holder of units or remove a right or privilege granted to a Member (other than amendments, modifications and waivers necessary to implement the provisions permitting substitution or admission of Members) or (iv) alter or change any rights, preferences or privileges of any units in a manner that is different or prejudicial relative to any other units in the same class of unit or materially and adversely affect the rights of any Member, in each case without the prior written consent of such Member or holder of units.</w:t>
      </w:r>
    </w:p>
    <w:p>
      <w:pPr>
        <w:pStyle w:val="TextBody"/>
        <w:bidi w:val="0"/>
        <w:spacing w:lineRule="auto" w:line="312" w:before="160" w:after="160"/>
        <w:jc w:val="both"/>
        <w:rPr>
          <w:rFonts w:ascii="Lato;sans-serif" w:hAnsi="Lato;sans-serif"/>
          <w:b/>
          <w:color w:val="000000"/>
          <w:sz w:val="18"/>
        </w:rPr>
      </w:pPr>
      <w:r>
        <w:rPr>
          <w:rFonts w:ascii="Lato;sans-serif" w:hAnsi="Lato;sans-serif"/>
          <w:b/>
          <w:color w:val="000000"/>
          <w:sz w:val="18"/>
        </w:rPr>
        <w:t>Registration Rights Agreement</w:t>
      </w:r>
    </w:p>
    <w:p>
      <w:pPr>
        <w:pStyle w:val="TextBody"/>
        <w:bidi w:val="0"/>
        <w:spacing w:lineRule="auto" w:line="312" w:before="80" w:after="160"/>
        <w:jc w:val="both"/>
        <w:rPr>
          <w:rFonts w:ascii="Lato;sans-serif" w:hAnsi="Lato;sans-serif"/>
          <w:b w:val="false"/>
          <w:color w:val="000000"/>
          <w:sz w:val="18"/>
        </w:rPr>
      </w:pPr>
      <w:r>
        <w:rPr>
          <w:rFonts w:ascii="Lato;sans-serif" w:hAnsi="Lato;sans-serif"/>
          <w:b w:val="false"/>
          <w:color w:val="000000"/>
          <w:sz w:val="18"/>
        </w:rPr>
        <w:t>In connection with the consummation of the Transactions, we entered into that certain Amended and Restated Registration Rights Agreement (the “Registration Rights Agreement”), dated as of February 13, 2023, by and among, us, the Sponsor, certain stockholders of Intuitive Machines and the Series A Investors pursuant to which we granted them and their affiliates the right, under certain circumstances and subject to certain restrictions, to require us to register under the Securities Act certain securities held by such holders, including registration of the shares of Class A Common Stock delivered to the Intuitive Machines Members in exchange for Intuitive Machines OpCo Common Units.</w:t>
      </w:r>
    </w:p>
    <w:p>
      <w:pPr>
        <w:pStyle w:val="TextBody"/>
        <w:bidi w:val="0"/>
        <w:spacing w:lineRule="auto" w:line="312" w:before="160" w:after="160"/>
        <w:jc w:val="both"/>
        <w:rPr>
          <w:rFonts w:ascii="Lato Black;sans-serif" w:hAnsi="Lato Black;sans-serif"/>
          <w:b w:val="false"/>
          <w:i/>
          <w:color w:val="000000"/>
          <w:sz w:val="18"/>
        </w:rPr>
      </w:pPr>
      <w:r>
        <w:rPr>
          <w:rFonts w:ascii="Lato Black;sans-serif" w:hAnsi="Lato Black;sans-serif"/>
          <w:b w:val="false"/>
          <w:i/>
          <w:color w:val="000000"/>
          <w:sz w:val="18"/>
        </w:rPr>
        <w:t>Policies and Procedures for Related Person Transactions</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 xml:space="preserve">Our Board has adopted a written Related Person Transaction Policy, setting forth the policies and procedures for the review and approval or ratification of related person transactions. Under the policy, our finance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finance department determines that a transaction or relationship is a related person transaction requiring compliance with the policy, our Chief Financial Officer is required to present to the Conflict Committee all relevant facts and circumstances relating to the related person transaction. Our Conflict Committee must review the relevant facts and circumstances of each related person transaction, including if the transaction is on terms comparable to those that could be obtained in arm’s length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40410"/>
                <wp:effectExtent l="0" t="0" r="0" b="0"/>
                <wp:wrapNone/>
                <wp:docPr id="27" name="Frame2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 xml:space="preserve">Corporate Governance </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Conflict Committee approval of a related person transaction requiring the Audit Committee’s approval is not feasible, then the transaction may be preliminarily entered into by management upon prior approval of the transaction by the Chair of the Conflict Committee subject to ratification of the transaction by the Conflict Committee at the Audit Committee’s next regularly scheduled meeting; provided, that if ratification is not forthcoming, management will make all reasonable efforts to cancel or annul the transaction. If a transaction was not initially recognized as a related person, then upon such recognition the transaction will be presented to the Conflict Committee for ratification at the Audit Committee’s next regularly scheduled meeting; provided, that if ratification is not forthcoming, management will make all reasonable efforts to cancel or annul the transaction. Our management will update the Conflict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160"/>
        <w:jc w:val="left"/>
        <w:rPr>
          <w:rFonts w:ascii="Lato;sans-serif" w:hAnsi="Lato;sans-serif"/>
          <w:b/>
          <w:color w:val="000000"/>
          <w:sz w:val="24"/>
          <w:shd w:fill="FFFFFF" w:val="clear"/>
        </w:rPr>
      </w:pPr>
      <w:r>
        <w:rPr>
          <w:rFonts w:ascii="Lato;sans-serif" w:hAnsi="Lato;sans-serif"/>
          <w:b/>
          <w:color w:val="000000"/>
          <w:sz w:val="24"/>
          <w:shd w:fill="FFFFFF" w:val="clear"/>
        </w:rPr>
        <w:t>Indemnification and Exculpation of our Directors and Officers</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The Bylaws provide that we are required to indemnify our directors and officers to the fullest extent permitted by the DGCL. In addition, the Certificate of Incorporation provides that our directors and officers will not be liable for monetary damages for breach of fiduciary duty to the fullest extent permitted by the DGCL.</w:t>
      </w:r>
    </w:p>
    <w:p>
      <w:pPr>
        <w:pStyle w:val="TextBody"/>
        <w:bidi w:val="0"/>
        <w:spacing w:before="160" w:after="1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40410"/>
                <wp:effectExtent l="0" t="0" r="0" b="0"/>
                <wp:wrapNone/>
                <wp:docPr id="28" name="Frame2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0"/>
        <w:jc w:val="left"/>
        <w:rPr>
          <w:rFonts w:ascii="Lato Black;sans-serif" w:hAnsi="Lato Black;sans-serif"/>
          <w:b w:val="false"/>
          <w:color w:val="005CB9"/>
          <w:sz w:val="32"/>
        </w:rPr>
      </w:pPr>
      <w:r>
        <w:rPr>
          <w:rFonts w:ascii="Lato Black;sans-serif" w:hAnsi="Lato Black;sans-serif"/>
          <w:b w:val="false"/>
          <w:color w:val="005CB9"/>
          <w:sz w:val="32"/>
        </w:rPr>
        <w:t>Director Compensation Plan</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 xml:space="preserve">Our non-employee directors receive cash and equity compensation for their service as directors. Our Board determines annual retainers and other compensation for non-employee directors. Mr. Altemus is also a member of our Board but did not receive any additional compensation for his service as a director.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60" w:after="80"/>
        <w:jc w:val="both"/>
        <w:rPr>
          <w:rFonts w:ascii="Lato;sans-serif" w:hAnsi="Lato;sans-serif"/>
          <w:b/>
          <w:color w:val="000000"/>
          <w:sz w:val="24"/>
        </w:rPr>
      </w:pPr>
      <w:r>
        <w:rPr>
          <w:rFonts w:ascii="Lato;sans-serif" w:hAnsi="Lato;sans-serif"/>
          <w:b/>
          <w:color w:val="000000"/>
          <w:sz w:val="24"/>
        </w:rPr>
        <w:t>Cash Compensation</w:t>
      </w:r>
    </w:p>
    <w:p>
      <w:pPr>
        <w:pStyle w:val="TextBody"/>
        <w:bidi w:val="0"/>
        <w:spacing w:lineRule="auto" w:line="312" w:before="80" w:after="160"/>
        <w:jc w:val="both"/>
        <w:rPr>
          <w:rFonts w:ascii="Lato;sans-serif" w:hAnsi="Lato;sans-serif"/>
          <w:b w:val="false"/>
          <w:color w:val="000000"/>
          <w:sz w:val="18"/>
        </w:rPr>
      </w:pPr>
      <w:r>
        <w:rPr>
          <w:rFonts w:ascii="Lato;sans-serif" w:hAnsi="Lato;sans-serif"/>
          <w:b w:val="false"/>
          <w:color w:val="000000"/>
          <w:sz w:val="18"/>
        </w:rPr>
        <w:t>Non-employee directors receive annual cash compensation of $55,000 for service on our Board and our Chairman receives annual cash compensation of $105,000 for service on our Board. Additional compensation for committee service as follows:</w:t>
      </w:r>
    </w:p>
    <w:p>
      <w:pPr>
        <w:pStyle w:val="TextBody"/>
        <w:bidi w:val="0"/>
        <w:spacing w:lineRule="auto" w:line="312" w:before="80" w:after="80"/>
        <w:ind w:left="0" w:right="0" w:hanging="216"/>
        <w:jc w:val="left"/>
        <w:rPr/>
      </w:pPr>
      <w:r>
        <w:rPr>
          <w:color w:val="005CB9"/>
        </w:rPr>
        <w:t>•</w:t>
      </w:r>
      <w:r>
        <w:rPr>
          <w:rFonts w:ascii="Lato;sans-serif" w:hAnsi="Lato;sans-serif"/>
          <w:b w:val="false"/>
          <w:color w:val="000000"/>
          <w:sz w:val="18"/>
        </w:rPr>
        <w:t>Audit Committee – $20,000 for the chair and $10,000 for each other member;</w:t>
      </w:r>
    </w:p>
    <w:p>
      <w:pPr>
        <w:pStyle w:val="TextBody"/>
        <w:bidi w:val="0"/>
        <w:spacing w:lineRule="auto" w:line="312" w:before="80" w:after="80"/>
        <w:ind w:left="0" w:right="0" w:hanging="216"/>
        <w:jc w:val="left"/>
        <w:rPr/>
      </w:pPr>
      <w:r>
        <w:rPr>
          <w:color w:val="005CB9"/>
        </w:rPr>
        <w:t>•</w:t>
      </w:r>
      <w:r>
        <w:rPr>
          <w:rFonts w:ascii="Lato;sans-serif" w:hAnsi="Lato;sans-serif"/>
          <w:b w:val="false"/>
          <w:color w:val="000000"/>
          <w:sz w:val="18"/>
        </w:rPr>
        <w:t>Compensation Committee –$15,000 for the chair and $7,500 for each other member;</w:t>
      </w:r>
    </w:p>
    <w:p>
      <w:pPr>
        <w:pStyle w:val="TextBody"/>
        <w:bidi w:val="0"/>
        <w:spacing w:lineRule="auto" w:line="312" w:before="80" w:after="80"/>
        <w:ind w:left="0" w:right="0" w:hanging="216"/>
        <w:jc w:val="left"/>
        <w:rPr/>
      </w:pPr>
      <w:r>
        <w:rPr>
          <w:color w:val="005CB9"/>
        </w:rPr>
        <w:t>•</w:t>
      </w:r>
      <w:r>
        <w:rPr>
          <w:rFonts w:ascii="Lato;sans-serif" w:hAnsi="Lato;sans-serif"/>
          <w:b w:val="false"/>
          <w:color w:val="000000"/>
          <w:sz w:val="18"/>
        </w:rPr>
        <w:t xml:space="preserve">Nominating and Corporate Governance Committee –$15,000 for the chair and $7,500 for each other member; and </w:t>
      </w:r>
    </w:p>
    <w:p>
      <w:pPr>
        <w:pStyle w:val="TextBody"/>
        <w:bidi w:val="0"/>
        <w:spacing w:lineRule="auto" w:line="312" w:before="80" w:after="160"/>
        <w:ind w:left="0" w:right="0" w:hanging="216"/>
        <w:jc w:val="left"/>
        <w:rPr/>
      </w:pPr>
      <w:r>
        <w:rPr>
          <w:color w:val="005CB9"/>
        </w:rPr>
        <w:t>•</w:t>
      </w:r>
      <w:r>
        <w:rPr>
          <w:rFonts w:ascii="Lato;sans-serif" w:hAnsi="Lato;sans-serif"/>
          <w:b w:val="false"/>
          <w:color w:val="000000"/>
          <w:sz w:val="18"/>
        </w:rPr>
        <w:t>Conflicts Committee – $15,000 for the chair and $7,500 for each other member;</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annual retainer will be paid in quarterly installments in arrears. Annual cash retainers will be pro-rated for any partial calendar quarter of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60" w:after="80"/>
        <w:jc w:val="both"/>
        <w:rPr>
          <w:rFonts w:ascii="Lato;sans-serif" w:hAnsi="Lato;sans-serif"/>
          <w:b/>
          <w:color w:val="000000"/>
          <w:sz w:val="24"/>
        </w:rPr>
      </w:pPr>
      <w:r>
        <w:rPr>
          <w:rFonts w:ascii="Lato;sans-serif" w:hAnsi="Lato;sans-serif"/>
          <w:b/>
          <w:color w:val="000000"/>
          <w:sz w:val="24"/>
        </w:rPr>
        <w:t>Equity Compensation</w:t>
      </w:r>
    </w:p>
    <w:p>
      <w:pPr>
        <w:pStyle w:val="TextBody"/>
        <w:bidi w:val="0"/>
        <w:spacing w:lineRule="auto" w:line="312" w:before="80" w:after="240"/>
        <w:jc w:val="both"/>
        <w:rPr>
          <w:rFonts w:ascii="Lato;sans-serif" w:hAnsi="Lato;sans-serif"/>
          <w:b w:val="false"/>
          <w:color w:val="000000"/>
          <w:sz w:val="18"/>
        </w:rPr>
      </w:pPr>
      <w:r>
        <w:rPr>
          <w:rFonts w:ascii="Lato;sans-serif" w:hAnsi="Lato;sans-serif"/>
          <w:b w:val="false"/>
          <w:color w:val="000000"/>
          <w:sz w:val="18"/>
        </w:rPr>
        <w:t>For 2024, each non-employee director received an annual grant of restricted stock units, valued at $200,000 and the chair received an annual grant of restricted stock units awards, valued at $250,000. These awards were granted under the 2023 Long Term Omnibus Incentive Plan. Restricted stock units are settled in shares of Class A common stock. All restricted stock units granted to non-employee directors will vest in full on the earlier to occur of the first anniversary of the grant date and the date of the next annual meeting following the grant date, subject to continued service. In addition, each equity award granted to a non-employee director will vest in full immediately prior to the occurrence of a “change in control” (as defined in the 2023 Plan defined below). Compensation under the Director Compensation Program will be subject to the annual limits on non-employee director compensation set forth in the 2023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left"/>
        <w:rPr>
          <w:rFonts w:ascii="Lato;sans-serif" w:hAnsi="Lato;sans-serif"/>
          <w:b/>
          <w:color w:val="000000"/>
          <w:sz w:val="24"/>
        </w:rPr>
      </w:pPr>
      <w:r>
        <w:rPr>
          <w:rFonts w:ascii="Lato;sans-serif" w:hAnsi="Lato;sans-serif"/>
          <w:b/>
          <w:color w:val="000000"/>
          <w:sz w:val="24"/>
        </w:rPr>
        <w:t>Director Compensation</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 xml:space="preserve">The following table summarizes the compensation awarded to, earned by or paid to our non-employee directors and to our Chairman who served on our Board during 2024. Mr. Altemus, our President and Chief Executive Officer, is also a member of our Board but receives no compensation in connection with his service as director and, accordingly, he is omitted from this table. </w:t>
      </w:r>
    </w:p>
    <w:tbl>
      <w:tblPr>
        <w:tblW w:w="7094" w:type="dxa"/>
        <w:jc w:val="left"/>
        <w:tblInd w:w="0" w:type="dxa"/>
        <w:tblLayout w:type="fixed"/>
        <w:tblCellMar>
          <w:top w:w="28" w:type="dxa"/>
          <w:left w:w="28" w:type="dxa"/>
          <w:bottom w:w="28" w:type="dxa"/>
          <w:right w:w="28" w:type="dxa"/>
        </w:tblCellMar>
      </w:tblPr>
      <w:tblGrid>
        <w:gridCol w:w="816"/>
        <w:gridCol w:w="720"/>
        <w:gridCol w:w="728"/>
        <w:gridCol w:w="674"/>
        <w:gridCol w:w="674"/>
        <w:gridCol w:w="677"/>
        <w:gridCol w:w="624"/>
        <w:gridCol w:w="624"/>
        <w:gridCol w:w="626"/>
        <w:gridCol w:w="271"/>
        <w:gridCol w:w="271"/>
        <w:gridCol w:w="389"/>
      </w:tblGrid>
      <w:tr>
        <w:trPr/>
        <w:tc>
          <w:tcPr>
            <w:tcW w:w="8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Name</w:t>
            </w:r>
          </w:p>
        </w:tc>
        <w:tc>
          <w:tcPr>
            <w:tcW w:w="202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Lato;sans-serif" w:hAnsi="Lato;sans-serif"/>
                <w:b/>
                <w:color w:val="000000"/>
                <w:sz w:val="16"/>
              </w:rPr>
            </w:pPr>
            <w:r>
              <w:rPr>
                <w:rFonts w:ascii="Lato;sans-serif" w:hAnsi="Lato;sans-serif"/>
                <w:b/>
                <w:color w:val="000000"/>
                <w:sz w:val="16"/>
              </w:rPr>
              <w:t xml:space="preserve">Fees Earned or Paid </w:t>
              <w:br/>
              <w:t xml:space="preserve">in Cash </w:t>
              <w:br/>
              <w:t>($)</w:t>
            </w:r>
          </w:p>
        </w:tc>
        <w:tc>
          <w:tcPr>
            <w:tcW w:w="1874"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Lato;sans-serif" w:hAnsi="Lato;sans-serif"/>
                <w:b/>
                <w:color w:val="000000"/>
                <w:sz w:val="16"/>
              </w:rPr>
              <w:t>Stock Awards ($)</w:t>
            </w:r>
            <w:r>
              <w:rPr>
                <w:rFonts w:ascii="Lato;sans-serif" w:hAnsi="Lato;sans-serif"/>
                <w:b/>
                <w:color w:val="000000"/>
                <w:sz w:val="10"/>
              </w:rPr>
              <w:t>(1)</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Total</w:t>
              <w:br/>
              <w:t>($)</w:t>
            </w:r>
          </w:p>
        </w:tc>
      </w:tr>
      <w:tr>
        <w:trPr/>
        <w:tc>
          <w:tcPr>
            <w:tcW w:w="2264"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Dr. Kamal Ghaffarian</w:t>
            </w:r>
          </w:p>
        </w:tc>
        <w:tc>
          <w:tcPr>
            <w:tcW w:w="202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105,000</w:t>
            </w:r>
          </w:p>
        </w:tc>
        <w:tc>
          <w:tcPr>
            <w:tcW w:w="1874"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250,000</w:t>
            </w:r>
          </w:p>
        </w:tc>
        <w:tc>
          <w:tcPr>
            <w:tcW w:w="93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355,000</w:t>
            </w:r>
          </w:p>
        </w:tc>
      </w:tr>
      <w:tr>
        <w:trPr/>
        <w:tc>
          <w:tcPr>
            <w:tcW w:w="226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Michael Blitzer</w:t>
            </w:r>
          </w:p>
        </w:tc>
        <w:tc>
          <w:tcPr>
            <w:tcW w:w="202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95,000</w:t>
            </w:r>
          </w:p>
        </w:tc>
        <w:tc>
          <w:tcPr>
            <w:tcW w:w="187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200,000</w:t>
            </w:r>
          </w:p>
        </w:tc>
        <w:tc>
          <w:tcPr>
            <w:tcW w:w="93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295,000</w:t>
            </w:r>
          </w:p>
        </w:tc>
      </w:tr>
      <w:tr>
        <w:trPr/>
        <w:tc>
          <w:tcPr>
            <w:tcW w:w="226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William J. Liquori</w:t>
            </w:r>
          </w:p>
        </w:tc>
        <w:tc>
          <w:tcPr>
            <w:tcW w:w="202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87,500</w:t>
            </w:r>
          </w:p>
        </w:tc>
        <w:tc>
          <w:tcPr>
            <w:tcW w:w="187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200,000</w:t>
            </w:r>
          </w:p>
        </w:tc>
        <w:tc>
          <w:tcPr>
            <w:tcW w:w="93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287,500</w:t>
            </w:r>
          </w:p>
        </w:tc>
      </w:tr>
      <w:tr>
        <w:trPr/>
        <w:tc>
          <w:tcPr>
            <w:tcW w:w="226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Robert L. Masson</w:t>
            </w:r>
          </w:p>
        </w:tc>
        <w:tc>
          <w:tcPr>
            <w:tcW w:w="202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90,000</w:t>
            </w:r>
          </w:p>
        </w:tc>
        <w:tc>
          <w:tcPr>
            <w:tcW w:w="187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200,000</w:t>
            </w:r>
          </w:p>
        </w:tc>
        <w:tc>
          <w:tcPr>
            <w:tcW w:w="93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290,000</w:t>
            </w:r>
          </w:p>
        </w:tc>
      </w:tr>
      <w:tr>
        <w:trPr/>
        <w:tc>
          <w:tcPr>
            <w:tcW w:w="2264"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Nicole Seligman</w:t>
            </w:r>
          </w:p>
        </w:tc>
        <w:tc>
          <w:tcPr>
            <w:tcW w:w="2025"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77,500</w:t>
            </w:r>
          </w:p>
        </w:tc>
        <w:tc>
          <w:tcPr>
            <w:tcW w:w="1874"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200,000</w:t>
            </w:r>
          </w:p>
        </w:tc>
        <w:tc>
          <w:tcPr>
            <w:tcW w:w="931"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277,500</w:t>
            </w:r>
          </w:p>
        </w:tc>
      </w:tr>
    </w:tbl>
    <w:p>
      <w:pPr>
        <w:pStyle w:val="TextBody"/>
        <w:bidi w:val="0"/>
        <w:spacing w:lineRule="auto" w:line="312" w:before="80" w:after="240"/>
        <w:ind w:left="0" w:right="0" w:hanging="360"/>
        <w:jc w:val="both"/>
        <w:rPr/>
      </w:pPr>
      <w:r>
        <w:rPr>
          <w:rFonts w:ascii="Lato;sans-serif" w:hAnsi="Lato;sans-serif"/>
          <w:b w:val="false"/>
          <w:color w:val="000000"/>
          <w:sz w:val="16"/>
        </w:rPr>
        <w:t>(1)Amou</w:t>
      </w:r>
      <w:r>
        <w:rPr>
          <w:rFonts w:ascii="Lato;sans-serif" w:hAnsi="Lato;sans-serif"/>
          <w:b w:val="false"/>
          <w:color w:val="000000"/>
          <w:sz w:val="18"/>
        </w:rPr>
        <w:t>n</w:t>
      </w:r>
      <w:r>
        <w:rPr>
          <w:rFonts w:ascii="Lato;sans-serif" w:hAnsi="Lato;sans-serif"/>
          <w:b w:val="false"/>
          <w:color w:val="000000"/>
          <w:sz w:val="16"/>
        </w:rPr>
        <w:t>ts reflect the grant-date fair value of restricted stock units granted during 2024, computed in accordance with Financial Accounting Standards Board (“FASB”) Accounting Standards Codification Topic 718, without taking into account estimated forfeitures, based on the closing market price of our Class A Common Stock on the grant date.</w:t>
      </w:r>
    </w:p>
    <w:p>
      <w:pPr>
        <w:pStyle w:val="TextBody"/>
        <w:bidi w:val="0"/>
        <w:spacing w:before="80" w:after="160"/>
        <w:jc w:val="left"/>
        <w:rPr/>
      </w:pPr>
      <w:r>
        <w:rPr/>
      </w:r>
    </w:p>
    <w:p>
      <w:pPr>
        <w:pStyle w:val="TextBody"/>
        <w:bidi w:val="0"/>
        <w:spacing w:before="16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40410"/>
                <wp:effectExtent l="0" t="0" r="0" b="0"/>
                <wp:wrapNone/>
                <wp:docPr id="29" name="Frame2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22</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The following table shows the aggregated numbers of outstanding RSUs held as on December 31, 2024 by each non-employee director and our Chairman.</w:t>
      </w:r>
    </w:p>
    <w:tbl>
      <w:tblPr>
        <w:tblW w:w="4394" w:type="dxa"/>
        <w:jc w:val="left"/>
        <w:tblInd w:w="0" w:type="dxa"/>
        <w:tblLayout w:type="fixed"/>
        <w:tblCellMar>
          <w:top w:w="28" w:type="dxa"/>
          <w:left w:w="28" w:type="dxa"/>
          <w:bottom w:w="28" w:type="dxa"/>
          <w:right w:w="28" w:type="dxa"/>
        </w:tblCellMar>
      </w:tblPr>
      <w:tblGrid>
        <w:gridCol w:w="816"/>
        <w:gridCol w:w="720"/>
        <w:gridCol w:w="728"/>
        <w:gridCol w:w="623"/>
        <w:gridCol w:w="623"/>
        <w:gridCol w:w="884"/>
      </w:tblGrid>
      <w:tr>
        <w:trPr/>
        <w:tc>
          <w:tcPr>
            <w:tcW w:w="8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Name</w:t>
            </w:r>
          </w:p>
        </w:tc>
        <w:tc>
          <w:tcPr>
            <w:tcW w:w="213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RSUs Outstanding at</w:t>
            </w:r>
          </w:p>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2024 Fiscal Year End</w:t>
            </w:r>
          </w:p>
          <w:p>
            <w:pPr>
              <w:pStyle w:val="TableContents"/>
              <w:bidi w:val="0"/>
              <w:spacing w:lineRule="auto" w:line="288" w:before="0" w:after="0"/>
              <w:jc w:val="right"/>
              <w:rPr/>
            </w:pPr>
            <w:r>
              <w:rPr>
                <w:rFonts w:ascii="Lato;sans-serif" w:hAnsi="Lato;sans-serif"/>
                <w:b/>
                <w:color w:val="000000"/>
                <w:sz w:val="16"/>
              </w:rPr>
              <w:t>(#)</w:t>
            </w:r>
            <w:r>
              <w:rPr>
                <w:rFonts w:ascii="Lato;sans-serif" w:hAnsi="Lato;sans-serif"/>
                <w:b/>
                <w:color w:val="000000"/>
                <w:sz w:val="10"/>
              </w:rPr>
              <w:t>(1)</w:t>
            </w:r>
          </w:p>
        </w:tc>
      </w:tr>
      <w:tr>
        <w:trPr/>
        <w:tc>
          <w:tcPr>
            <w:tcW w:w="2264"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Dr. Kamal Ghaffarian</w:t>
            </w:r>
          </w:p>
        </w:tc>
        <w:tc>
          <w:tcPr>
            <w:tcW w:w="2130"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55,680</w:t>
            </w:r>
          </w:p>
        </w:tc>
      </w:tr>
      <w:tr>
        <w:trPr/>
        <w:tc>
          <w:tcPr>
            <w:tcW w:w="226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Michael Blitzer</w:t>
            </w:r>
          </w:p>
        </w:tc>
        <w:tc>
          <w:tcPr>
            <w:tcW w:w="213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44,544</w:t>
            </w:r>
          </w:p>
        </w:tc>
      </w:tr>
      <w:tr>
        <w:trPr/>
        <w:tc>
          <w:tcPr>
            <w:tcW w:w="226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William J. Liquori</w:t>
            </w:r>
          </w:p>
        </w:tc>
        <w:tc>
          <w:tcPr>
            <w:tcW w:w="213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44,544</w:t>
            </w:r>
          </w:p>
        </w:tc>
      </w:tr>
      <w:tr>
        <w:trPr/>
        <w:tc>
          <w:tcPr>
            <w:tcW w:w="226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Robert L. Masson</w:t>
            </w:r>
          </w:p>
        </w:tc>
        <w:tc>
          <w:tcPr>
            <w:tcW w:w="213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44,544</w:t>
            </w:r>
          </w:p>
        </w:tc>
      </w:tr>
      <w:tr>
        <w:trPr/>
        <w:tc>
          <w:tcPr>
            <w:tcW w:w="2264"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Nicole Seligman</w:t>
            </w:r>
          </w:p>
        </w:tc>
        <w:tc>
          <w:tcPr>
            <w:tcW w:w="2130"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44,544</w:t>
            </w:r>
          </w:p>
        </w:tc>
      </w:tr>
    </w:tbl>
    <w:p>
      <w:pPr>
        <w:pStyle w:val="TextBody"/>
        <w:bidi w:val="0"/>
        <w:spacing w:lineRule="auto" w:line="312" w:before="80" w:after="240"/>
        <w:ind w:left="0" w:right="0" w:hanging="360"/>
        <w:jc w:val="both"/>
        <w:rPr>
          <w:rFonts w:ascii="Lato;sans-serif" w:hAnsi="Lato;sans-serif"/>
          <w:b w:val="false"/>
          <w:color w:val="000000"/>
          <w:sz w:val="16"/>
        </w:rPr>
      </w:pPr>
      <w:r>
        <w:rPr>
          <w:rFonts w:ascii="Lato;sans-serif" w:hAnsi="Lato;sans-serif"/>
          <w:b w:val="false"/>
          <w:color w:val="000000"/>
          <w:sz w:val="16"/>
        </w:rPr>
        <w:t>(1)Represents RSUs, each of which represents a contingent right to receive one share of Class A Common Stock. The RSUs will vest in full on the earlier to occur of the first anniversary June 6, 2024 and the date of the next annual meeting following the grant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left"/>
        <w:rPr>
          <w:rFonts w:ascii="Lato;sans-serif" w:hAnsi="Lato;sans-serif"/>
          <w:b/>
          <w:color w:val="000000"/>
          <w:sz w:val="24"/>
        </w:rPr>
      </w:pPr>
      <w:r>
        <w:rPr>
          <w:rFonts w:ascii="Lato;sans-serif" w:hAnsi="Lato;sans-serif"/>
          <w:b/>
          <w:color w:val="000000"/>
          <w:sz w:val="24"/>
        </w:rPr>
        <w:t>Director Deferred Compensation Plan</w:t>
      </w:r>
    </w:p>
    <w:p>
      <w:pPr>
        <w:pStyle w:val="TextBody"/>
        <w:bidi w:val="0"/>
        <w:spacing w:lineRule="auto" w:line="312" w:before="160" w:after="283"/>
        <w:jc w:val="both"/>
        <w:rPr>
          <w:rFonts w:ascii="Lato;sans-serif" w:hAnsi="Lato;sans-serif"/>
          <w:b w:val="false"/>
          <w:color w:val="000000"/>
          <w:sz w:val="18"/>
        </w:rPr>
      </w:pPr>
      <w:r>
        <w:rPr>
          <w:rFonts w:ascii="Lato;sans-serif" w:hAnsi="Lato;sans-serif"/>
          <w:b w:val="false"/>
          <w:color w:val="000000"/>
          <w:sz w:val="18"/>
        </w:rPr>
        <w:t xml:space="preserve">Our Board adopted a Deferred Compensation Plan for Directors in 2023 (the “Deferred Compensation Plan”). The Deferred Compensation Plan permits our non-employee directors to defer the settlement of all RSU awards granted under the Director Compensation Program until separation of service to the Company. With respect to 2024, Dr. Ghaffarian, Mr. Blitzer, Mr. Masson and Ms. Seligman elected to defer the settlement of the RSU awards.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40410"/>
                <wp:effectExtent l="0" t="0" r="0" b="0"/>
                <wp:wrapNone/>
                <wp:docPr id="30" name="Frame2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160"/>
        <w:jc w:val="left"/>
        <w:rPr>
          <w:rFonts w:ascii="Lato Black;sans-serif" w:hAnsi="Lato Black;sans-serif"/>
          <w:b w:val="false"/>
          <w:color w:val="005CB9"/>
          <w:sz w:val="28"/>
          <w:shd w:fill="FFFFFF" w:val="clear"/>
        </w:rPr>
      </w:pPr>
      <w:r>
        <w:rPr>
          <w:rFonts w:ascii="Lato Black;sans-serif" w:hAnsi="Lato Black;sans-serif"/>
          <w:b w:val="false"/>
          <w:color w:val="005CB9"/>
          <w:sz w:val="28"/>
          <w:shd w:fill="FFFFFF" w:val="clear"/>
        </w:rPr>
        <w:t>Security Ownership of Certain Beneficial Owners and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following table sets forth beneficial ownership of our common stock as of April 8, 2025 by:</w:t>
      </w:r>
    </w:p>
    <w:p>
      <w:pPr>
        <w:pStyle w:val="TextBody"/>
        <w:bidi w:val="0"/>
        <w:spacing w:lineRule="auto" w:line="312" w:before="80" w:after="80"/>
        <w:ind w:left="0" w:right="0" w:hanging="216"/>
        <w:jc w:val="left"/>
        <w:rPr/>
      </w:pPr>
      <w:r>
        <w:rPr>
          <w:color w:val="005CB9"/>
        </w:rPr>
        <w:t>•</w:t>
      </w:r>
      <w:r>
        <w:rPr>
          <w:rFonts w:ascii="Lato;sans-serif" w:hAnsi="Lato;sans-serif"/>
          <w:b w:val="false"/>
          <w:color w:val="000000"/>
          <w:sz w:val="18"/>
        </w:rPr>
        <w:t>each person who is known to be the beneficial owner of more than 5% of shares of our voting securities</w:t>
      </w:r>
    </w:p>
    <w:p>
      <w:pPr>
        <w:pStyle w:val="TextBody"/>
        <w:bidi w:val="0"/>
        <w:spacing w:lineRule="auto" w:line="312" w:before="80" w:after="80"/>
        <w:ind w:left="0" w:right="0" w:hanging="216"/>
        <w:jc w:val="left"/>
        <w:rPr/>
      </w:pPr>
      <w:r>
        <w:rPr>
          <w:color w:val="005CB9"/>
        </w:rPr>
        <w:t>•</w:t>
      </w:r>
      <w:r>
        <w:rPr>
          <w:rFonts w:ascii="Lato;sans-serif" w:hAnsi="Lato;sans-serif"/>
          <w:b w:val="false"/>
          <w:color w:val="000000"/>
          <w:sz w:val="18"/>
        </w:rPr>
        <w:t xml:space="preserve">each of our current named executive officers and directors; and </w:t>
      </w:r>
    </w:p>
    <w:p>
      <w:pPr>
        <w:pStyle w:val="TextBody"/>
        <w:bidi w:val="0"/>
        <w:spacing w:lineRule="auto" w:line="312" w:before="80" w:after="80"/>
        <w:ind w:left="0" w:right="0" w:hanging="216"/>
        <w:jc w:val="left"/>
        <w:rPr/>
      </w:pPr>
      <w:r>
        <w:rPr>
          <w:color w:val="005CB9"/>
        </w:rPr>
        <w:t>•</w:t>
      </w:r>
      <w:r>
        <w:rPr>
          <w:rFonts w:ascii="Lato;sans-serif" w:hAnsi="Lato;sans-serif"/>
          <w:b w:val="false"/>
          <w:color w:val="000000"/>
          <w:sz w:val="18"/>
        </w:rPr>
        <w:t>all current executive officers and directors as a group.</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The information below is based on an aggregate of 117,138,248 shares of Class A Common Stock and 61,301,804 shares of Class C Common Stock issued and outstanding as of April 8, 2025. No shares of Class B Common Stock were issued and outstanding as of April 8, 2025. Beneficial ownership is determined according to the rules of the SEC, which generally provide that a person has beneficial ownership of a security if he, she, or it possesses sole or shared voting or investment power over that security, including warrants that are currently exercisable or exercisable within 60 days. Voting power represents the combined voting power of shares of Class A Common Stock, Class B Common Stock and Class C Common Stock owned beneficially by such person. On all matters to be voted upon, holders of shares of Class A Common Stock, Class B Common Stock and Class C Common Stock will vote together as a single class on all matters submitted to the stockholders for their vote or approval. Holders of Class A Common Stock and Class B Common Stock are entitled to one vote per share on all matters submitted to the stockholders for their vote or approval and holders of Class C Common Stock are entitled to three votes per share on all matters submitted to the stockholders for their vote or approval.</w:t>
      </w:r>
    </w:p>
    <w:p>
      <w:pPr>
        <w:pStyle w:val="TextBody"/>
        <w:bidi w:val="0"/>
        <w:spacing w:lineRule="auto" w:line="312" w:before="0" w:after="0"/>
        <w:jc w:val="left"/>
        <w:rPr>
          <w:rFonts w:ascii="Lato;sans-serif" w:hAnsi="Lato;sans-serif"/>
          <w:b w:val="false"/>
          <w:color w:val="000000"/>
          <w:sz w:val="18"/>
        </w:rPr>
      </w:pPr>
      <w:r>
        <w:rPr>
          <w:rFonts w:ascii="Lato;sans-serif" w:hAnsi="Lato;sans-serif"/>
          <w:b w:val="false"/>
          <w:color w:val="000000"/>
          <w:sz w:val="18"/>
        </w:rPr>
        <w:t>Unless otherwise indicated, we believe that all persons named in the table below have sole voting and investment power with respect to the voting securities beneficially owned by them.</w:t>
      </w:r>
    </w:p>
    <w:tbl>
      <w:tblPr>
        <w:tblW w:w="10205" w:type="dxa"/>
        <w:jc w:val="right"/>
        <w:tblInd w:w="0" w:type="dxa"/>
        <w:tblLayout w:type="fixed"/>
        <w:tblCellMar>
          <w:top w:w="28" w:type="dxa"/>
          <w:left w:w="28" w:type="dxa"/>
          <w:bottom w:w="28" w:type="dxa"/>
          <w:right w:w="28" w:type="dxa"/>
        </w:tblCellMar>
      </w:tblPr>
      <w:tblGrid>
        <w:gridCol w:w="724"/>
        <w:gridCol w:w="587"/>
        <w:gridCol w:w="592"/>
        <w:gridCol w:w="297"/>
        <w:gridCol w:w="297"/>
        <w:gridCol w:w="249"/>
        <w:gridCol w:w="170"/>
        <w:gridCol w:w="170"/>
        <w:gridCol w:w="172"/>
        <w:gridCol w:w="109"/>
        <w:gridCol w:w="109"/>
        <w:gridCol w:w="109"/>
        <w:gridCol w:w="297"/>
        <w:gridCol w:w="276"/>
        <w:gridCol w:w="170"/>
        <w:gridCol w:w="170"/>
        <w:gridCol w:w="170"/>
        <w:gridCol w:w="172"/>
        <w:gridCol w:w="109"/>
        <w:gridCol w:w="109"/>
        <w:gridCol w:w="109"/>
        <w:gridCol w:w="393"/>
        <w:gridCol w:w="356"/>
        <w:gridCol w:w="201"/>
        <w:gridCol w:w="297"/>
        <w:gridCol w:w="203"/>
        <w:gridCol w:w="172"/>
        <w:gridCol w:w="109"/>
        <w:gridCol w:w="109"/>
        <w:gridCol w:w="109"/>
        <w:gridCol w:w="741"/>
        <w:gridCol w:w="620"/>
        <w:gridCol w:w="623"/>
        <w:gridCol w:w="109"/>
        <w:gridCol w:w="109"/>
        <w:gridCol w:w="109"/>
        <w:gridCol w:w="223"/>
        <w:gridCol w:w="223"/>
        <w:gridCol w:w="332"/>
      </w:tblGrid>
      <w:tr>
        <w:trPr/>
        <w:tc>
          <w:tcPr>
            <w:tcW w:w="7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86" w:type="dxa"/>
            <w:gridSpan w:val="24"/>
            <w:tcBorders>
              <w:bottom w:val="single" w:sz="8" w:space="0" w:color="005CB9"/>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Shares Beneficially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4"/>
              </w:rPr>
            </w:pPr>
            <w:r>
              <w:rPr>
                <w:rFonts w:ascii="Lato;sans-serif" w:hAnsi="Lato;sans-serif"/>
                <w:b/>
                <w:color w:val="000000"/>
                <w:sz w:val="14"/>
              </w:rPr>
              <w:t>Number of Shares of Class A, Class B, and Class C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4"/>
              </w:rPr>
            </w:pPr>
            <w:r>
              <w:rPr>
                <w:rFonts w:ascii="Lato;sans-serif" w:hAnsi="Lato;sans-serif"/>
                <w:b/>
                <w:color w:val="000000"/>
                <w:sz w:val="14"/>
              </w:rPr>
              <w:t xml:space="preserve">% of Total </w:t>
              <w:br/>
              <w:t>Voting Power</w:t>
            </w:r>
          </w:p>
        </w:tc>
      </w:tr>
      <w:tr>
        <w:trPr/>
        <w:tc>
          <w:tcPr>
            <w:tcW w:w="1903"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5" w:type="dxa"/>
            <w:gridSpan w:val="6"/>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Class A Common Stock</w:t>
            </w:r>
          </w:p>
        </w:tc>
        <w:tc>
          <w:tcPr>
            <w:tcW w:w="327"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6"/>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Class B Common Stock</w:t>
            </w:r>
          </w:p>
        </w:tc>
        <w:tc>
          <w:tcPr>
            <w:tcW w:w="327"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6"/>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Class C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0000"/>
                <w:sz w:val="14"/>
              </w:rPr>
              <w:t>Name and Address of Beneficial Owner</w:t>
            </w:r>
            <w:r>
              <w:rPr>
                <w:rFonts w:ascii="Lato;sans-serif" w:hAnsi="Lato;sans-serif"/>
                <w:b w:val="false"/>
                <w:color w:val="000000"/>
                <w:sz w:val="9"/>
              </w:rPr>
              <w:t>(1)</w:t>
            </w:r>
          </w:p>
        </w:tc>
        <w:tc>
          <w:tcPr>
            <w:tcW w:w="8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Number</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Number</w:t>
            </w:r>
          </w:p>
        </w:tc>
        <w:tc>
          <w:tcPr>
            <w:tcW w:w="5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Number</w:t>
            </w:r>
          </w:p>
        </w:tc>
        <w:tc>
          <w:tcPr>
            <w:tcW w:w="6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4"/>
              </w:rPr>
            </w:pPr>
            <w:r>
              <w:rPr>
                <w:rFonts w:ascii="Lato;sans-serif" w:hAnsi="Lato;sans-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3"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75" w:after="30"/>
              <w:jc w:val="left"/>
              <w:rPr/>
            </w:pPr>
            <w:r>
              <w:rPr>
                <w:rFonts w:ascii="Lato;sans-serif" w:hAnsi="Lato;sans-serif"/>
                <w:b/>
                <w:color w:val="005CB9"/>
                <w:sz w:val="14"/>
              </w:rPr>
              <w:t>Stephen Altemus</w:t>
            </w:r>
            <w:r>
              <w:rPr>
                <w:rFonts w:ascii="Lato;sans-serif" w:hAnsi="Lato;sans-serif"/>
                <w:b/>
                <w:color w:val="005CB9"/>
                <w:sz w:val="9"/>
              </w:rPr>
              <w:t>(2)(6)</w:t>
            </w:r>
          </w:p>
        </w:tc>
        <w:tc>
          <w:tcPr>
            <w:tcW w:w="843"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1,026,402</w:t>
            </w:r>
          </w:p>
        </w:tc>
        <w:tc>
          <w:tcPr>
            <w:tcW w:w="512"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2"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15,342,213</w:t>
            </w:r>
          </w:p>
        </w:tc>
        <w:tc>
          <w:tcPr>
            <w:tcW w:w="500"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25.0 </w:t>
            </w:r>
          </w:p>
        </w:tc>
        <w:tc>
          <w:tcPr>
            <w:tcW w:w="172"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16,368,615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15.6</w:t>
            </w:r>
          </w:p>
        </w:tc>
      </w:tr>
      <w:tr>
        <w:trPr/>
        <w:tc>
          <w:tcPr>
            <w:tcW w:w="190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312" w:before="75" w:after="30"/>
              <w:jc w:val="left"/>
              <w:rPr/>
            </w:pPr>
            <w:r>
              <w:rPr>
                <w:rFonts w:ascii="Lato;sans-serif" w:hAnsi="Lato;sans-serif"/>
                <w:b/>
                <w:color w:val="005CB9"/>
                <w:sz w:val="14"/>
              </w:rPr>
              <w:t>Dr. Kamal Ghaffarian</w:t>
            </w:r>
            <w:r>
              <w:rPr>
                <w:rFonts w:ascii="Lato;sans-serif" w:hAnsi="Lato;sans-serif"/>
                <w:b/>
                <w:color w:val="005CB9"/>
                <w:sz w:val="9"/>
              </w:rPr>
              <w:t>(3)(6)</w:t>
            </w:r>
          </w:p>
        </w:tc>
        <w:tc>
          <w:tcPr>
            <w:tcW w:w="84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5,614,775</w:t>
            </w:r>
          </w:p>
        </w:tc>
        <w:tc>
          <w:tcPr>
            <w:tcW w:w="51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4.7</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36,496,032</w:t>
            </w:r>
          </w:p>
        </w:tc>
        <w:tc>
          <w:tcPr>
            <w:tcW w:w="50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59.5 </w:t>
            </w:r>
          </w:p>
        </w:tc>
        <w:tc>
          <w:tcPr>
            <w:tcW w:w="172"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42,110,807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38.0</w:t>
            </w:r>
          </w:p>
        </w:tc>
      </w:tr>
      <w:tr>
        <w:trPr/>
        <w:tc>
          <w:tcPr>
            <w:tcW w:w="190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005CB9"/>
                <w:sz w:val="14"/>
              </w:rPr>
              <w:t>Dr. Timothy Crain</w:t>
            </w:r>
            <w:r>
              <w:rPr>
                <w:rFonts w:ascii="Lato;sans-serif" w:hAnsi="Lato;sans-serif"/>
                <w:b/>
                <w:color w:val="005CB9"/>
                <w:sz w:val="9"/>
              </w:rPr>
              <w:t>(4)(6)</w:t>
            </w:r>
          </w:p>
        </w:tc>
        <w:tc>
          <w:tcPr>
            <w:tcW w:w="84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405,491</w:t>
            </w:r>
          </w:p>
        </w:tc>
        <w:tc>
          <w:tcPr>
            <w:tcW w:w="51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9,463,559</w:t>
            </w:r>
          </w:p>
        </w:tc>
        <w:tc>
          <w:tcPr>
            <w:tcW w:w="500" w:type="dxa"/>
            <w:gridSpan w:val="2"/>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15.5 </w:t>
            </w:r>
          </w:p>
        </w:tc>
        <w:tc>
          <w:tcPr>
            <w:tcW w:w="172" w:type="dxa"/>
            <w:tcBorders>
              <w:top w:val="single" w:sz="4" w:space="0" w:color="9D9FA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9,869,050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9.6</w:t>
            </w:r>
          </w:p>
        </w:tc>
      </w:tr>
      <w:tr>
        <w:trPr/>
        <w:tc>
          <w:tcPr>
            <w:tcW w:w="190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75" w:after="30"/>
              <w:jc w:val="left"/>
              <w:rPr/>
            </w:pPr>
            <w:r>
              <w:rPr>
                <w:rFonts w:ascii="Lato;sans-serif" w:hAnsi="Lato;sans-serif"/>
                <w:b/>
                <w:color w:val="005CB9"/>
                <w:sz w:val="14"/>
              </w:rPr>
              <w:t>Peter McGrath</w:t>
            </w:r>
            <w:r>
              <w:rPr>
                <w:rFonts w:ascii="Lato;sans-serif" w:hAnsi="Lato;sans-serif"/>
                <w:b/>
                <w:color w:val="005CB9"/>
                <w:sz w:val="9"/>
              </w:rPr>
              <w:t>(5)</w:t>
            </w:r>
          </w:p>
        </w:tc>
        <w:tc>
          <w:tcPr>
            <w:tcW w:w="84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522,428</w:t>
            </w:r>
          </w:p>
        </w:tc>
        <w:tc>
          <w:tcPr>
            <w:tcW w:w="51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522,428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90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312" w:before="75" w:after="30"/>
              <w:jc w:val="left"/>
              <w:rPr/>
            </w:pPr>
            <w:r>
              <w:rPr>
                <w:rFonts w:ascii="Lato;sans-serif" w:hAnsi="Lato;sans-serif"/>
                <w:b/>
                <w:color w:val="005CB9"/>
                <w:sz w:val="14"/>
              </w:rPr>
              <w:t>Michael Blitzer</w:t>
            </w:r>
            <w:r>
              <w:rPr>
                <w:rFonts w:ascii="Lato;sans-serif" w:hAnsi="Lato;sans-serif"/>
                <w:b/>
                <w:color w:val="005CB9"/>
                <w:sz w:val="9"/>
              </w:rPr>
              <w:t>(7)</w:t>
            </w:r>
          </w:p>
        </w:tc>
        <w:tc>
          <w:tcPr>
            <w:tcW w:w="84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1,671,785</w:t>
            </w:r>
          </w:p>
        </w:tc>
        <w:tc>
          <w:tcPr>
            <w:tcW w:w="51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1.4</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1,671,785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90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312" w:before="75" w:after="30"/>
              <w:jc w:val="left"/>
              <w:rPr/>
            </w:pPr>
            <w:r>
              <w:rPr>
                <w:rFonts w:ascii="Lato;sans-serif" w:hAnsi="Lato;sans-serif"/>
                <w:b/>
                <w:color w:val="005CB9"/>
                <w:sz w:val="14"/>
              </w:rPr>
              <w:t>William J. Liquori</w:t>
            </w:r>
            <w:r>
              <w:rPr>
                <w:rFonts w:ascii="Lato;sans-serif" w:hAnsi="Lato;sans-serif"/>
                <w:b/>
                <w:color w:val="005CB9"/>
                <w:sz w:val="9"/>
              </w:rPr>
              <w:t>(7)</w:t>
            </w:r>
          </w:p>
        </w:tc>
        <w:tc>
          <w:tcPr>
            <w:tcW w:w="84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62,865</w:t>
            </w:r>
          </w:p>
        </w:tc>
        <w:tc>
          <w:tcPr>
            <w:tcW w:w="51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62,865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0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312" w:before="75" w:after="30"/>
              <w:jc w:val="left"/>
              <w:rPr/>
            </w:pPr>
            <w:r>
              <w:rPr>
                <w:rFonts w:ascii="Lato;sans-serif" w:hAnsi="Lato;sans-serif"/>
                <w:b/>
                <w:color w:val="005CB9"/>
                <w:sz w:val="14"/>
              </w:rPr>
              <w:t>Robert L Masson</w:t>
            </w:r>
            <w:r>
              <w:rPr>
                <w:rFonts w:ascii="Lato;sans-serif" w:hAnsi="Lato;sans-serif"/>
                <w:b/>
                <w:color w:val="005CB9"/>
                <w:sz w:val="9"/>
              </w:rPr>
              <w:t>(7)</w:t>
            </w:r>
          </w:p>
        </w:tc>
        <w:tc>
          <w:tcPr>
            <w:tcW w:w="84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62,865</w:t>
            </w:r>
          </w:p>
        </w:tc>
        <w:tc>
          <w:tcPr>
            <w:tcW w:w="51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62,865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0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312" w:before="75" w:after="30"/>
              <w:jc w:val="left"/>
              <w:rPr/>
            </w:pPr>
            <w:r>
              <w:rPr>
                <w:rFonts w:ascii="Lato;sans-serif" w:hAnsi="Lato;sans-serif"/>
                <w:b/>
                <w:color w:val="005CB9"/>
                <w:sz w:val="14"/>
              </w:rPr>
              <w:t>Nicole Seligman</w:t>
            </w:r>
            <w:r>
              <w:rPr>
                <w:rFonts w:ascii="Lato;sans-serif" w:hAnsi="Lato;sans-serif"/>
                <w:b/>
                <w:color w:val="005CB9"/>
                <w:sz w:val="9"/>
              </w:rPr>
              <w:t>(7)</w:t>
            </w:r>
          </w:p>
        </w:tc>
        <w:tc>
          <w:tcPr>
            <w:tcW w:w="84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62,865</w:t>
            </w:r>
          </w:p>
        </w:tc>
        <w:tc>
          <w:tcPr>
            <w:tcW w:w="51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2"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62,865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903"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312" w:before="75" w:after="30"/>
              <w:ind w:left="0" w:right="0" w:hanging="180"/>
              <w:jc w:val="left"/>
              <w:rPr>
                <w:rFonts w:ascii="Lato;sans-serif" w:hAnsi="Lato;sans-serif"/>
                <w:b/>
                <w:color w:val="000000"/>
                <w:sz w:val="14"/>
              </w:rPr>
            </w:pPr>
            <w:r>
              <w:rPr>
                <w:rFonts w:ascii="Lato;sans-serif" w:hAnsi="Lato;sans-serif"/>
                <w:b/>
                <w:color w:val="000000"/>
                <w:sz w:val="14"/>
              </w:rPr>
              <w:t>All directors and executive officers as a group (9 individuals)</w:t>
            </w:r>
          </w:p>
        </w:tc>
        <w:tc>
          <w:tcPr>
            <w:tcW w:w="843"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9,625,994</w:t>
            </w:r>
          </w:p>
        </w:tc>
        <w:tc>
          <w:tcPr>
            <w:tcW w:w="512"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6.1</w:t>
            </w:r>
          </w:p>
        </w:tc>
        <w:tc>
          <w:tcPr>
            <w:tcW w:w="327" w:type="dxa"/>
            <w:gridSpan w:val="3"/>
            <w:tcBorders>
              <w:top w:val="single" w:sz="4" w:space="0" w:color="9D9FA2"/>
              <w:bottom w:val="single" w:sz="8" w:space="0" w:color="005CB9"/>
            </w:tcBorders>
            <w:tcMar>
              <w:left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512"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9D9FA2"/>
              <w:bottom w:val="single" w:sz="8" w:space="0" w:color="005CB9"/>
            </w:tcBorders>
            <w:tcMar>
              <w:left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61,301,804</w:t>
            </w:r>
          </w:p>
        </w:tc>
        <w:tc>
          <w:tcPr>
            <w:tcW w:w="672"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100.0</w:t>
            </w:r>
          </w:p>
        </w:tc>
        <w:tc>
          <w:tcPr>
            <w:tcW w:w="327" w:type="dxa"/>
            <w:gridSpan w:val="3"/>
            <w:tcBorders>
              <w:top w:val="single" w:sz="4" w:space="0" w:color="9D9FA2"/>
              <w:bottom w:val="single" w:sz="8" w:space="0" w:color="005CB9"/>
            </w:tcBorders>
            <w:tcMar>
              <w:left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70,927,798</w:t>
            </w:r>
          </w:p>
        </w:tc>
        <w:tc>
          <w:tcPr>
            <w:tcW w:w="327" w:type="dxa"/>
            <w:gridSpan w:val="3"/>
            <w:tcBorders>
              <w:top w:val="single" w:sz="4" w:space="0" w:color="9D9FA2"/>
              <w:bottom w:val="single" w:sz="8" w:space="0" w:color="005CB9"/>
            </w:tcBorders>
            <w:tcMar>
              <w:left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4"/>
              </w:rPr>
            </w:pPr>
            <w:r>
              <w:rPr>
                <w:rFonts w:ascii="Lato;sans-serif" w:hAnsi="Lato;sans-serif"/>
                <w:b w:val="false"/>
                <w:color w:val="000000"/>
                <w:sz w:val="14"/>
              </w:rPr>
              <w:t>63.2</w:t>
            </w:r>
          </w:p>
        </w:tc>
      </w:tr>
    </w:tbl>
    <w:p>
      <w:pPr>
        <w:pStyle w:val="TextBody"/>
        <w:bidi w:val="0"/>
        <w:spacing w:lineRule="auto" w:line="312" w:before="80" w:after="283"/>
        <w:ind w:left="0" w:right="0" w:hanging="450"/>
        <w:jc w:val="both"/>
        <w:rPr>
          <w:rFonts w:ascii="Lato;sans-serif" w:hAnsi="Lato;sans-serif"/>
          <w:b w:val="false"/>
          <w:color w:val="000000"/>
          <w:sz w:val="14"/>
        </w:rPr>
      </w:pPr>
      <w:r>
        <w:rPr>
          <w:rFonts w:ascii="Lato;sans-serif" w:hAnsi="Lato;sans-serif"/>
          <w:b w:val="false"/>
          <w:color w:val="000000"/>
          <w:sz w:val="14"/>
        </w:rPr>
        <w:t>*    Less than 1%</w:t>
      </w:r>
    </w:p>
    <w:p>
      <w:pPr>
        <w:pStyle w:val="TextBody"/>
        <w:bidi w:val="0"/>
        <w:spacing w:lineRule="auto" w:line="312" w:before="80" w:after="160"/>
        <w:ind w:left="0" w:right="0" w:hanging="450"/>
        <w:jc w:val="both"/>
        <w:rPr>
          <w:rFonts w:ascii="Lato;sans-serif" w:hAnsi="Lato;sans-serif"/>
          <w:b w:val="false"/>
          <w:color w:val="000000"/>
          <w:sz w:val="14"/>
        </w:rPr>
      </w:pPr>
      <w:r>
        <w:rPr>
          <w:rFonts w:ascii="Lato;sans-serif" w:hAnsi="Lato;sans-serif"/>
          <w:b w:val="false"/>
          <w:color w:val="000000"/>
          <w:sz w:val="14"/>
        </w:rPr>
        <w:t>(1)    Unless otherwise noted, the business address of each of those listed in the table above is c/o Intuitive Machines, LLC, 13467 Columbia Shuttle Street, Houston, TX 77059.</w:t>
      </w:r>
    </w:p>
    <w:p>
      <w:pPr>
        <w:pStyle w:val="TextBody"/>
        <w:bidi w:val="0"/>
        <w:spacing w:lineRule="auto" w:line="312" w:before="80" w:after="160"/>
        <w:ind w:left="0" w:right="0" w:hanging="450"/>
        <w:jc w:val="both"/>
        <w:rPr>
          <w:rFonts w:ascii="Lato;sans-serif" w:hAnsi="Lato;sans-serif"/>
          <w:b w:val="false"/>
          <w:color w:val="000000"/>
          <w:sz w:val="14"/>
        </w:rPr>
      </w:pPr>
      <w:r>
        <w:rPr>
          <w:rFonts w:ascii="Lato;sans-serif" w:hAnsi="Lato;sans-serif"/>
          <w:b w:val="false"/>
          <w:color w:val="000000"/>
          <w:sz w:val="14"/>
        </w:rPr>
        <w:t>(2)    Reflects (i) 241,184 shares of Class A Common Stock (ii) 70,000 restricted stock units (“RSUs”) awarded to Stephen Altemus on February 7, 2024, each of which represents a contingent right to receive one share of Class A Common Stock, such RSUs will vest in two remaining equal annual installments beginning on April 11, 2026 and do not expire, (ii)525,000 RSUs) awarded to Stephen Altemus on February 7, 2024, each of which represents a contingent right to receive one share of Class A Common Stock, such RSUs will vest in three remaining equal annual installments beginning on February 7, 2026 and do not expire and (iii)190,218 RSUs awarded to Stephen Altemus on February 7, 2025, each of which represents a contingent right to receive one share of Class A Common Stock, such RSUs will vest in four equal annual installments beginning on February 7, 2026 and do not expire (iv) 15,342,213 Intuitive Machines OpCo Common Units and a corresponding number of shares of Class C Common Stock held of record by a revocable trust of which Mr. Altemus is a trustee and exercises investment discretion.</w:t>
      </w:r>
    </w:p>
    <w:p>
      <w:pPr>
        <w:pStyle w:val="TextBody"/>
        <w:bidi w:val="0"/>
        <w:spacing w:lineRule="auto" w:line="312" w:before="80" w:after="160"/>
        <w:ind w:left="0" w:right="0" w:hanging="450"/>
        <w:jc w:val="both"/>
        <w:rPr>
          <w:rFonts w:ascii="Lato;sans-serif" w:hAnsi="Lato;sans-serif"/>
          <w:b w:val="false"/>
          <w:color w:val="000000"/>
          <w:sz w:val="14"/>
        </w:rPr>
      </w:pPr>
      <w:r>
        <w:rPr>
          <w:rFonts w:ascii="Lato;sans-serif" w:hAnsi="Lato;sans-serif"/>
          <w:b w:val="false"/>
          <w:color w:val="000000"/>
          <w:sz w:val="14"/>
        </w:rPr>
        <w:t xml:space="preserve">(3)    Consists of (i) 2,241,121 Intuitive Machines OpCo Common Units and a corresponding number of shares of Class C Common Stock held of record by GM Enterprises, LLC, (ii) 249,080 Intuitive Machines OpCo Common Units and a corresponding number of shares of Class C Common Stock held of record by Intuitive Machines KG Parent, LLC, (iii) (A) 34,005,831 Intuitive Machines OpCo Common Units and a corresponding number of shares of Class C Common Stock, and (B) 3,494,768 shares of Class A Common Stock, in each case, held of record by Ghaffarian Enterprises, LLC (“Ghaffarian Enterprises”) and (iv) (A) 67,434 shares of Class A Common Stock and (B) 55,680 restricted stock units (“RSUs”), in each case, held of record by Dr. Kamal Ghaffarian. The RSUs each represent a contingent right to receive one share of Class A Common Stock. The RSUs will vest in full on the earlier to occur of the first anniversary of the grant date and the date of the next annual meeting following the grant date. The RSUs do not expire. Dr. Kamal Ghaffarian may also be deemed to beneficially own 2,052,573 shares of Class A Common Stock issuable upon conversion of 5,000 shares of Series A Preferred Stock at a conversion price of $3.00 per share purchased by Ghaffarian Enterprises in connection with the Series A Investment which are currently convertible (without giving effect to the 9.9% beneficial ownership blocker described in the form of Certificate of Designation). Dr. Kamal Ghaffarian is the sole trustee of a revocable trust, which is the sole member of each of Ghaffarian Enterprises, GM Enterprises, LLC and Intuitive Machines KG Parent, LLC.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40410"/>
                <wp:effectExtent l="0" t="0" r="0" b="0"/>
                <wp:wrapNone/>
                <wp:docPr id="31" name="Frame2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 xml:space="preserve">Ownership of Common Stock </w:t>
      </w:r>
    </w:p>
    <w:p>
      <w:pPr>
        <w:pStyle w:val="TextBody"/>
        <w:bidi w:val="0"/>
        <w:spacing w:lineRule="auto" w:line="312" w:before="80" w:after="160"/>
        <w:jc w:val="both"/>
        <w:rPr>
          <w:rFonts w:ascii="Lato;sans-serif" w:hAnsi="Lato;sans-serif"/>
          <w:b w:val="false"/>
          <w:color w:val="000000"/>
          <w:sz w:val="14"/>
        </w:rPr>
      </w:pPr>
      <w:r>
        <w:rPr>
          <w:rFonts w:ascii="Lato;sans-serif" w:hAnsi="Lato;sans-serif"/>
          <w:b w:val="false"/>
          <w:color w:val="000000"/>
          <w:sz w:val="14"/>
        </w:rPr>
        <w:t>a result, Dr. Kamal Ghaffarian may be deemed to share beneficial ownership of the securities reported herein, but disclaims beneficial ownership. The principal business office of Dr. Kamal Ghaffarian is 5937 Sunnyslope Drive, Naples, FL 34119. The principal business office of each of Ghaffarian Enterprises, GM Enterprises, LLC and Intuitive Machines KG Parent, LLC is 801 Thompson Avenue, Rockville, MD 20852.</w:t>
      </w:r>
    </w:p>
    <w:p>
      <w:pPr>
        <w:pStyle w:val="TextBody"/>
        <w:bidi w:val="0"/>
        <w:spacing w:lineRule="auto" w:line="312" w:before="80" w:after="160"/>
        <w:ind w:left="0" w:right="0" w:hanging="450"/>
        <w:jc w:val="both"/>
        <w:rPr>
          <w:rFonts w:ascii="Lato;sans-serif" w:hAnsi="Lato;sans-serif"/>
          <w:b w:val="false"/>
          <w:color w:val="000000"/>
          <w:sz w:val="14"/>
        </w:rPr>
      </w:pPr>
      <w:r>
        <w:rPr>
          <w:rFonts w:ascii="Lato;sans-serif" w:hAnsi="Lato;sans-serif"/>
          <w:b w:val="false"/>
          <w:color w:val="000000"/>
          <w:sz w:val="14"/>
        </w:rPr>
        <w:t>(4)    Reflects i) 107,056 shares of Class A Common Stock (ii) 43,,000 RSUs awarded to Dr. Crain on February 7, 2024, each of which represents a contingent right to receive one share of Class A Common Stock, such RSUs will vest in two remaining equal annual installments beginning on April 11, 2026 and do not expire, (iii)187,500 RSUs awarded to Dr. Crain on February 7, 2024, each of which represents a contingent right to receive one share of Class A Common Stock, such RSUs will vest in three remaining equal annual installments beginning on February 7, 2026 and do not expire and (iv)67,935 RSUs awarded Dr. Crain on February 7, 2025, each of which represents a contingent right to receive one share of Class A Common Stock, such RSUs will vest in four equal annual installments beginning on February 7, 2026 and do not expire (iv) 9,463,559 Intuitive Machines OpCo Common Units and a corresponding number of shares of Class C Common Stock held of record by a Dr. Crain.</w:t>
      </w:r>
    </w:p>
    <w:p>
      <w:pPr>
        <w:pStyle w:val="TextBody"/>
        <w:bidi w:val="0"/>
        <w:spacing w:lineRule="auto" w:line="312" w:before="80" w:after="160"/>
        <w:ind w:left="0" w:right="0" w:hanging="450"/>
        <w:jc w:val="both"/>
        <w:rPr>
          <w:rFonts w:ascii="Lato;sans-serif" w:hAnsi="Lato;sans-serif"/>
          <w:b w:val="false"/>
          <w:color w:val="000000"/>
          <w:sz w:val="14"/>
        </w:rPr>
      </w:pPr>
      <w:r>
        <w:rPr>
          <w:rFonts w:ascii="Lato;sans-serif" w:hAnsi="Lato;sans-serif"/>
          <w:b w:val="false"/>
          <w:color w:val="000000"/>
          <w:sz w:val="14"/>
        </w:rPr>
        <w:t>(5)    Consists of (i) 109,644 shares of Class A Common Stock (ii) 83,436 Intuitive Machines OpCo Common Units and a corresponding number of shares of Class B Common Stock issuable upon the exercise of a stock option that vests in three substantially equal annual installments beginning on June 14, 2024, of which 27,812 have vested and (iii) 125,000 RSUs awarded to Mr. McGrath on May 9, 2023, each of which represents a contingent right to receive one share of Class A Common Stock, such RSUs will vest in two remaining equal annual installments beginning on April 11, 2026 and do not expire, (iv)150,000 RSUs awarded to Mr. McGrath on February 7, 2024 , each of which represents a contingent right to receive one share of Class A Common Stock, such RSUs will vest in two remaining equal annual installments beginning on February 7, 2026 and do not expire and (v) 54,348 RSUs awarded to Mr. McGrath on February 7, 2025, each of which represents a contingent right to receive one share of Class A Common Stock, such RSUs will vest in four equal annual installments beginning on February 7, 2026 and do not expire .</w:t>
      </w:r>
    </w:p>
    <w:p>
      <w:pPr>
        <w:pStyle w:val="TextBody"/>
        <w:bidi w:val="0"/>
        <w:spacing w:lineRule="auto" w:line="312" w:before="80" w:after="160"/>
        <w:ind w:left="0" w:right="0" w:hanging="450"/>
        <w:jc w:val="both"/>
        <w:rPr>
          <w:rFonts w:ascii="Lato;sans-serif" w:hAnsi="Lato;sans-serif"/>
          <w:b w:val="false"/>
          <w:color w:val="000000"/>
          <w:sz w:val="14"/>
        </w:rPr>
      </w:pPr>
      <w:r>
        <w:rPr>
          <w:rFonts w:ascii="Lato;sans-serif" w:hAnsi="Lato;sans-serif"/>
          <w:b w:val="false"/>
          <w:color w:val="000000"/>
          <w:sz w:val="14"/>
        </w:rPr>
        <w:t>(6)    Each Intuitive Machines OpCo Common Unit, when paired with one share of Class B Common Stock or one share of Class C Common Stock, will be exchangeable, in tandem with the cancellation of the paired share of Class B Common Stock or share of Class C Common Stock, for one share of Class A Common Stock. Holders of Intuitive Machines OpCo Common Units are be permitted to exchange such Intuitive Machines OpCo Common Units (along with the cancellation of the paired share of Class B Common Stock or share of Class C Common Stock) for shares of Class A Common Stock on a one-for-one basis pursuant to the A&amp;R Operating Agreement (subject to customary conversion rate adjustments for stock splits, stock dividends and reclassifications) or at the election of Intuitive Machines, Inc. (determined by a majority of the directors of Intuitive Machines, Inc. who are disinterested with respect to such determination), cash from a substantially concurrent public offering or private sale in an amount equal to the net amount, on a per share basis, of cash received as a result of such public offering or private sale.</w:t>
      </w:r>
    </w:p>
    <w:p>
      <w:pPr>
        <w:pStyle w:val="TextBody"/>
        <w:bidi w:val="0"/>
        <w:spacing w:lineRule="auto" w:line="312" w:before="80" w:after="160"/>
        <w:ind w:left="0" w:right="0" w:hanging="450"/>
        <w:jc w:val="both"/>
        <w:rPr>
          <w:rFonts w:ascii="Lato;sans-serif" w:hAnsi="Lato;sans-serif"/>
          <w:b w:val="false"/>
          <w:color w:val="000000"/>
          <w:sz w:val="14"/>
        </w:rPr>
      </w:pPr>
      <w:r>
        <w:rPr>
          <w:rFonts w:ascii="Lato;sans-serif" w:hAnsi="Lato;sans-serif"/>
          <w:b w:val="false"/>
          <w:color w:val="000000"/>
          <w:sz w:val="14"/>
        </w:rPr>
        <w:t>(7)     Includes 44,544 restricted stock units (“RSUs”) granted to each director, each of which represents a contingent right to receive one share of Class A Common Stock. The RSUs will vest in full on the earlier to occur of the first anniversary of the grant date and the date of the next annual meeting following the grant date. Mr. Blitzer, Mr., Masson, Ms. Seligman elected to defer receipt of these RSUs until their retirement from Board.</w:t>
      </w:r>
    </w:p>
    <w:p>
      <w:pPr>
        <w:pStyle w:val="TextBody"/>
        <w:bidi w:val="0"/>
        <w:spacing w:lineRule="auto" w:line="312" w:before="160" w:after="160"/>
        <w:jc w:val="left"/>
        <w:rPr>
          <w:color w:val="000000"/>
        </w:rPr>
      </w:pP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80" w:after="80"/>
        <w:jc w:val="left"/>
        <w:rPr>
          <w:rFonts w:ascii="Lato;sans-serif" w:hAnsi="Lato;sans-serif"/>
          <w:b/>
          <w:color w:val="000000"/>
          <w:sz w:val="24"/>
        </w:rPr>
      </w:pPr>
      <w:r>
        <w:rPr>
          <w:rFonts w:ascii="Lato;sans-serif" w:hAnsi="Lato;sans-serif"/>
          <w:b/>
          <w:color w:val="000000"/>
          <w:sz w:val="24"/>
        </w:rPr>
        <w:t xml:space="preserve">Prohibition on Hedging </w:t>
      </w:r>
    </w:p>
    <w:p>
      <w:pPr>
        <w:pStyle w:val="TextBody"/>
        <w:bidi w:val="0"/>
        <w:spacing w:lineRule="auto" w:line="312" w:before="120" w:after="160"/>
        <w:jc w:val="both"/>
        <w:rPr>
          <w:rFonts w:ascii="Lato;sans-serif" w:hAnsi="Lato;sans-serif"/>
          <w:b w:val="false"/>
          <w:color w:val="000000"/>
          <w:sz w:val="18"/>
        </w:rPr>
      </w:pPr>
      <w:r>
        <w:rPr>
          <w:rFonts w:ascii="Lato;sans-serif" w:hAnsi="Lato;sans-serif"/>
          <w:b w:val="false"/>
          <w:color w:val="000000"/>
          <w:sz w:val="18"/>
        </w:rPr>
        <w:t xml:space="preserve">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our Insider Trading Compliance Policy.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60" w:after="120"/>
        <w:jc w:val="left"/>
        <w:rPr>
          <w:rFonts w:ascii="Lato;sans-serif" w:hAnsi="Lato;sans-serif"/>
          <w:b/>
          <w:color w:val="000000"/>
          <w:sz w:val="24"/>
        </w:rPr>
      </w:pPr>
      <w:r>
        <w:rPr>
          <w:rFonts w:ascii="Lato;sans-serif" w:hAnsi="Lato;sans-serif"/>
          <w:b/>
          <w:color w:val="000000"/>
          <w:sz w:val="24"/>
        </w:rPr>
        <w:t xml:space="preserve">Policy on Stock Pledging </w:t>
      </w:r>
    </w:p>
    <w:p>
      <w:pPr>
        <w:pStyle w:val="TextBody"/>
        <w:bidi w:val="0"/>
        <w:spacing w:lineRule="auto" w:line="312" w:before="120" w:after="160"/>
        <w:jc w:val="both"/>
        <w:rPr>
          <w:rFonts w:ascii="Lato;sans-serif" w:hAnsi="Lato;sans-serif"/>
          <w:b w:val="false"/>
          <w:color w:val="000000"/>
          <w:sz w:val="18"/>
        </w:rPr>
      </w:pPr>
      <w:r>
        <w:rPr>
          <w:rFonts w:ascii="Lato;sans-serif" w:hAnsi="Lato;sans-serif"/>
          <w:b w:val="false"/>
          <w:color w:val="000000"/>
          <w:sz w:val="18"/>
        </w:rPr>
        <w:t>Our Insider Trading Policy states that individuals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 the Company’s equity plans or pledging of Company securities as collateral for a loan by a director or officer that is specifically pre-approved by the Compliance Officer upon request for an exemption.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80" w:after="160"/>
        <w:jc w:val="left"/>
        <w:rPr>
          <w:rFonts w:ascii="Lato;sans-serif" w:hAnsi="Lato;sans-serif"/>
          <w:b/>
          <w:color w:val="000000"/>
          <w:sz w:val="24"/>
        </w:rPr>
      </w:pPr>
      <w:r>
        <w:rPr>
          <w:rFonts w:ascii="Lato;sans-serif" w:hAnsi="Lato;sans-serif"/>
          <w:b/>
          <w:color w:val="000000"/>
          <w:sz w:val="24"/>
        </w:rPr>
        <w:t>Insider Trading Policy</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 xml:space="preserve">We have adopted an Insider Trading Policy governing the purchase, sale and other disposition of Company securities by directors, officers, employees providing services to the Company, that we believe is reasonably designed to promote compliance with insider trading laws, rules and regulations and NASDAQ listing standards. The foregoing summary of the Insider Trading Policy does not purport to be complete and is qualified in its entirety by reference to the full text of the Insider Trading Policy filed as Exhibit 19.1 to the Company’s Annual Report on Form 10-K for the year ended December 31, 2024 (the “2024 Form 10-K”). Furthermore, with regard to the Company’s trading in its own securities, it is the Company’s policy to comply with applicable laws, rules and regulations.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left"/>
        <w:rPr>
          <w:rFonts w:ascii="Lato Black;sans-serif" w:hAnsi="Lato Black;sans-serif"/>
          <w:b w:val="false"/>
          <w:color w:val="005CB9"/>
          <w:sz w:val="32"/>
        </w:rPr>
      </w:pPr>
      <w:r>
        <w:rPr>
          <w:rFonts w:ascii="Lato Black;sans-serif" w:hAnsi="Lato Black;sans-serif"/>
          <w:b w:val="false"/>
          <w:color w:val="005CB9"/>
          <w:sz w:val="32"/>
        </w:rPr>
        <w:t>Executive Compensation</w:t>
      </w:r>
    </w:p>
    <w:p>
      <w:pPr>
        <w:pStyle w:val="TextBody"/>
        <w:bidi w:val="0"/>
        <w:spacing w:lineRule="auto" w:line="312" w:before="120" w:after="160"/>
        <w:jc w:val="both"/>
        <w:rPr>
          <w:rFonts w:ascii="Lato;sans-serif" w:hAnsi="Lato;sans-serif"/>
          <w:b w:val="false"/>
          <w:color w:val="000000"/>
          <w:sz w:val="18"/>
        </w:rPr>
      </w:pPr>
      <w:r>
        <w:rPr>
          <w:rFonts w:ascii="Lato;sans-serif" w:hAnsi="Lato;sans-serif"/>
          <w:b w:val="false"/>
          <w:color w:val="000000"/>
          <w:sz w:val="18"/>
        </w:rPr>
        <w:t xml:space="preserve">As an "emerging growth company," we have opted to comply with the executive compensation disclosure rules applicable to "smaller reporting companies," as such term is defined in the rules promulgated under the Securities Act. These rules require compensation disclosure for our principal executive officer and the two most highly compensated executive officers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40410"/>
                <wp:effectExtent l="0" t="0" r="0" b="0"/>
                <wp:wrapNone/>
                <wp:docPr id="32" name="Frame2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120" w:after="160"/>
        <w:jc w:val="both"/>
        <w:rPr>
          <w:rFonts w:ascii="Lato;sans-serif" w:hAnsi="Lato;sans-serif"/>
          <w:b w:val="false"/>
          <w:color w:val="000000"/>
          <w:sz w:val="18"/>
        </w:rPr>
      </w:pPr>
      <w:r>
        <w:rPr>
          <w:rFonts w:ascii="Lato;sans-serif" w:hAnsi="Lato;sans-serif"/>
          <w:b w:val="false"/>
          <w:color w:val="000000"/>
          <w:sz w:val="18"/>
        </w:rPr>
        <w:t xml:space="preserve">than our principal executive officer. These officers are referred to as our named executive officers. In 2024, our named executive officers and their positions were as follows: </w:t>
      </w:r>
    </w:p>
    <w:tbl>
      <w:tblPr>
        <w:tblW w:w="9299" w:type="dxa"/>
        <w:jc w:val="left"/>
        <w:tblInd w:w="0" w:type="dxa"/>
        <w:tblLayout w:type="fixed"/>
        <w:tblCellMar>
          <w:top w:w="28" w:type="dxa"/>
          <w:left w:w="28" w:type="dxa"/>
          <w:bottom w:w="28" w:type="dxa"/>
          <w:right w:w="28" w:type="dxa"/>
        </w:tblCellMar>
      </w:tblPr>
      <w:tblGrid>
        <w:gridCol w:w="2974"/>
        <w:gridCol w:w="2615"/>
        <w:gridCol w:w="3710"/>
      </w:tblGrid>
      <w:tr>
        <w:trPr/>
        <w:tc>
          <w:tcPr>
            <w:tcW w:w="2974"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r>
      <w:tr>
        <w:trPr/>
        <w:tc>
          <w:tcPr>
            <w:tcW w:w="929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9" w:type="dxa"/>
            <w:gridSpan w:val="3"/>
            <w:tcBorders/>
            <w:shd w:fill="E6E7E8" w:val="clear"/>
            <w:tcMar>
              <w:top w:w="0" w:type="dxa"/>
              <w:left w:w="0" w:type="dxa"/>
              <w:bottom w:w="0" w:type="dxa"/>
              <w:right w:w="0" w:type="dxa"/>
            </w:tcMar>
            <w:vAlign w:val="center"/>
          </w:tcPr>
          <w:p>
            <w:pPr>
              <w:pStyle w:val="TableContents"/>
              <w:bidi w:val="0"/>
              <w:spacing w:lineRule="auto" w:line="312" w:before="80" w:after="80"/>
              <w:ind w:left="0" w:right="0" w:hanging="216"/>
              <w:jc w:val="left"/>
              <w:rPr/>
            </w:pPr>
            <w:r>
              <w:rPr>
                <w:color w:val="005CB9"/>
              </w:rPr>
              <w:t>•</w:t>
            </w:r>
            <w:r>
              <w:rPr>
                <w:rFonts w:ascii="Lato;sans-serif" w:hAnsi="Lato;sans-serif"/>
                <w:b w:val="false"/>
                <w:color w:val="005CB9"/>
                <w:sz w:val="18"/>
              </w:rPr>
              <w:t>Stephen Altemus</w:t>
            </w:r>
            <w:r>
              <w:rPr>
                <w:rFonts w:ascii="Lato;sans-serif" w:hAnsi="Lato;sans-serif"/>
                <w:b w:val="false"/>
                <w:color w:val="000000"/>
                <w:sz w:val="18"/>
              </w:rPr>
              <w:t>, President and Chief Executive Officer;</w:t>
            </w:r>
          </w:p>
          <w:p>
            <w:pPr>
              <w:pStyle w:val="TableContents"/>
              <w:bidi w:val="0"/>
              <w:spacing w:lineRule="auto" w:line="312" w:before="80" w:after="80"/>
              <w:ind w:left="0" w:right="0" w:hanging="216"/>
              <w:jc w:val="left"/>
              <w:rPr/>
            </w:pPr>
            <w:r>
              <w:rPr>
                <w:color w:val="005CB9"/>
              </w:rPr>
              <w:t>•</w:t>
            </w:r>
            <w:r>
              <w:rPr>
                <w:rFonts w:ascii="Lato;sans-serif" w:hAnsi="Lato;sans-serif"/>
                <w:b w:val="false"/>
                <w:color w:val="005CB9"/>
                <w:sz w:val="18"/>
              </w:rPr>
              <w:t>Dr. Timothy Crain</w:t>
            </w:r>
            <w:r>
              <w:rPr>
                <w:rFonts w:ascii="Lato;sans-serif" w:hAnsi="Lato;sans-serif"/>
                <w:b w:val="false"/>
                <w:color w:val="000000"/>
                <w:sz w:val="18"/>
              </w:rPr>
              <w:t>, Chief Growth Officer and Chief Technology Officer; and</w:t>
            </w:r>
          </w:p>
          <w:p>
            <w:pPr>
              <w:pStyle w:val="TableContents"/>
              <w:bidi w:val="0"/>
              <w:spacing w:lineRule="auto" w:line="312" w:before="80" w:after="80"/>
              <w:ind w:left="0" w:right="0" w:hanging="216"/>
              <w:jc w:val="left"/>
              <w:rPr/>
            </w:pPr>
            <w:r>
              <w:rPr>
                <w:color w:val="005CB9"/>
              </w:rPr>
              <w:t>•</w:t>
            </w:r>
            <w:r>
              <w:rPr>
                <w:rFonts w:ascii="Lato;sans-serif" w:hAnsi="Lato;sans-serif"/>
                <w:b w:val="false"/>
                <w:color w:val="005CB9"/>
                <w:sz w:val="18"/>
              </w:rPr>
              <w:t>Peter McGrath</w:t>
            </w:r>
            <w:r>
              <w:rPr>
                <w:rFonts w:ascii="Lato;sans-serif" w:hAnsi="Lato;sans-serif"/>
                <w:b w:val="false"/>
                <w:color w:val="000000"/>
                <w:sz w:val="18"/>
              </w:rPr>
              <w:t>, Chief Financial Officer (effective September 16, 2024), prior Chief Operating Officer.</w:t>
            </w:r>
          </w:p>
        </w:tc>
      </w:tr>
      <w:tr>
        <w:trPr/>
        <w:tc>
          <w:tcPr>
            <w:tcW w:w="9299"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60" w:after="283"/>
        <w:jc w:val="left"/>
        <w:rPr>
          <w:rFonts w:ascii="Lato;sans-serif" w:hAnsi="Lato;sans-serif"/>
          <w:b/>
          <w:color w:val="000000"/>
          <w:sz w:val="24"/>
        </w:rPr>
      </w:pPr>
      <w:r>
        <w:rPr>
          <w:rFonts w:ascii="Lato;sans-serif" w:hAnsi="Lato;sans-serif"/>
          <w:b/>
          <w:color w:val="000000"/>
          <w:sz w:val="24"/>
        </w:rPr>
        <w:t>Summary Compensation Table</w:t>
      </w:r>
    </w:p>
    <w:p>
      <w:pPr>
        <w:pStyle w:val="TextBody"/>
        <w:bidi w:val="0"/>
        <w:spacing w:lineRule="auto" w:line="312" w:before="120" w:after="283"/>
        <w:jc w:val="left"/>
        <w:rPr>
          <w:rFonts w:ascii="Lato;sans-serif" w:hAnsi="Lato;sans-serif"/>
          <w:b w:val="false"/>
          <w:color w:val="000000"/>
          <w:sz w:val="18"/>
        </w:rPr>
      </w:pPr>
      <w:r>
        <w:rPr>
          <w:rFonts w:ascii="Lato;sans-serif" w:hAnsi="Lato;sans-serif"/>
          <w:b w:val="false"/>
          <w:color w:val="000000"/>
          <w:sz w:val="18"/>
        </w:rPr>
        <w:t>The table below sets forth the information concerning the compensation of our named executive officers for the years ended December 31, 2024 and 2023 .</w:t>
      </w:r>
    </w:p>
    <w:tbl>
      <w:tblPr>
        <w:tblW w:w="10205" w:type="dxa"/>
        <w:jc w:val="left"/>
        <w:tblInd w:w="0" w:type="dxa"/>
        <w:tblLayout w:type="fixed"/>
        <w:tblCellMar>
          <w:top w:w="28" w:type="dxa"/>
          <w:left w:w="28" w:type="dxa"/>
          <w:bottom w:w="28" w:type="dxa"/>
          <w:right w:w="28" w:type="dxa"/>
        </w:tblCellMar>
      </w:tblPr>
      <w:tblGrid>
        <w:gridCol w:w="1060"/>
        <w:gridCol w:w="612"/>
        <w:gridCol w:w="617"/>
        <w:gridCol w:w="174"/>
        <w:gridCol w:w="174"/>
        <w:gridCol w:w="178"/>
        <w:gridCol w:w="259"/>
        <w:gridCol w:w="259"/>
        <w:gridCol w:w="263"/>
        <w:gridCol w:w="733"/>
        <w:gridCol w:w="733"/>
        <w:gridCol w:w="734"/>
        <w:gridCol w:w="259"/>
        <w:gridCol w:w="259"/>
        <w:gridCol w:w="263"/>
        <w:gridCol w:w="309"/>
        <w:gridCol w:w="309"/>
        <w:gridCol w:w="313"/>
        <w:gridCol w:w="109"/>
        <w:gridCol w:w="109"/>
        <w:gridCol w:w="500"/>
        <w:gridCol w:w="500"/>
        <w:gridCol w:w="501"/>
        <w:gridCol w:w="284"/>
        <w:gridCol w:w="284"/>
        <w:gridCol w:w="410"/>
      </w:tblGrid>
      <w:tr>
        <w:trPr/>
        <w:tc>
          <w:tcPr>
            <w:tcW w:w="106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Name and Principal Position</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Year</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Salary</w:t>
              <w:br/>
              <w:t>($)</w:t>
            </w:r>
          </w:p>
        </w:tc>
        <w:tc>
          <w:tcPr>
            <w:tcW w:w="22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Non-equity Incentive Plan Compensation</w:t>
              <w:br/>
              <w:t>($)</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Lato;sans-serif" w:hAnsi="Lato;sans-serif"/>
                <w:b/>
                <w:color w:val="000000"/>
                <w:sz w:val="16"/>
              </w:rPr>
              <w:t>Bonus</w:t>
              <w:br/>
              <w:t>($)</w:t>
            </w:r>
          </w:p>
        </w:tc>
        <w:tc>
          <w:tcPr>
            <w:tcW w:w="93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Lato;sans-serif" w:hAnsi="Lato;sans-serif"/>
                <w:b/>
                <w:color w:val="000000"/>
                <w:sz w:val="16"/>
              </w:rPr>
            </w:pPr>
            <w:r>
              <w:rPr>
                <w:rFonts w:ascii="Lato;sans-serif" w:hAnsi="Lato;sans-serif"/>
                <w:b/>
                <w:color w:val="000000"/>
                <w:sz w:val="16"/>
              </w:rPr>
              <w:t>Stock</w:t>
            </w:r>
          </w:p>
          <w:p>
            <w:pPr>
              <w:pStyle w:val="TableContents"/>
              <w:bidi w:val="0"/>
              <w:spacing w:lineRule="auto" w:line="312" w:before="0" w:after="0"/>
              <w:jc w:val="right"/>
              <w:rPr>
                <w:color w:val="000000"/>
              </w:rPr>
            </w:pPr>
            <w:r>
              <w:rPr>
                <w:color w:val="000000"/>
              </w:rPr>
              <w:t> </w:t>
            </w:r>
            <w:r>
              <w:rPr>
                <w:rFonts w:ascii="Lato;sans-serif" w:hAnsi="Lato;sans-serif"/>
                <w:b/>
                <w:color w:val="000000"/>
                <w:sz w:val="16"/>
              </w:rPr>
              <w:t>Awards</w:t>
            </w:r>
          </w:p>
          <w:p>
            <w:pPr>
              <w:pStyle w:val="TableContents"/>
              <w:bidi w:val="0"/>
              <w:spacing w:lineRule="auto" w:line="312" w:before="0" w:after="0"/>
              <w:jc w:val="right"/>
              <w:rPr/>
            </w:pPr>
            <w:r>
              <w:rPr>
                <w:rFonts w:ascii="Lato;sans-serif" w:hAnsi="Lato;sans-serif"/>
                <w:b/>
                <w:color w:val="000000"/>
                <w:sz w:val="16"/>
              </w:rPr>
              <w:t>($)</w:t>
            </w:r>
            <w:r>
              <w:rPr>
                <w:rFonts w:ascii="Lato;sans-serif" w:hAnsi="Lato;sans-serif"/>
                <w:b/>
                <w:color w:val="000000"/>
                <w:sz w:val="1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Lato;sans-serif" w:hAnsi="Lato;sans-serif"/>
                <w:b/>
                <w:color w:val="000000"/>
                <w:sz w:val="16"/>
              </w:rPr>
            </w:pPr>
            <w:r>
              <w:rPr>
                <w:rFonts w:ascii="Lato;sans-serif" w:hAnsi="Lato;sans-serif"/>
                <w:b/>
                <w:color w:val="000000"/>
                <w:sz w:val="16"/>
              </w:rPr>
              <w:t>All Other</w:t>
            </w:r>
          </w:p>
          <w:p>
            <w:pPr>
              <w:pStyle w:val="TableContents"/>
              <w:bidi w:val="0"/>
              <w:spacing w:lineRule="auto" w:line="312" w:before="0" w:after="0"/>
              <w:jc w:val="right"/>
              <w:rPr>
                <w:color w:val="000000"/>
              </w:rPr>
            </w:pPr>
            <w:r>
              <w:rPr>
                <w:color w:val="000000"/>
              </w:rPr>
              <w:t> </w:t>
            </w:r>
            <w:r>
              <w:rPr>
                <w:rFonts w:ascii="Lato;sans-serif" w:hAnsi="Lato;sans-serif"/>
                <w:b/>
                <w:color w:val="000000"/>
                <w:sz w:val="16"/>
              </w:rPr>
              <w:t>Compensation</w:t>
            </w:r>
          </w:p>
          <w:p>
            <w:pPr>
              <w:pStyle w:val="TableContents"/>
              <w:bidi w:val="0"/>
              <w:spacing w:lineRule="auto" w:line="312" w:before="0" w:after="0"/>
              <w:jc w:val="right"/>
              <w:rPr/>
            </w:pPr>
            <w:r>
              <w:rPr>
                <w:color w:val="000000"/>
              </w:rPr>
              <w:t> </w:t>
            </w:r>
            <w:r>
              <w:rPr>
                <w:rFonts w:ascii="Lato;sans-serif" w:hAnsi="Lato;sans-serif"/>
                <w:b/>
                <w:color w:val="000000"/>
                <w:sz w:val="16"/>
              </w:rPr>
              <w:t>($)</w:t>
            </w:r>
            <w:r>
              <w:rPr>
                <w:rFonts w:ascii="Lato;sans-serif" w:hAnsi="Lato;sans-serif"/>
                <w:b/>
                <w:color w:val="000000"/>
                <w:sz w:val="10"/>
              </w:rPr>
              <w:t>(3)</w:t>
            </w:r>
          </w:p>
        </w:tc>
        <w:tc>
          <w:tcPr>
            <w:tcW w:w="9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000000"/>
                <w:sz w:val="16"/>
              </w:rPr>
            </w:pPr>
            <w:r>
              <w:rPr>
                <w:rFonts w:ascii="Lato;sans-serif" w:hAnsi="Lato;sans-serif"/>
                <w:b/>
                <w:color w:val="000000"/>
                <w:sz w:val="16"/>
              </w:rPr>
              <w:t>Total ($)</w:t>
            </w:r>
          </w:p>
        </w:tc>
      </w:tr>
      <w:tr>
        <w:trPr/>
        <w:tc>
          <w:tcPr>
            <w:tcW w:w="2289" w:type="dxa"/>
            <w:gridSpan w:val="3"/>
            <w:vMerge w:val="restart"/>
            <w:tcBorders>
              <w:top w:val="single" w:sz="8" w:space="0" w:color="005CB9"/>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5CB9"/>
                <w:sz w:val="18"/>
              </w:rPr>
            </w:pPr>
            <w:r>
              <w:rPr>
                <w:rFonts w:ascii="Lato;sans-serif" w:hAnsi="Lato;sans-serif"/>
                <w:b/>
                <w:color w:val="005CB9"/>
                <w:sz w:val="18"/>
              </w:rPr>
              <w:t>Stephen Altemus</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President and Chief Executive Officer</w:t>
            </w:r>
          </w:p>
        </w:tc>
        <w:tc>
          <w:tcPr>
            <w:tcW w:w="52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2024</w:t>
            </w:r>
          </w:p>
        </w:tc>
        <w:tc>
          <w:tcPr>
            <w:tcW w:w="78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728,733</w:t>
            </w:r>
          </w:p>
        </w:tc>
        <w:tc>
          <w:tcPr>
            <w:tcW w:w="2200"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758,713</w:t>
            </w:r>
          </w:p>
        </w:tc>
        <w:tc>
          <w:tcPr>
            <w:tcW w:w="78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164,813</w:t>
            </w:r>
          </w:p>
        </w:tc>
        <w:tc>
          <w:tcPr>
            <w:tcW w:w="93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3,307,500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13,800</w:t>
            </w:r>
          </w:p>
        </w:tc>
        <w:tc>
          <w:tcPr>
            <w:tcW w:w="978"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4,973,559</w:t>
            </w:r>
          </w:p>
        </w:tc>
      </w:tr>
      <w:tr>
        <w:trPr/>
        <w:tc>
          <w:tcPr>
            <w:tcW w:w="2289" w:type="dxa"/>
            <w:gridSpan w:val="3"/>
            <w:vMerge w:val="continue"/>
            <w:tcBorders>
              <w:top w:val="single" w:sz="8" w:space="0" w:color="005CB9"/>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2023</w:t>
            </w:r>
          </w:p>
        </w:tc>
        <w:tc>
          <w:tcPr>
            <w:tcW w:w="78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699,377</w:t>
            </w:r>
          </w:p>
        </w:tc>
        <w:tc>
          <w:tcPr>
            <w:tcW w:w="220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8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3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15,106</w:t>
            </w:r>
          </w:p>
        </w:tc>
        <w:tc>
          <w:tcPr>
            <w:tcW w:w="978"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714,483</w:t>
            </w:r>
          </w:p>
        </w:tc>
      </w:tr>
      <w:tr>
        <w:trPr/>
        <w:tc>
          <w:tcPr>
            <w:tcW w:w="2289" w:type="dxa"/>
            <w:gridSpan w:val="3"/>
            <w:vMerge w:val="restart"/>
            <w:tcBorders>
              <w:top w:val="single" w:sz="4" w:space="0" w:color="9D9FA2"/>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5CB9"/>
                <w:sz w:val="18"/>
              </w:rPr>
            </w:pPr>
            <w:r>
              <w:rPr>
                <w:rFonts w:ascii="Lato;sans-serif" w:hAnsi="Lato;sans-serif"/>
                <w:b/>
                <w:color w:val="005CB9"/>
                <w:sz w:val="18"/>
              </w:rPr>
              <w:t>Dr. Timothy Crain</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Senior Vice President and Chief Growth Officer</w:t>
            </w:r>
          </w:p>
        </w:tc>
        <w:tc>
          <w:tcPr>
            <w:tcW w:w="52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2024</w:t>
            </w:r>
          </w:p>
        </w:tc>
        <w:tc>
          <w:tcPr>
            <w:tcW w:w="78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447,674</w:t>
            </w:r>
          </w:p>
        </w:tc>
        <w:tc>
          <w:tcPr>
            <w:tcW w:w="220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310,736</w:t>
            </w:r>
          </w:p>
        </w:tc>
        <w:tc>
          <w:tcPr>
            <w:tcW w:w="78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67,500</w:t>
            </w:r>
          </w:p>
        </w:tc>
        <w:tc>
          <w:tcPr>
            <w:tcW w:w="93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1,326,500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13,800</w:t>
            </w:r>
          </w:p>
        </w:tc>
        <w:tc>
          <w:tcPr>
            <w:tcW w:w="978"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2,166,210</w:t>
            </w:r>
          </w:p>
        </w:tc>
      </w:tr>
      <w:tr>
        <w:trPr/>
        <w:tc>
          <w:tcPr>
            <w:tcW w:w="2289" w:type="dxa"/>
            <w:gridSpan w:val="3"/>
            <w:vMerge w:val="continue"/>
            <w:tcBorders>
              <w:top w:val="single" w:sz="4" w:space="0" w:color="9D9FA2"/>
            </w:tcBorders>
            <w:tcMar>
              <w:top w:w="30" w:type="dxa"/>
              <w:left w:w="0" w:type="dxa"/>
              <w:bottom w:w="0" w:type="dxa"/>
              <w:right w:w="0" w:type="dxa"/>
            </w:tcMar>
            <w:vAlign w:val="center"/>
          </w:tcPr>
          <w:p>
            <w:pPr>
              <w:pStyle w:val="Normal"/>
              <w:bidi w:val="0"/>
              <w:jc w:val="left"/>
              <w:rPr/>
            </w:pPr>
            <w:r>
              <w:rPr/>
            </w:r>
          </w:p>
        </w:tc>
        <w:tc>
          <w:tcPr>
            <w:tcW w:w="52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2023</w:t>
            </w:r>
          </w:p>
        </w:tc>
        <w:tc>
          <w:tcPr>
            <w:tcW w:w="78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429,640</w:t>
            </w:r>
          </w:p>
        </w:tc>
        <w:tc>
          <w:tcPr>
            <w:tcW w:w="220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8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3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11,550</w:t>
            </w:r>
          </w:p>
        </w:tc>
        <w:tc>
          <w:tcPr>
            <w:tcW w:w="978"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441,190</w:t>
            </w:r>
          </w:p>
        </w:tc>
      </w:tr>
      <w:tr>
        <w:trPr/>
        <w:tc>
          <w:tcPr>
            <w:tcW w:w="2289" w:type="dxa"/>
            <w:gridSpan w:val="3"/>
            <w:vMerge w:val="restart"/>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0"/>
              <w:jc w:val="left"/>
              <w:rPr/>
            </w:pPr>
            <w:r>
              <w:rPr>
                <w:rFonts w:ascii="Lato;sans-serif" w:hAnsi="Lato;sans-serif"/>
                <w:b/>
                <w:color w:val="005CB9"/>
                <w:sz w:val="18"/>
              </w:rPr>
              <w:t>Peter McGrath</w:t>
            </w:r>
            <w:r>
              <w:rPr>
                <w:rFonts w:ascii="Lato;sans-serif" w:hAnsi="Lato;sans-serif"/>
                <w:b/>
                <w:color w:val="000000"/>
                <w:sz w:val="12"/>
              </w:rPr>
              <w:t>(4)</w:t>
            </w:r>
          </w:p>
          <w:p>
            <w:pPr>
              <w:pStyle w:val="TableContents"/>
              <w:bidi w:val="0"/>
              <w:spacing w:lineRule="auto" w:line="288" w:before="0" w:after="0"/>
              <w:jc w:val="left"/>
              <w:rPr>
                <w:rFonts w:ascii="Lato;sans-serif" w:hAnsi="Lato;sans-serif"/>
                <w:b w:val="false"/>
                <w:color w:val="000000"/>
                <w:sz w:val="16"/>
              </w:rPr>
            </w:pPr>
            <w:r>
              <w:rPr>
                <w:rFonts w:ascii="Lato;sans-serif" w:hAnsi="Lato;sans-serif"/>
                <w:b w:val="false"/>
                <w:color w:val="000000"/>
                <w:sz w:val="16"/>
              </w:rPr>
              <w:t>Senior Vice President and Chief Financial Officer</w:t>
            </w:r>
          </w:p>
        </w:tc>
        <w:tc>
          <w:tcPr>
            <w:tcW w:w="526"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2024</w:t>
            </w:r>
          </w:p>
        </w:tc>
        <w:tc>
          <w:tcPr>
            <w:tcW w:w="78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398,269</w:t>
            </w:r>
          </w:p>
        </w:tc>
        <w:tc>
          <w:tcPr>
            <w:tcW w:w="2200"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272,969</w:t>
            </w:r>
          </w:p>
        </w:tc>
        <w:tc>
          <w:tcPr>
            <w:tcW w:w="78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59,296</w:t>
            </w:r>
          </w:p>
        </w:tc>
        <w:tc>
          <w:tcPr>
            <w:tcW w:w="93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818,125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13,801</w:t>
            </w:r>
          </w:p>
        </w:tc>
        <w:tc>
          <w:tcPr>
            <w:tcW w:w="978"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1,562,460</w:t>
            </w:r>
          </w:p>
        </w:tc>
      </w:tr>
      <w:tr>
        <w:trPr/>
        <w:tc>
          <w:tcPr>
            <w:tcW w:w="2289" w:type="dxa"/>
            <w:gridSpan w:val="3"/>
            <w:vMerge w:val="continue"/>
            <w:tcBorders>
              <w:top w:val="single" w:sz="4" w:space="0" w:color="9D9FA2"/>
              <w:bottom w:val="single" w:sz="8" w:space="0" w:color="026DCE"/>
            </w:tcBorders>
            <w:tcMar>
              <w:top w:w="30" w:type="dxa"/>
              <w:left w:w="0" w:type="dxa"/>
              <w:bottom w:w="30" w:type="dxa"/>
              <w:right w:w="0" w:type="dxa"/>
            </w:tcMar>
            <w:vAlign w:val="center"/>
          </w:tcPr>
          <w:p>
            <w:pPr>
              <w:pStyle w:val="Normal"/>
              <w:bidi w:val="0"/>
              <w:jc w:val="left"/>
              <w:rPr/>
            </w:pPr>
            <w:r>
              <w:rPr/>
            </w:r>
          </w:p>
        </w:tc>
        <w:tc>
          <w:tcPr>
            <w:tcW w:w="526"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0"/>
              <w:jc w:val="center"/>
              <w:rPr>
                <w:rFonts w:ascii="Lato;sans-serif" w:hAnsi="Lato;sans-serif"/>
                <w:b w:val="false"/>
                <w:color w:val="000000"/>
                <w:sz w:val="16"/>
              </w:rPr>
            </w:pPr>
            <w:r>
              <w:rPr>
                <w:rFonts w:ascii="Lato;sans-serif" w:hAnsi="Lato;sans-serif"/>
                <w:b w:val="false"/>
                <w:color w:val="000000"/>
                <w:sz w:val="16"/>
              </w:rPr>
              <w:t>2023</w:t>
            </w:r>
          </w:p>
        </w:tc>
        <w:tc>
          <w:tcPr>
            <w:tcW w:w="781"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375,000</w:t>
            </w:r>
          </w:p>
        </w:tc>
        <w:tc>
          <w:tcPr>
            <w:tcW w:w="2200"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781"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931"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1,890,000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11,250</w:t>
            </w:r>
          </w:p>
        </w:tc>
        <w:tc>
          <w:tcPr>
            <w:tcW w:w="978" w:type="dxa"/>
            <w:gridSpan w:val="3"/>
            <w:tcBorders>
              <w:top w:val="single" w:sz="4" w:space="0" w:color="9D9FA2"/>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6"/>
              </w:rPr>
            </w:pPr>
            <w:r>
              <w:rPr>
                <w:rFonts w:ascii="Lato;sans-serif" w:hAnsi="Lato;sans-serif"/>
                <w:b w:val="false"/>
                <w:color w:val="000000"/>
                <w:sz w:val="16"/>
              </w:rPr>
              <w:t>2,276,250</w:t>
            </w:r>
          </w:p>
        </w:tc>
      </w:tr>
      <w:tr>
        <w:trPr/>
        <w:tc>
          <w:tcPr>
            <w:tcW w:w="228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200"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ind w:left="0" w:right="0" w:hanging="360"/>
        <w:jc w:val="both"/>
        <w:rPr>
          <w:rFonts w:ascii="Lato;sans-serif" w:hAnsi="Lato;sans-serif"/>
          <w:b w:val="false"/>
          <w:color w:val="000000"/>
          <w:sz w:val="16"/>
        </w:rPr>
      </w:pPr>
      <w:r>
        <w:rPr>
          <w:rFonts w:ascii="Lato;sans-serif" w:hAnsi="Lato;sans-serif"/>
          <w:b w:val="false"/>
          <w:color w:val="000000"/>
          <w:sz w:val="16"/>
        </w:rPr>
        <w:t>(1)    Includes the 2024 performance award agreements for 2023 performance. On February 7, 2024, the Board determined the discretionary 2023 annual cash bonus awards for the named executive officers of the Company and determined that no annual cash bonus awards were payable to any named executive officer with respect to 2023. On February 7, 2024, the Board approved a one-time special restricted stock unit awards for each of Mr. Altemus, Mr. Crain and Mr. McGrath in consideration of their strong performance in 2023. The awards were granted pursuant to the Intuitive Machines, Inc. 2023 Long Term Omnibus Incentive Plan. They are shown as part of the 2024 stock awards because they were granted in 2024.</w:t>
      </w:r>
    </w:p>
    <w:p>
      <w:pPr>
        <w:pStyle w:val="TextBody"/>
        <w:bidi w:val="0"/>
        <w:spacing w:lineRule="auto" w:line="312" w:before="80" w:after="80"/>
        <w:ind w:left="0" w:right="0" w:hanging="360"/>
        <w:jc w:val="both"/>
        <w:rPr/>
      </w:pPr>
      <w:r>
        <w:rPr>
          <w:rFonts w:ascii="Lato;sans-serif" w:hAnsi="Lato;sans-serif"/>
          <w:b w:val="false"/>
          <w:color w:val="000000"/>
          <w:sz w:val="16"/>
        </w:rPr>
        <w:t xml:space="preserve">(2)    Reflects the grant-date fair value of restricted stock unit awards granted during the years ended </w:t>
      </w:r>
      <w:r>
        <w:rPr>
          <w:rFonts w:ascii="Lato;sans-serif" w:hAnsi="Lato;sans-serif"/>
          <w:b w:val="false"/>
          <w:color w:val="000000"/>
          <w:sz w:val="18"/>
        </w:rPr>
        <w:t>December 31, 2024 and 2023</w:t>
      </w:r>
      <w:r>
        <w:rPr>
          <w:rFonts w:ascii="Lato;sans-serif" w:hAnsi="Lato;sans-serif"/>
          <w:b w:val="false"/>
          <w:color w:val="000000"/>
          <w:sz w:val="16"/>
        </w:rPr>
        <w:t>.</w:t>
      </w:r>
    </w:p>
    <w:p>
      <w:pPr>
        <w:pStyle w:val="TextBody"/>
        <w:bidi w:val="0"/>
        <w:spacing w:lineRule="auto" w:line="312" w:before="80" w:after="80"/>
        <w:ind w:left="0" w:right="0" w:hanging="360"/>
        <w:jc w:val="both"/>
        <w:rPr>
          <w:rFonts w:ascii="Lato;sans-serif" w:hAnsi="Lato;sans-serif"/>
          <w:b w:val="false"/>
          <w:color w:val="000000"/>
          <w:sz w:val="16"/>
        </w:rPr>
      </w:pPr>
      <w:r>
        <w:rPr>
          <w:rFonts w:ascii="Lato;sans-serif" w:hAnsi="Lato;sans-serif"/>
          <w:b w:val="false"/>
          <w:color w:val="000000"/>
          <w:sz w:val="16"/>
        </w:rPr>
        <w:t>(3)    Amounts reflect the Company’s 401(k) plan matching contributions.</w:t>
      </w:r>
    </w:p>
    <w:p>
      <w:pPr>
        <w:pStyle w:val="TextBody"/>
        <w:bidi w:val="0"/>
        <w:spacing w:lineRule="auto" w:line="312" w:before="80" w:after="80"/>
        <w:ind w:left="0" w:right="0" w:hanging="360"/>
        <w:jc w:val="both"/>
        <w:rPr>
          <w:rFonts w:ascii="Lato;sans-serif" w:hAnsi="Lato;sans-serif"/>
          <w:b w:val="false"/>
          <w:color w:val="000000"/>
          <w:sz w:val="16"/>
        </w:rPr>
      </w:pPr>
      <w:r>
        <w:rPr>
          <w:rFonts w:ascii="Lato;sans-serif" w:hAnsi="Lato;sans-serif"/>
          <w:b w:val="false"/>
          <w:color w:val="000000"/>
          <w:sz w:val="16"/>
        </w:rPr>
        <w:t xml:space="preserve">(4)    Mr. McGrath became an executive officer of the Company in 2024 and was appointed as Chief Financial Officer effective September 16, 2024. </w:t>
      </w:r>
    </w:p>
    <w:p>
      <w:pPr>
        <w:pStyle w:val="TextBody"/>
        <w:bidi w:val="0"/>
        <w:spacing w:lineRule="auto" w:line="312" w:before="240" w:after="120"/>
        <w:jc w:val="both"/>
        <w:rPr>
          <w:rFonts w:ascii="Lato Black;sans-serif" w:hAnsi="Lato Black;sans-serif"/>
          <w:b/>
          <w:color w:val="000000"/>
          <w:sz w:val="18"/>
        </w:rPr>
      </w:pPr>
      <w:r>
        <w:rPr>
          <w:rFonts w:ascii="Lato Black;sans-serif" w:hAnsi="Lato Black;sans-serif"/>
          <w:b/>
          <w:color w:val="000000"/>
          <w:sz w:val="18"/>
        </w:rPr>
        <w:t>Narrative to Summary Compensation Table</w:t>
      </w:r>
    </w:p>
    <w:p>
      <w:pPr>
        <w:pStyle w:val="TextBody"/>
        <w:bidi w:val="0"/>
        <w:spacing w:lineRule="auto" w:line="312" w:before="0" w:after="0"/>
        <w:ind w:left="0" w:right="0" w:hanging="360"/>
        <w:jc w:val="both"/>
        <w:rPr>
          <w:rFonts w:ascii="Lato Black;sans-serif" w:hAnsi="Lato Black;sans-serif"/>
          <w:b/>
          <w:i/>
          <w:color w:val="000000"/>
          <w:sz w:val="18"/>
        </w:rPr>
      </w:pPr>
      <w:r>
        <w:rPr>
          <w:rFonts w:ascii="Lato Black;sans-serif" w:hAnsi="Lato Black;sans-serif"/>
          <w:b/>
          <w:i/>
          <w:color w:val="000000"/>
          <w:sz w:val="18"/>
        </w:rPr>
        <w:t>2024 Compensation Highlights</w:t>
      </w:r>
    </w:p>
    <w:p>
      <w:pPr>
        <w:pStyle w:val="TextBody"/>
        <w:bidi w:val="0"/>
        <w:spacing w:before="0" w:after="0"/>
        <w:ind w:left="0" w:right="0" w:hanging="360"/>
        <w:jc w:val="both"/>
        <w:rPr/>
      </w:pPr>
      <w:r>
        <w:rPr/>
      </w:r>
    </w:p>
    <w:p>
      <w:pPr>
        <w:pStyle w:val="TextBody"/>
        <w:bidi w:val="0"/>
        <w:spacing w:lineRule="auto" w:line="312" w:before="0" w:after="0"/>
        <w:jc w:val="both"/>
        <w:rPr>
          <w:rFonts w:ascii="Lato;sans-serif" w:hAnsi="Lato;sans-serif"/>
          <w:b w:val="false"/>
          <w:color w:val="000000"/>
          <w:sz w:val="18"/>
        </w:rPr>
      </w:pPr>
      <w:r>
        <w:rPr>
          <w:rFonts w:ascii="Lato;sans-serif" w:hAnsi="Lato;sans-serif"/>
          <w:b w:val="false"/>
          <w:color w:val="000000"/>
          <w:sz w:val="18"/>
        </w:rPr>
        <w:t>We compensate our named executive officers with a combination of base salary, cash bonuses, long-term equity incentive awards, and other benefits. Each element is designed to achieve a specific purpose and to contribute to a total package that is competitive with similar packages provided by other like companies. Base salary is an essential component to any market-competitive compensation program. Cash bonuses reward the achievement of short-term goals, while long-term equity incentives having four-year vesting schedules serve as important retention incentives and drive our named executive officers to focus on long-term sustainable shareholder value creation.</w:t>
      </w:r>
    </w:p>
    <w:p>
      <w:pPr>
        <w:pStyle w:val="TextBody"/>
        <w:bidi w:val="0"/>
        <w:spacing w:before="0" w:after="0"/>
        <w:jc w:val="both"/>
        <w:rPr/>
      </w:pPr>
      <w:r>
        <w:rPr/>
      </w:r>
    </w:p>
    <w:p>
      <w:pPr>
        <w:pStyle w:val="TextBody"/>
        <w:bidi w:val="0"/>
        <w:spacing w:lineRule="auto" w:line="312" w:before="0" w:after="0"/>
        <w:ind w:left="0" w:right="0" w:hanging="360"/>
        <w:jc w:val="both"/>
        <w:rPr>
          <w:rFonts w:ascii="Lato Black;sans-serif" w:hAnsi="Lato Black;sans-serif"/>
          <w:b/>
          <w:i/>
          <w:color w:val="000000"/>
          <w:sz w:val="18"/>
        </w:rPr>
      </w:pPr>
      <w:r>
        <w:rPr>
          <w:rFonts w:ascii="Lato Black;sans-serif" w:hAnsi="Lato Black;sans-serif"/>
          <w:b/>
          <w:i/>
          <w:color w:val="000000"/>
          <w:sz w:val="18"/>
        </w:rPr>
        <w:t>2024 Salaries</w:t>
      </w:r>
    </w:p>
    <w:p>
      <w:pPr>
        <w:pStyle w:val="TextBody"/>
        <w:bidi w:val="0"/>
        <w:spacing w:lineRule="auto" w:line="312" w:before="120" w:after="160"/>
        <w:jc w:val="both"/>
        <w:rPr/>
      </w:pPr>
      <w:r>
        <w:rPr>
          <w:rFonts w:ascii="Lato;sans-serif" w:hAnsi="Lato;sans-serif"/>
          <w:b w:val="false"/>
          <w:color w:val="000000"/>
          <w:sz w:val="18"/>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 The 2024 annual base salaries for Messrs. Altemus, Crain and McGrath were $732,500, $450,000 and $450,000, respectively. The actual base salaries earned by our named executive officers for services in 2024 are set forth above in the Summary Compensation Table in the column entitled “</w:t>
      </w:r>
      <w:r>
        <w:rPr>
          <w:rFonts w:ascii="Lato;sans-serif" w:hAnsi="Lato;sans-serif"/>
          <w:b w:val="false"/>
          <w:i/>
          <w:color w:val="000000"/>
          <w:sz w:val="18"/>
        </w:rPr>
        <w:t>Salary</w:t>
      </w:r>
      <w:r>
        <w:rPr>
          <w:rFonts w:ascii="Lato;sans-serif" w:hAnsi="Lato;sans-serif"/>
          <w:b w:val="false"/>
          <w:color w:val="000000"/>
          <w:sz w:val="18"/>
        </w:rPr>
        <w:t>.”</w:t>
      </w:r>
    </w:p>
    <w:p>
      <w:pPr>
        <w:pStyle w:val="TextBody"/>
        <w:bidi w:val="0"/>
        <w:spacing w:lineRule="auto" w:line="312" w:before="160" w:after="120"/>
        <w:jc w:val="both"/>
        <w:rPr>
          <w:rFonts w:ascii="Lato Black;sans-serif" w:hAnsi="Lato Black;sans-serif"/>
          <w:b/>
          <w:i/>
          <w:color w:val="000000"/>
          <w:sz w:val="18"/>
        </w:rPr>
      </w:pPr>
      <w:r>
        <w:rPr>
          <w:rFonts w:ascii="Lato Black;sans-serif" w:hAnsi="Lato Black;sans-serif"/>
          <w:b/>
          <w:i/>
          <w:color w:val="000000"/>
          <w:sz w:val="18"/>
        </w:rPr>
        <w:t>2024 Annual Non-Equity Incentive Plan and Cash Bonuses</w:t>
      </w:r>
    </w:p>
    <w:p>
      <w:pPr>
        <w:pStyle w:val="TextBody"/>
        <w:bidi w:val="0"/>
        <w:spacing w:lineRule="auto" w:line="312" w:before="0" w:after="0"/>
        <w:jc w:val="both"/>
        <w:rPr>
          <w:rFonts w:ascii="Lato;sans-serif" w:hAnsi="Lato;sans-serif"/>
          <w:b w:val="false"/>
          <w:color w:val="000000"/>
          <w:sz w:val="18"/>
        </w:rPr>
      </w:pPr>
      <w:r>
        <w:rPr>
          <w:rFonts w:ascii="Lato;sans-serif" w:hAnsi="Lato;sans-serif"/>
          <w:b w:val="false"/>
          <w:color w:val="000000"/>
          <w:sz w:val="18"/>
        </w:rPr>
        <w:t xml:space="preserve">Our named executive officers are eligible to earn cash bonuses for calendar year 2024, as determined by the Compensation Committee and approved by the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40410"/>
                <wp:effectExtent l="0" t="0" r="0" b="0"/>
                <wp:wrapNone/>
                <wp:docPr id="33" name="Frame2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160" w:after="283"/>
        <w:jc w:val="both"/>
        <w:rPr>
          <w:rFonts w:ascii="Lato;sans-serif" w:hAnsi="Lato;sans-serif"/>
          <w:b w:val="false"/>
          <w:color w:val="000000"/>
          <w:sz w:val="18"/>
        </w:rPr>
      </w:pPr>
      <w:r>
        <w:rPr>
          <w:rFonts w:ascii="Lato;sans-serif" w:hAnsi="Lato;sans-serif"/>
          <w:b w:val="false"/>
          <w:color w:val="000000"/>
          <w:sz w:val="18"/>
        </w:rPr>
        <w:t>For 2024, each of our named executive officer was eligible to receive an annual cash bonus and non-equity incentive compensation under the Company’s 2024 annual incentive plan, which is administered by the Compensation Committee and approved by the Board. For 2024, each named executive officer was assigned a target award value. The target bonus for the named executive officers for 2024 were $549,000 for Mr. Altemus, $225,000 for Mr. Crain, and $270,000 (pro rated as of September 16, 2024) and $171,000 prior to September 16, 2024 for Mr. McGrath.</w:t>
      </w:r>
    </w:p>
    <w:p>
      <w:pPr>
        <w:pStyle w:val="TextBody"/>
        <w:bidi w:val="0"/>
        <w:spacing w:lineRule="auto" w:line="312" w:before="160" w:after="283"/>
        <w:jc w:val="both"/>
        <w:rPr>
          <w:rFonts w:ascii="Lato;sans-serif" w:hAnsi="Lato;sans-serif"/>
          <w:b w:val="false"/>
          <w:color w:val="000000"/>
          <w:sz w:val="18"/>
        </w:rPr>
      </w:pPr>
      <w:r>
        <w:rPr>
          <w:rFonts w:ascii="Lato;sans-serif" w:hAnsi="Lato;sans-serif"/>
          <w:b w:val="false"/>
          <w:color w:val="000000"/>
          <w:sz w:val="18"/>
        </w:rPr>
        <w:t xml:space="preserve">In the first quarter of 2024, the Compensation Committee recommended and the Board approved the2024 annual incentive plan as 70% financial and strategic performance (the “F&amp;S performance”) and 30% individual performance. The F&amp;S performance payout ranges from 0-200% based on performance. The financial performance portion of the F&amp;S performance was 70% of the weighting and consisted of bookings, revenue, gross profit margin, capital needs, and cash reserve as defined below and with the following weighting: </w:t>
      </w:r>
    </w:p>
    <w:tbl>
      <w:tblPr>
        <w:tblW w:w="10205" w:type="dxa"/>
        <w:jc w:val="left"/>
        <w:tblInd w:w="0" w:type="dxa"/>
        <w:tblLayout w:type="fixed"/>
        <w:tblCellMar>
          <w:top w:w="28" w:type="dxa"/>
          <w:left w:w="28" w:type="dxa"/>
          <w:bottom w:w="28" w:type="dxa"/>
          <w:right w:w="28" w:type="dxa"/>
        </w:tblCellMar>
      </w:tblPr>
      <w:tblGrid>
        <w:gridCol w:w="562"/>
        <w:gridCol w:w="497"/>
        <w:gridCol w:w="500"/>
        <w:gridCol w:w="2502"/>
        <w:gridCol w:w="2502"/>
        <w:gridCol w:w="2527"/>
        <w:gridCol w:w="325"/>
        <w:gridCol w:w="325"/>
        <w:gridCol w:w="465"/>
      </w:tblGrid>
      <w:tr>
        <w:trPr/>
        <w:tc>
          <w:tcPr>
            <w:tcW w:w="56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909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Metric</w:t>
            </w:r>
          </w:p>
        </w:tc>
        <w:tc>
          <w:tcPr>
            <w:tcW w:w="11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Weighting</w:t>
            </w:r>
          </w:p>
        </w:tc>
      </w:tr>
      <w:tr>
        <w:trPr/>
        <w:tc>
          <w:tcPr>
            <w:tcW w:w="1559"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Bookings</w:t>
            </w:r>
          </w:p>
        </w:tc>
        <w:tc>
          <w:tcPr>
            <w:tcW w:w="753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Bookings represent the total estimated value the company is contractually obligated to perform and the customer is obligated to pay under the terms of signed contracts</w:t>
            </w:r>
          </w:p>
        </w:tc>
        <w:tc>
          <w:tcPr>
            <w:tcW w:w="1115"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25%</w:t>
            </w:r>
          </w:p>
        </w:tc>
      </w:tr>
      <w:tr>
        <w:trPr/>
        <w:tc>
          <w:tcPr>
            <w:tcW w:w="155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Revenue</w:t>
            </w:r>
          </w:p>
        </w:tc>
        <w:tc>
          <w:tcPr>
            <w:tcW w:w="753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Revenue is reported as it is recognized in accordance with ASC 606 guidelines</w:t>
            </w:r>
          </w:p>
        </w:tc>
        <w:tc>
          <w:tcPr>
            <w:tcW w:w="111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25%</w:t>
            </w:r>
          </w:p>
        </w:tc>
      </w:tr>
      <w:tr>
        <w:trPr/>
        <w:tc>
          <w:tcPr>
            <w:tcW w:w="155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Gross Profit Margin</w:t>
            </w:r>
          </w:p>
        </w:tc>
        <w:tc>
          <w:tcPr>
            <w:tcW w:w="753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Gross profit margin equals the total amount of revenue recognized less the cost of the goods and services incurred provided by the company in a given period</w:t>
            </w:r>
          </w:p>
        </w:tc>
        <w:tc>
          <w:tcPr>
            <w:tcW w:w="111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15%</w:t>
            </w:r>
          </w:p>
        </w:tc>
      </w:tr>
      <w:tr>
        <w:trPr/>
        <w:tc>
          <w:tcPr>
            <w:tcW w:w="1559"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Capital Needs</w:t>
            </w:r>
          </w:p>
        </w:tc>
        <w:tc>
          <w:tcPr>
            <w:tcW w:w="7531"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Capital needs reflects the short-term operating capital needed and capital investments obtained</w:t>
            </w:r>
          </w:p>
        </w:tc>
        <w:tc>
          <w:tcPr>
            <w:tcW w:w="1115"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20%</w:t>
            </w:r>
          </w:p>
        </w:tc>
      </w:tr>
      <w:tr>
        <w:trPr/>
        <w:tc>
          <w:tcPr>
            <w:tcW w:w="1559"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Cash Reserve</w:t>
            </w:r>
          </w:p>
        </w:tc>
        <w:tc>
          <w:tcPr>
            <w:tcW w:w="7531"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6"/>
              </w:rPr>
            </w:pPr>
            <w:r>
              <w:rPr>
                <w:rFonts w:ascii="Lato;sans-serif" w:hAnsi="Lato;sans-serif"/>
                <w:b w:val="false"/>
                <w:color w:val="000000"/>
                <w:sz w:val="16"/>
              </w:rPr>
              <w:t>Cash reserve reflects cash on the balance sheet</w:t>
            </w:r>
          </w:p>
        </w:tc>
        <w:tc>
          <w:tcPr>
            <w:tcW w:w="1115"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000000"/>
                <w:sz w:val="18"/>
              </w:rPr>
            </w:pPr>
            <w:r>
              <w:rPr>
                <w:rFonts w:ascii="Lato;sans-serif" w:hAnsi="Lato;sans-serif"/>
                <w:b w:val="false"/>
                <w:color w:val="000000"/>
                <w:sz w:val="18"/>
              </w:rPr>
              <w:t>15%</w:t>
            </w:r>
          </w:p>
        </w:tc>
      </w:tr>
    </w:tbl>
    <w:p>
      <w:pPr>
        <w:pStyle w:val="TextBody"/>
        <w:bidi w:val="0"/>
        <w:spacing w:lineRule="auto" w:line="312" w:before="160" w:after="283"/>
        <w:jc w:val="both"/>
        <w:rPr>
          <w:rFonts w:ascii="Lato;sans-serif" w:hAnsi="Lato;sans-serif"/>
          <w:b w:val="false"/>
          <w:color w:val="000000"/>
          <w:sz w:val="18"/>
        </w:rPr>
      </w:pPr>
      <w:r>
        <w:rPr>
          <w:rFonts w:ascii="Lato;sans-serif" w:hAnsi="Lato;sans-serif"/>
          <w:b w:val="false"/>
          <w:color w:val="000000"/>
          <w:sz w:val="18"/>
        </w:rPr>
        <w:t xml:space="preserve">The 30% strategic performance portion of the F&amp;S performance was based on 5 strategic growth objectives. In the first quarter of 2025, the Compensation Committee determined that the Company scored 134.9% of target on the financial portion and 200% on the strategic portion, for a total F&amp;S performance score of 154.4% of target. The F&amp;S performance was approved by the Board. On the 30% individual portion , performance payout ranges from 0-100%. Each named executive officer received a 100% on the individual portion based on their performance. </w:t>
      </w:r>
    </w:p>
    <w:p>
      <w:pPr>
        <w:pStyle w:val="TextBody"/>
        <w:bidi w:val="0"/>
        <w:spacing w:lineRule="auto" w:line="312" w:before="160" w:after="283"/>
        <w:jc w:val="both"/>
        <w:rPr>
          <w:rFonts w:ascii="Lato;sans-serif" w:hAnsi="Lato;sans-serif"/>
          <w:b w:val="false"/>
          <w:color w:val="000000"/>
          <w:sz w:val="18"/>
        </w:rPr>
      </w:pPr>
      <w:r>
        <w:rPr>
          <w:rFonts w:ascii="Lato;sans-serif" w:hAnsi="Lato;sans-serif"/>
          <w:b w:val="false"/>
          <w:color w:val="000000"/>
          <w:sz w:val="18"/>
        </w:rPr>
        <w:t xml:space="preserve">Following the review of the metrics, the Compensation Committee and the Board approved an additional cash bonus of $164,813 for Mr. Altemus, $67,500 for Mr. Crain, and $59,296 for Mr. McGrath. The total cash bonus and incentive payouts are set forth in the table above. </w:t>
      </w:r>
    </w:p>
    <w:p>
      <w:pPr>
        <w:pStyle w:val="TextBody"/>
        <w:bidi w:val="0"/>
        <w:spacing w:lineRule="auto" w:line="312" w:before="160" w:after="120"/>
        <w:jc w:val="both"/>
        <w:rPr>
          <w:rFonts w:ascii="Lato Black;sans-serif" w:hAnsi="Lato Black;sans-serif"/>
          <w:b/>
          <w:i/>
          <w:color w:val="000000"/>
          <w:sz w:val="18"/>
        </w:rPr>
      </w:pPr>
      <w:r>
        <w:rPr>
          <w:rFonts w:ascii="Lato Black;sans-serif" w:hAnsi="Lato Black;sans-serif"/>
          <w:b/>
          <w:i/>
          <w:color w:val="000000"/>
          <w:sz w:val="18"/>
        </w:rPr>
        <w:t>Equity Compensation</w:t>
      </w:r>
    </w:p>
    <w:p>
      <w:pPr>
        <w:pStyle w:val="TextBody"/>
        <w:bidi w:val="0"/>
        <w:spacing w:lineRule="auto" w:line="312" w:before="120" w:after="120"/>
        <w:jc w:val="both"/>
        <w:rPr>
          <w:rFonts w:ascii="Lato;sans-serif" w:hAnsi="Lato;sans-serif"/>
          <w:b w:val="false"/>
          <w:i/>
          <w:color w:val="000000"/>
          <w:sz w:val="18"/>
        </w:rPr>
      </w:pPr>
      <w:r>
        <w:rPr>
          <w:rFonts w:ascii="Lato;sans-serif" w:hAnsi="Lato;sans-serif"/>
          <w:b w:val="false"/>
          <w:i/>
          <w:color w:val="000000"/>
          <w:sz w:val="18"/>
        </w:rPr>
        <w:t>Unit Option Plan</w:t>
      </w:r>
    </w:p>
    <w:p>
      <w:pPr>
        <w:pStyle w:val="TextBody"/>
        <w:bidi w:val="0"/>
        <w:spacing w:lineRule="auto" w:line="312" w:before="120" w:after="160"/>
        <w:jc w:val="both"/>
        <w:rPr>
          <w:rFonts w:ascii="Lato;sans-serif" w:hAnsi="Lato;sans-serif"/>
          <w:b w:val="false"/>
          <w:color w:val="000000"/>
          <w:sz w:val="18"/>
        </w:rPr>
      </w:pPr>
      <w:r>
        <w:rPr>
          <w:rFonts w:ascii="Lato;sans-serif" w:hAnsi="Lato;sans-serif"/>
          <w:b w:val="false"/>
          <w:color w:val="000000"/>
          <w:sz w:val="18"/>
        </w:rPr>
        <w:t>Prior to the Transactions, we offered awards of options to purchase non-voting class B membership interests of Intuitive Machines OpCo to eligible service providers, including certain of our named executive officers, pursuant to the Intuitive Machines, LLC 2021 Unit Option Plan (the “2021 Plan”). In connection with the consummation of the Transactions, the options were recapitalized into options to purchase Intuitive Machines OpCo Common Units. Since the consummation of the Transactions, awards have not been (and will not be granted) under the 2021 Plan.</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In 2023 and 2024 we did not award any stock options pursuant to the 2021 Plan to any of our named executive officers. Messrs. Altemus and Crain do not hold stock options.</w:t>
      </w:r>
    </w:p>
    <w:p>
      <w:pPr>
        <w:pStyle w:val="TextBody"/>
        <w:bidi w:val="0"/>
        <w:spacing w:lineRule="auto" w:line="312" w:before="0" w:after="120"/>
        <w:jc w:val="both"/>
        <w:rPr>
          <w:rFonts w:ascii="Lato;sans-serif" w:hAnsi="Lato;sans-serif"/>
          <w:b w:val="false"/>
          <w:i/>
          <w:color w:val="000000"/>
          <w:sz w:val="18"/>
        </w:rPr>
      </w:pPr>
      <w:r>
        <w:rPr>
          <w:rFonts w:ascii="Lato;sans-serif" w:hAnsi="Lato;sans-serif"/>
          <w:b w:val="false"/>
          <w:i/>
          <w:color w:val="000000"/>
          <w:sz w:val="18"/>
        </w:rPr>
        <w:t>2023 Intuitive Machines Incentive Plan</w:t>
      </w:r>
    </w:p>
    <w:p>
      <w:pPr>
        <w:pStyle w:val="TextBody"/>
        <w:bidi w:val="0"/>
        <w:spacing w:lineRule="auto" w:line="312" w:before="120" w:after="160"/>
        <w:jc w:val="both"/>
        <w:rPr>
          <w:rFonts w:ascii="Lato;sans-serif" w:hAnsi="Lato;sans-serif"/>
          <w:b w:val="false"/>
          <w:color w:val="000000"/>
          <w:sz w:val="18"/>
        </w:rPr>
      </w:pPr>
      <w:r>
        <w:rPr>
          <w:rFonts w:ascii="Lato;sans-serif" w:hAnsi="Lato;sans-serif"/>
          <w:b w:val="false"/>
          <w:color w:val="000000"/>
          <w:sz w:val="18"/>
        </w:rPr>
        <w:t xml:space="preserve">In connection with the consummation of the Transactions, we adopted the Intuitive Machines, Inc. 2023 Long Term Omnibus Incentive Plan (the 2023 Plan”) in order to facilitate the grant of cash and equity incentives to directors, employees (including our named executive officers) and consultants of our company and certain of its affiliates and to enable our company and certain of its affiliates to obtain and retain services of these individuals, which is essential to our long-term success. In 2024, the Board granted restricted stock units to certain of our named executive officers under the Incentive Plan. </w:t>
      </w:r>
    </w:p>
    <w:p>
      <w:pPr>
        <w:pStyle w:val="TextBody"/>
        <w:bidi w:val="0"/>
        <w:spacing w:lineRule="auto" w:line="312" w:before="120" w:after="160"/>
        <w:jc w:val="both"/>
        <w:rPr>
          <w:rFonts w:ascii="Lato;sans-serif" w:hAnsi="Lato;sans-serif"/>
          <w:b w:val="false"/>
          <w:color w:val="000000"/>
          <w:sz w:val="18"/>
        </w:rPr>
      </w:pPr>
      <w:r>
        <w:rPr>
          <w:rFonts w:ascii="Lato;sans-serif" w:hAnsi="Lato;sans-serif"/>
          <w:b w:val="false"/>
          <w:color w:val="000000"/>
          <w:sz w:val="18"/>
        </w:rPr>
        <w:t xml:space="preserve">On February 7, 2024, the Compensation Committee recommended and the Board approved grants of time-based restricted stock units (“RSUs”) under the 2023 Plan to Messrs. Altemus, Crain, and McGrath. The approved awards were 700,000 , 250,000, and 200,000 RSUs , respectively, each of which represents a contingent right to receive Class A Common Stock. The RSUs vest in four equal annual installments beginning on February 7, 2025, subject to the executive’s continued employment as of each vesting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40410"/>
                <wp:effectExtent l="0" t="0" r="0" b="0"/>
                <wp:wrapNone/>
                <wp:docPr id="34" name="Frame2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On February 7, 2024, the Compensation Committee recommended and the Board also approved one-time, special restricted stock unit awards for Messrs. Altemus, Crain and McGrath for their strong performance in 2023, with awards of 105,000, 43,000, and 37,750 RSUs, respectively . The awards were granted pursuant to the 2023 Plan and vested based on the achievement of designated Company operational performance goals, and subject to the executive’s continued employment through the 60-day anniversary of the applicable performance goal achievement date.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On February 7, 2024, the Compensation Committee recommended and the Board also approved a one-time transaction bonus of RSUs for Mr. Altemus and Mr. Crain of 140,000 and 86,000 RSUs respectively, each of which represents a contingent right to receive Class A Common Stock The first vesting occurred on April 11, 2024 and will continue to vest on each of the first three anniversaries of April 11, 2024, subject to the executive’s continued employment as of each vesting date.</w:t>
      </w:r>
    </w:p>
    <w:p>
      <w:pPr>
        <w:pStyle w:val="TextBody"/>
        <w:bidi w:val="0"/>
        <w:spacing w:lineRule="auto" w:line="312" w:before="160" w:after="283"/>
        <w:jc w:val="both"/>
        <w:rPr>
          <w:rFonts w:ascii="Lato;sans-serif" w:hAnsi="Lato;sans-serif"/>
          <w:b w:val="false"/>
          <w:i/>
          <w:color w:val="000000"/>
          <w:sz w:val="18"/>
        </w:rPr>
      </w:pPr>
      <w:r>
        <w:rPr>
          <w:rFonts w:ascii="Lato;sans-serif" w:hAnsi="Lato;sans-serif"/>
          <w:b w:val="false"/>
          <w:i/>
          <w:color w:val="000000"/>
          <w:sz w:val="18"/>
        </w:rPr>
        <w:t>Equity Grant Policies</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 xml:space="preserve">Although the Company does not have a formal policy on the timing of granting equity incentive awards, the Company expects to generally grant equity incentive awards during the first fiscal quarter of each year to incentivize the executive officers to deliver on the Company’s strategic objectives for the new fiscal year. The Compensation Committee and the Board endeavor to avoid timing such grants around the filing of periodic reports or current reports that may contain material non-public information. The Company has not timed the disclosure of material non-public information for the purpose of affecting the value of executive compensation. </w:t>
      </w:r>
    </w:p>
    <w:p>
      <w:pPr>
        <w:pStyle w:val="TextBody"/>
        <w:bidi w:val="0"/>
        <w:spacing w:lineRule="auto" w:line="312" w:before="160" w:after="160"/>
        <w:jc w:val="left"/>
        <w:rPr>
          <w:rFonts w:ascii="Lato Black;sans-serif" w:hAnsi="Lato Black;sans-serif"/>
          <w:b/>
          <w:i/>
          <w:color w:val="000000"/>
          <w:sz w:val="18"/>
        </w:rPr>
      </w:pPr>
      <w:r>
        <w:rPr>
          <w:rFonts w:ascii="Lato Black;sans-serif" w:hAnsi="Lato Black;sans-serif"/>
          <w:b/>
          <w:i/>
          <w:color w:val="000000"/>
          <w:sz w:val="18"/>
        </w:rPr>
        <w:t>Other Elements of Compensation</w:t>
      </w:r>
    </w:p>
    <w:p>
      <w:pPr>
        <w:pStyle w:val="TextBody"/>
        <w:bidi w:val="0"/>
        <w:spacing w:lineRule="auto" w:line="312" w:before="120" w:after="283"/>
        <w:jc w:val="both"/>
        <w:rPr>
          <w:rFonts w:ascii="Lato;sans-serif" w:hAnsi="Lato;sans-serif"/>
          <w:b w:val="false"/>
          <w:i/>
          <w:color w:val="000000"/>
          <w:sz w:val="18"/>
        </w:rPr>
      </w:pPr>
      <w:r>
        <w:rPr>
          <w:rFonts w:ascii="Lato;sans-serif" w:hAnsi="Lato;sans-serif"/>
          <w:b w:val="false"/>
          <w:i/>
          <w:color w:val="000000"/>
          <w:sz w:val="18"/>
        </w:rPr>
        <w:t>Retirement Plans</w:t>
      </w:r>
    </w:p>
    <w:p>
      <w:pPr>
        <w:pStyle w:val="TextBody"/>
        <w:bidi w:val="0"/>
        <w:spacing w:lineRule="auto" w:line="312" w:before="120" w:after="283"/>
        <w:jc w:val="both"/>
        <w:rPr>
          <w:rFonts w:ascii="Lato;sans-serif" w:hAnsi="Lato;sans-serif"/>
          <w:b w:val="false"/>
          <w:color w:val="000000"/>
          <w:sz w:val="18"/>
        </w:rPr>
      </w:pPr>
      <w:r>
        <w:rPr>
          <w:rFonts w:ascii="Lato;sans-serif" w:hAnsi="Lato;sans-serif"/>
          <w:b w:val="false"/>
          <w:color w:val="000000"/>
          <w:sz w:val="18"/>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The U.S. Internal Revenue Code of 1986, as amended (the “Code”) allows eligible employees to defer a portion of their compensation, within prescribed limits, on a pre-tax basis through contributions to the 401(k) plan. Currently, we match contributions made by participants in the 401(k) plan up to a specified percentage of the employee contributions, and these matching contributions are fully vested as of the date on which the contribution is made. We believe that providing a vehicle for tax-deferred retirement savings though our 401(k) plan, and making matching contributions, adds to the overall desirability of our executive compensation package and further incentivizes our employees, including our named executive officers, in accordance with our compensation policies.</w:t>
      </w:r>
    </w:p>
    <w:p>
      <w:pPr>
        <w:pStyle w:val="TextBody"/>
        <w:bidi w:val="0"/>
        <w:spacing w:lineRule="auto" w:line="312" w:before="0" w:after="160"/>
        <w:jc w:val="both"/>
        <w:rPr>
          <w:rFonts w:ascii="Lato;sans-serif" w:hAnsi="Lato;sans-serif"/>
          <w:b w:val="false"/>
          <w:i/>
          <w:color w:val="000000"/>
          <w:sz w:val="18"/>
        </w:rPr>
      </w:pPr>
      <w:r>
        <w:rPr>
          <w:rFonts w:ascii="Lato;sans-serif" w:hAnsi="Lato;sans-serif"/>
          <w:b w:val="false"/>
          <w:i/>
          <w:color w:val="000000"/>
          <w:sz w:val="18"/>
        </w:rPr>
        <w:t>Employee Benefits and Perquisites</w:t>
      </w:r>
    </w:p>
    <w:p>
      <w:pPr>
        <w:pStyle w:val="TextBody"/>
        <w:bidi w:val="0"/>
        <w:spacing w:lineRule="auto" w:line="312" w:before="160" w:after="120"/>
        <w:jc w:val="both"/>
        <w:rPr>
          <w:rFonts w:ascii="Lato;sans-serif" w:hAnsi="Lato;sans-serif"/>
          <w:b w:val="false"/>
          <w:color w:val="000000"/>
          <w:sz w:val="18"/>
        </w:rPr>
      </w:pPr>
      <w:r>
        <w:rPr>
          <w:rFonts w:ascii="Lato;sans-serif" w:hAnsi="Lato;sans-serif"/>
          <w:b w:val="false"/>
          <w:color w:val="000000"/>
          <w:sz w:val="18"/>
        </w:rPr>
        <w:t>All of our full-time employees, including our named executive officers, are eligible to participate in our health and welfare plans, including:</w:t>
      </w:r>
    </w:p>
    <w:p>
      <w:pPr>
        <w:pStyle w:val="TextBody"/>
        <w:bidi w:val="0"/>
        <w:spacing w:lineRule="auto" w:line="312" w:before="80" w:after="80"/>
        <w:ind w:left="0" w:right="0" w:hanging="360"/>
        <w:jc w:val="both"/>
        <w:rPr/>
      </w:pPr>
      <w:r>
        <w:rPr>
          <w:color w:val="000000"/>
        </w:rPr>
        <w:t>•</w:t>
      </w:r>
      <w:r>
        <w:rPr>
          <w:rFonts w:ascii="Lato;sans-serif" w:hAnsi="Lato;sans-serif"/>
          <w:b w:val="false"/>
          <w:color w:val="000000"/>
          <w:sz w:val="18"/>
        </w:rPr>
        <w:t>medical, dental and vision benefits;</w:t>
      </w:r>
    </w:p>
    <w:p>
      <w:pPr>
        <w:pStyle w:val="TextBody"/>
        <w:bidi w:val="0"/>
        <w:spacing w:lineRule="auto" w:line="312" w:before="80" w:after="80"/>
        <w:ind w:left="0" w:right="0" w:hanging="360"/>
        <w:jc w:val="both"/>
        <w:rPr/>
      </w:pPr>
      <w:r>
        <w:rPr>
          <w:color w:val="000000"/>
        </w:rPr>
        <w:t>•</w:t>
      </w:r>
      <w:r>
        <w:rPr>
          <w:rFonts w:ascii="Lato;sans-serif" w:hAnsi="Lato;sans-serif"/>
          <w:b w:val="false"/>
          <w:color w:val="000000"/>
          <w:sz w:val="18"/>
        </w:rPr>
        <w:t>health savings and flexible spending accounts;</w:t>
      </w:r>
    </w:p>
    <w:p>
      <w:pPr>
        <w:pStyle w:val="TextBody"/>
        <w:bidi w:val="0"/>
        <w:spacing w:lineRule="auto" w:line="312" w:before="80" w:after="80"/>
        <w:ind w:left="0" w:right="0" w:hanging="360"/>
        <w:jc w:val="both"/>
        <w:rPr/>
      </w:pPr>
      <w:r>
        <w:rPr>
          <w:color w:val="000000"/>
        </w:rPr>
        <w:t>•</w:t>
      </w:r>
      <w:r>
        <w:rPr>
          <w:rFonts w:ascii="Lato;sans-serif" w:hAnsi="Lato;sans-serif"/>
          <w:b w:val="false"/>
          <w:color w:val="000000"/>
          <w:sz w:val="18"/>
        </w:rPr>
        <w:t>short-term and long-term disability insurance;</w:t>
      </w:r>
    </w:p>
    <w:p>
      <w:pPr>
        <w:pStyle w:val="TextBody"/>
        <w:bidi w:val="0"/>
        <w:spacing w:lineRule="auto" w:line="312" w:before="80" w:after="80"/>
        <w:ind w:left="0" w:right="0" w:hanging="360"/>
        <w:jc w:val="both"/>
        <w:rPr/>
      </w:pPr>
      <w:r>
        <w:rPr>
          <w:color w:val="000000"/>
        </w:rPr>
        <w:t>•</w:t>
      </w:r>
      <w:r>
        <w:rPr>
          <w:rFonts w:ascii="Lato;sans-serif" w:hAnsi="Lato;sans-serif"/>
          <w:b w:val="false"/>
          <w:color w:val="000000"/>
          <w:sz w:val="18"/>
        </w:rPr>
        <w:t>basic life and accidental death and dismemberment insurance;</w:t>
      </w:r>
    </w:p>
    <w:p>
      <w:pPr>
        <w:pStyle w:val="TextBody"/>
        <w:bidi w:val="0"/>
        <w:spacing w:lineRule="auto" w:line="312" w:before="80" w:after="80"/>
        <w:ind w:left="0" w:right="0" w:hanging="360"/>
        <w:jc w:val="both"/>
        <w:rPr/>
      </w:pPr>
      <w:r>
        <w:rPr>
          <w:color w:val="000000"/>
        </w:rPr>
        <w:t>•</w:t>
      </w:r>
      <w:r>
        <w:rPr>
          <w:rFonts w:ascii="Lato;sans-serif" w:hAnsi="Lato;sans-serif"/>
          <w:b w:val="false"/>
          <w:color w:val="000000"/>
          <w:sz w:val="18"/>
        </w:rPr>
        <w:t>accident and critical illness insurance; and</w:t>
      </w:r>
    </w:p>
    <w:p>
      <w:pPr>
        <w:pStyle w:val="TextBody"/>
        <w:bidi w:val="0"/>
        <w:spacing w:lineRule="auto" w:line="312" w:before="80" w:after="80"/>
        <w:ind w:left="0" w:right="0" w:hanging="360"/>
        <w:jc w:val="both"/>
        <w:rPr/>
      </w:pPr>
      <w:r>
        <w:rPr>
          <w:color w:val="000000"/>
        </w:rPr>
        <w:t>•</w:t>
      </w:r>
      <w:r>
        <w:rPr>
          <w:rFonts w:ascii="Lato;sans-serif" w:hAnsi="Lato;sans-serif"/>
          <w:b w:val="false"/>
          <w:color w:val="000000"/>
          <w:sz w:val="18"/>
        </w:rPr>
        <w:t>term life insurance.</w:t>
      </w:r>
    </w:p>
    <w:p>
      <w:pPr>
        <w:pStyle w:val="TextBody"/>
        <w:bidi w:val="0"/>
        <w:spacing w:lineRule="auto" w:line="312" w:before="0" w:after="160"/>
        <w:jc w:val="both"/>
        <w:rPr>
          <w:rFonts w:ascii="Lato;sans-serif" w:hAnsi="Lato;sans-serif"/>
          <w:b w:val="false"/>
          <w:color w:val="000000"/>
          <w:sz w:val="18"/>
        </w:rPr>
      </w:pPr>
      <w:r>
        <w:rPr>
          <w:rFonts w:ascii="Lato;sans-serif" w:hAnsi="Lato;sans-serif"/>
          <w:b w:val="false"/>
          <w:color w:val="000000"/>
          <w:sz w:val="18"/>
        </w:rPr>
        <w:t>We believe the perquisites described above are necessary and appropriate to provide a competitive compensation package to our named executive officers.</w:t>
      </w:r>
    </w:p>
    <w:p>
      <w:pPr>
        <w:pStyle w:val="TextBody"/>
        <w:bidi w:val="0"/>
        <w:spacing w:lineRule="auto" w:line="312" w:before="160" w:after="283"/>
        <w:jc w:val="both"/>
        <w:rPr>
          <w:rFonts w:ascii="Lato;sans-serif" w:hAnsi="Lato;sans-serif"/>
          <w:b w:val="false"/>
          <w:i/>
          <w:color w:val="000000"/>
          <w:sz w:val="18"/>
        </w:rPr>
      </w:pPr>
      <w:r>
        <w:rPr>
          <w:rFonts w:ascii="Lato;sans-serif" w:hAnsi="Lato;sans-serif"/>
          <w:b w:val="false"/>
          <w:i/>
          <w:color w:val="000000"/>
          <w:sz w:val="18"/>
        </w:rPr>
        <w:t>Limited Perquisites</w:t>
      </w:r>
    </w:p>
    <w:p>
      <w:pPr>
        <w:pStyle w:val="TextBody"/>
        <w:bidi w:val="0"/>
        <w:spacing w:lineRule="auto" w:line="312" w:before="160" w:after="160"/>
        <w:jc w:val="both"/>
        <w:rPr>
          <w:rFonts w:ascii="Lato;sans-serif" w:hAnsi="Lato;sans-serif"/>
          <w:b w:val="false"/>
          <w:i/>
          <w:color w:val="000000"/>
          <w:sz w:val="18"/>
        </w:rPr>
      </w:pPr>
      <w:r>
        <w:rPr>
          <w:rFonts w:ascii="Lato;sans-serif" w:hAnsi="Lato;sans-serif"/>
          <w:b w:val="false"/>
          <w:i/>
          <w:color w:val="000000"/>
          <w:sz w:val="18"/>
        </w:rPr>
        <w:t>Executive perquisites are not part of our general compensation philosophy; however, we provide limited perquisites and personal benefits that are not generally available to all employees when necessary to attract and retain top talent.</w:t>
      </w:r>
    </w:p>
    <w:p>
      <w:pPr>
        <w:pStyle w:val="TextBody"/>
        <w:bidi w:val="0"/>
        <w:spacing w:lineRule="auto" w:line="312" w:before="160" w:after="283"/>
        <w:jc w:val="both"/>
        <w:rPr>
          <w:rFonts w:ascii="Lato;sans-serif" w:hAnsi="Lato;sans-serif"/>
          <w:b w:val="false"/>
          <w:i/>
          <w:color w:val="000000"/>
          <w:sz w:val="18"/>
        </w:rPr>
      </w:pPr>
      <w:r>
        <w:rPr>
          <w:rFonts w:ascii="Lato;sans-serif" w:hAnsi="Lato;sans-serif"/>
          <w:b w:val="false"/>
          <w:i/>
          <w:color w:val="000000"/>
          <w:sz w:val="18"/>
        </w:rPr>
        <w:t>No Tax Gross-Ups</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We do not provide gross-up payments to cover our named executive officers’ personal income taxes that may pertain to any of the compensation or perquisites paid or provided by our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40410"/>
                <wp:effectExtent l="0" t="0" r="0" b="0"/>
                <wp:wrapNone/>
                <wp:docPr id="35" name="Frame2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0" w:after="160"/>
        <w:jc w:val="both"/>
        <w:rPr>
          <w:rFonts w:ascii="Lato;sans-serif" w:hAnsi="Lato;sans-serif"/>
          <w:b w:val="false"/>
          <w:i/>
          <w:color w:val="000000"/>
          <w:sz w:val="18"/>
        </w:rPr>
      </w:pPr>
      <w:r>
        <w:rPr>
          <w:rFonts w:ascii="Lato;sans-serif" w:hAnsi="Lato;sans-serif"/>
          <w:b w:val="false"/>
          <w:i/>
          <w:color w:val="000000"/>
          <w:sz w:val="18"/>
        </w:rPr>
        <w:t>Clawback Policy</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We have adopted a compensation recovery policy (the Company’s Policy for Recovery of Erroneously Awarded Compensation), which was effective as of October 2, 2023, that is compliant with the Nasdaq Listing Rules, as required by the Dodd-Frank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120"/>
        <w:jc w:val="left"/>
        <w:rPr>
          <w:rFonts w:ascii="Lato;sans-serif" w:hAnsi="Lato;sans-serif"/>
          <w:b/>
          <w:color w:val="000000"/>
          <w:sz w:val="24"/>
        </w:rPr>
      </w:pPr>
      <w:r>
        <w:rPr>
          <w:rFonts w:ascii="Lato;sans-serif" w:hAnsi="Lato;sans-serif"/>
          <w:b/>
          <w:color w:val="000000"/>
          <w:sz w:val="24"/>
        </w:rPr>
        <w:t>Outstanding Equity Awards at Fiscal Year-End</w:t>
      </w:r>
    </w:p>
    <w:p>
      <w:pPr>
        <w:pStyle w:val="TextBody"/>
        <w:bidi w:val="0"/>
        <w:spacing w:lineRule="auto" w:line="312" w:before="120" w:after="160"/>
        <w:jc w:val="both"/>
        <w:rPr>
          <w:rFonts w:ascii="Lato;sans-serif" w:hAnsi="Lato;sans-serif"/>
          <w:b w:val="false"/>
          <w:color w:val="000000"/>
          <w:sz w:val="18"/>
        </w:rPr>
      </w:pPr>
      <w:r>
        <w:rPr>
          <w:rFonts w:ascii="Lato;sans-serif" w:hAnsi="Lato;sans-serif"/>
          <w:b w:val="false"/>
          <w:color w:val="000000"/>
          <w:sz w:val="18"/>
        </w:rPr>
        <w:t>The following table summarizes the number of shares of Class A Common Stock underlying outstanding equity incentive plan awards for each named executive officer as of December 31, 2024. Unless otherwise indicated, awards included in the following table were granted pursuant to the 2023 Plan.</w:t>
      </w:r>
    </w:p>
    <w:tbl>
      <w:tblPr>
        <w:tblW w:w="10205" w:type="dxa"/>
        <w:jc w:val="left"/>
        <w:tblInd w:w="0" w:type="dxa"/>
        <w:tblLayout w:type="fixed"/>
        <w:tblCellMar>
          <w:top w:w="28" w:type="dxa"/>
          <w:left w:w="28" w:type="dxa"/>
          <w:bottom w:w="28" w:type="dxa"/>
          <w:right w:w="28" w:type="dxa"/>
        </w:tblCellMar>
      </w:tblPr>
      <w:tblGrid>
        <w:gridCol w:w="478"/>
        <w:gridCol w:w="421"/>
        <w:gridCol w:w="425"/>
        <w:gridCol w:w="254"/>
        <w:gridCol w:w="254"/>
        <w:gridCol w:w="255"/>
        <w:gridCol w:w="109"/>
        <w:gridCol w:w="109"/>
        <w:gridCol w:w="109"/>
        <w:gridCol w:w="395"/>
        <w:gridCol w:w="395"/>
        <w:gridCol w:w="396"/>
        <w:gridCol w:w="450"/>
        <w:gridCol w:w="450"/>
        <w:gridCol w:w="451"/>
        <w:gridCol w:w="290"/>
        <w:gridCol w:w="290"/>
        <w:gridCol w:w="291"/>
        <w:gridCol w:w="342"/>
        <w:gridCol w:w="342"/>
        <w:gridCol w:w="343"/>
        <w:gridCol w:w="109"/>
        <w:gridCol w:w="109"/>
        <w:gridCol w:w="109"/>
        <w:gridCol w:w="354"/>
        <w:gridCol w:w="305"/>
        <w:gridCol w:w="293"/>
        <w:gridCol w:w="119"/>
        <w:gridCol w:w="119"/>
        <w:gridCol w:w="119"/>
        <w:gridCol w:w="623"/>
        <w:gridCol w:w="623"/>
        <w:gridCol w:w="474"/>
      </w:tblGrid>
      <w:tr>
        <w:trPr/>
        <w:tc>
          <w:tcPr>
            <w:tcW w:w="47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52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5"/>
              </w:rPr>
            </w:pPr>
            <w:r>
              <w:rPr>
                <w:rFonts w:ascii="Lato;sans-serif" w:hAnsi="Lato;sans-serif"/>
                <w:b/>
                <w:color w:val="000000"/>
                <w:sz w:val="15"/>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5"/>
              </w:rPr>
            </w:pPr>
            <w:r>
              <w:rPr>
                <w:rFonts w:ascii="Lato;sans-serif" w:hAnsi="Lato;sans-serif"/>
                <w:b/>
                <w:color w:val="000000"/>
                <w:sz w:val="15"/>
              </w:rPr>
              <w:t>Stock Awards</w:t>
            </w:r>
          </w:p>
        </w:tc>
      </w:tr>
      <w:tr>
        <w:trPr/>
        <w:tc>
          <w:tcPr>
            <w:tcW w:w="1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Name</w:t>
            </w:r>
          </w:p>
        </w:tc>
        <w:tc>
          <w:tcPr>
            <w:tcW w:w="763"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color w:val="000000"/>
                <w:sz w:val="15"/>
              </w:rPr>
            </w:pPr>
            <w:r>
              <w:rPr>
                <w:rFonts w:ascii="Lato;sans-serif" w:hAnsi="Lato;sans-serif"/>
                <w:b/>
                <w:color w:val="000000"/>
                <w:sz w:val="15"/>
              </w:rPr>
              <w:t>Grant Date</w:t>
            </w:r>
          </w:p>
        </w:tc>
        <w:tc>
          <w:tcPr>
            <w:tcW w:w="327"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color w:val="000000"/>
                <w:sz w:val="15"/>
              </w:rPr>
            </w:pPr>
            <w:r>
              <w:rPr>
                <w:rFonts w:ascii="Lato;sans-serif" w:hAnsi="Lato;sans-serif"/>
                <w:b/>
                <w:color w:val="000000"/>
                <w:sz w:val="15"/>
              </w:rPr>
              <w:t>Number of</w:t>
              <w:br/>
              <w:t> Securities</w:t>
              <w:br/>
              <w:t> Underlying</w:t>
              <w:br/>
              <w:t> Unexercised</w:t>
              <w:br/>
              <w:t> Options</w:t>
              <w:br/>
              <w:t>(#)</w:t>
              <w:br/>
              <w:t> Exercisable</w:t>
            </w:r>
          </w:p>
        </w:tc>
        <w:tc>
          <w:tcPr>
            <w:tcW w:w="135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0" w:after="0"/>
              <w:jc w:val="right"/>
              <w:rPr>
                <w:rFonts w:ascii="Lato;sans-serif" w:hAnsi="Lato;sans-serif"/>
                <w:b/>
                <w:color w:val="000000"/>
                <w:sz w:val="15"/>
              </w:rPr>
            </w:pPr>
            <w:r>
              <w:rPr>
                <w:rFonts w:ascii="Lato;sans-serif" w:hAnsi="Lato;sans-serif"/>
                <w:b/>
                <w:color w:val="000000"/>
                <w:sz w:val="15"/>
              </w:rPr>
              <w:t>Number of</w:t>
            </w:r>
          </w:p>
          <w:p>
            <w:pPr>
              <w:pStyle w:val="TableContents"/>
              <w:bidi w:val="0"/>
              <w:spacing w:lineRule="auto" w:line="312" w:before="0" w:after="0"/>
              <w:jc w:val="right"/>
              <w:rPr>
                <w:color w:val="000000"/>
              </w:rPr>
            </w:pPr>
            <w:r>
              <w:rPr>
                <w:color w:val="000000"/>
              </w:rPr>
              <w:t> </w:t>
            </w:r>
            <w:r>
              <w:rPr>
                <w:rFonts w:ascii="Lato;sans-serif" w:hAnsi="Lato;sans-serif"/>
                <w:b/>
                <w:color w:val="000000"/>
                <w:sz w:val="15"/>
              </w:rPr>
              <w:t>Securities</w:t>
            </w:r>
          </w:p>
          <w:p>
            <w:pPr>
              <w:pStyle w:val="TableContents"/>
              <w:bidi w:val="0"/>
              <w:spacing w:lineRule="auto" w:line="312" w:before="0" w:after="0"/>
              <w:jc w:val="right"/>
              <w:rPr>
                <w:color w:val="000000"/>
              </w:rPr>
            </w:pPr>
            <w:r>
              <w:rPr>
                <w:color w:val="000000"/>
              </w:rPr>
              <w:t> </w:t>
            </w:r>
            <w:r>
              <w:rPr>
                <w:rFonts w:ascii="Lato;sans-serif" w:hAnsi="Lato;sans-serif"/>
                <w:b/>
                <w:color w:val="000000"/>
                <w:sz w:val="15"/>
              </w:rPr>
              <w:t>Underlying</w:t>
            </w:r>
          </w:p>
          <w:p>
            <w:pPr>
              <w:pStyle w:val="TableContents"/>
              <w:bidi w:val="0"/>
              <w:spacing w:lineRule="auto" w:line="312" w:before="0" w:after="0"/>
              <w:jc w:val="right"/>
              <w:rPr>
                <w:color w:val="000000"/>
              </w:rPr>
            </w:pPr>
            <w:r>
              <w:rPr>
                <w:color w:val="000000"/>
              </w:rPr>
              <w:t> </w:t>
            </w:r>
            <w:r>
              <w:rPr>
                <w:rFonts w:ascii="Lato;sans-serif" w:hAnsi="Lato;sans-serif"/>
                <w:b/>
                <w:color w:val="000000"/>
                <w:sz w:val="15"/>
              </w:rPr>
              <w:t>Unexercised</w:t>
            </w:r>
          </w:p>
          <w:p>
            <w:pPr>
              <w:pStyle w:val="TableContents"/>
              <w:bidi w:val="0"/>
              <w:spacing w:lineRule="auto" w:line="312" w:before="0" w:after="0"/>
              <w:jc w:val="right"/>
              <w:rPr>
                <w:color w:val="000000"/>
              </w:rPr>
            </w:pPr>
            <w:r>
              <w:rPr>
                <w:color w:val="000000"/>
              </w:rPr>
              <w:t> </w:t>
            </w:r>
            <w:r>
              <w:rPr>
                <w:rFonts w:ascii="Lato;sans-serif" w:hAnsi="Lato;sans-serif"/>
                <w:b/>
                <w:color w:val="000000"/>
                <w:sz w:val="15"/>
              </w:rPr>
              <w:t>Options</w:t>
            </w:r>
          </w:p>
          <w:p>
            <w:pPr>
              <w:pStyle w:val="TableContents"/>
              <w:bidi w:val="0"/>
              <w:spacing w:lineRule="auto" w:line="312" w:before="0" w:after="0"/>
              <w:jc w:val="right"/>
              <w:rPr>
                <w:rFonts w:ascii="Lato;sans-serif" w:hAnsi="Lato;sans-serif"/>
                <w:b/>
                <w:color w:val="000000"/>
                <w:sz w:val="15"/>
              </w:rPr>
            </w:pPr>
            <w:r>
              <w:rPr>
                <w:rFonts w:ascii="Lato;sans-serif" w:hAnsi="Lato;sans-serif"/>
                <w:b/>
                <w:color w:val="000000"/>
                <w:sz w:val="15"/>
              </w:rPr>
              <w:t>(#)</w:t>
            </w:r>
          </w:p>
          <w:p>
            <w:pPr>
              <w:pStyle w:val="TableContents"/>
              <w:bidi w:val="0"/>
              <w:spacing w:lineRule="auto" w:line="312" w:before="0" w:after="0"/>
              <w:jc w:val="right"/>
              <w:rPr>
                <w:color w:val="000000"/>
              </w:rPr>
            </w:pPr>
            <w:r>
              <w:rPr>
                <w:color w:val="000000"/>
              </w:rPr>
              <w:t> </w:t>
            </w:r>
            <w:r>
              <w:rPr>
                <w:rFonts w:ascii="Lato;sans-serif" w:hAnsi="Lato;sans-serif"/>
                <w:b/>
                <w:color w:val="000000"/>
                <w:sz w:val="15"/>
              </w:rPr>
              <w:t>Unexercisable</w:t>
            </w:r>
          </w:p>
        </w:tc>
        <w:tc>
          <w:tcPr>
            <w:tcW w:w="87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0" w:after="0"/>
              <w:jc w:val="right"/>
              <w:rPr>
                <w:rFonts w:ascii="Lato;sans-serif" w:hAnsi="Lato;sans-serif"/>
                <w:b/>
                <w:color w:val="000000"/>
                <w:sz w:val="15"/>
              </w:rPr>
            </w:pPr>
            <w:r>
              <w:rPr>
                <w:rFonts w:ascii="Lato;sans-serif" w:hAnsi="Lato;sans-serif"/>
                <w:b/>
                <w:color w:val="000000"/>
                <w:sz w:val="15"/>
              </w:rPr>
              <w:t>Option</w:t>
            </w:r>
          </w:p>
          <w:p>
            <w:pPr>
              <w:pStyle w:val="TableContents"/>
              <w:bidi w:val="0"/>
              <w:spacing w:lineRule="auto" w:line="312" w:before="0" w:after="0"/>
              <w:jc w:val="right"/>
              <w:rPr>
                <w:color w:val="000000"/>
              </w:rPr>
            </w:pPr>
            <w:r>
              <w:rPr>
                <w:color w:val="000000"/>
              </w:rPr>
              <w:t> </w:t>
            </w:r>
            <w:r>
              <w:rPr>
                <w:rFonts w:ascii="Lato;sans-serif" w:hAnsi="Lato;sans-serif"/>
                <w:b/>
                <w:color w:val="000000"/>
                <w:sz w:val="15"/>
              </w:rPr>
              <w:t>Exercise</w:t>
            </w:r>
          </w:p>
          <w:p>
            <w:pPr>
              <w:pStyle w:val="TableContents"/>
              <w:bidi w:val="0"/>
              <w:spacing w:lineRule="auto" w:line="312" w:before="0" w:after="0"/>
              <w:jc w:val="right"/>
              <w:rPr>
                <w:color w:val="000000"/>
              </w:rPr>
            </w:pPr>
            <w:r>
              <w:rPr>
                <w:color w:val="000000"/>
              </w:rPr>
              <w:t> </w:t>
            </w:r>
            <w:r>
              <w:rPr>
                <w:rFonts w:ascii="Lato;sans-serif" w:hAnsi="Lato;sans-serif"/>
                <w:b/>
                <w:color w:val="000000"/>
                <w:sz w:val="15"/>
              </w:rPr>
              <w:t>Price</w:t>
            </w:r>
          </w:p>
          <w:p>
            <w:pPr>
              <w:pStyle w:val="TableContents"/>
              <w:bidi w:val="0"/>
              <w:spacing w:lineRule="auto" w:line="312" w:before="0" w:after="0"/>
              <w:jc w:val="right"/>
              <w:rPr>
                <w:rFonts w:ascii="Lato;sans-serif" w:hAnsi="Lato;sans-serif"/>
                <w:b/>
                <w:color w:val="000000"/>
                <w:sz w:val="15"/>
              </w:rPr>
            </w:pPr>
            <w:r>
              <w:rPr>
                <w:rFonts w:ascii="Lato;sans-serif" w:hAnsi="Lato;sans-serif"/>
                <w:b/>
                <w:color w:val="000000"/>
                <w:sz w:val="15"/>
              </w:rPr>
              <w:t>($)</w:t>
            </w:r>
          </w:p>
        </w:tc>
        <w:tc>
          <w:tcPr>
            <w:tcW w:w="1027"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color w:val="000000"/>
                <w:sz w:val="15"/>
              </w:rPr>
            </w:pPr>
            <w:r>
              <w:rPr>
                <w:rFonts w:ascii="Lato;sans-serif" w:hAnsi="Lato;sans-serif"/>
                <w:b/>
                <w:color w:val="000000"/>
                <w:sz w:val="15"/>
              </w:rPr>
              <w:t>Option</w:t>
              <w:br/>
              <w:t> Expiration</w:t>
              <w:br/>
              <w: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0" w:after="283"/>
              <w:jc w:val="right"/>
              <w:rPr>
                <w:rFonts w:ascii="Lato;sans-serif" w:hAnsi="Lato;sans-serif"/>
                <w:b/>
                <w:color w:val="000000"/>
                <w:sz w:val="15"/>
              </w:rPr>
            </w:pPr>
            <w:r>
              <w:rPr>
                <w:rFonts w:ascii="Lato;sans-serif" w:hAnsi="Lato;sans-serif"/>
                <w:b/>
                <w:color w:val="000000"/>
                <w:sz w:val="15"/>
              </w:rPr>
              <w:t>Number of</w:t>
              <w:br/>
              <w:t> Shares of</w:t>
              <w:br/>
              <w:t> Stock That</w:t>
              <w:br/>
              <w:t> Have Not</w:t>
              <w:br/>
              <w:t> Vested</w:t>
              <w:br/>
              <w:t>(#)</w:t>
            </w:r>
          </w:p>
        </w:tc>
        <w:tc>
          <w:tcPr>
            <w:tcW w:w="357"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0" w:after="0"/>
              <w:jc w:val="right"/>
              <w:rPr>
                <w:rFonts w:ascii="Lato;sans-serif" w:hAnsi="Lato;sans-serif"/>
                <w:b/>
                <w:color w:val="000000"/>
                <w:sz w:val="15"/>
              </w:rPr>
            </w:pPr>
            <w:r>
              <w:rPr>
                <w:rFonts w:ascii="Lato;sans-serif" w:hAnsi="Lato;sans-serif"/>
                <w:b/>
                <w:color w:val="000000"/>
                <w:sz w:val="15"/>
              </w:rPr>
              <w:t>Market Value</w:t>
            </w:r>
          </w:p>
          <w:p>
            <w:pPr>
              <w:pStyle w:val="TableContents"/>
              <w:bidi w:val="0"/>
              <w:spacing w:lineRule="auto" w:line="312" w:before="0" w:after="0"/>
              <w:jc w:val="right"/>
              <w:rPr>
                <w:color w:val="000000"/>
              </w:rPr>
            </w:pPr>
            <w:r>
              <w:rPr>
                <w:color w:val="000000"/>
              </w:rPr>
              <w:t> </w:t>
            </w:r>
            <w:r>
              <w:rPr>
                <w:rFonts w:ascii="Lato;sans-serif" w:hAnsi="Lato;sans-serif"/>
                <w:b/>
                <w:color w:val="000000"/>
                <w:sz w:val="15"/>
              </w:rPr>
              <w:t>of Shares of Stock</w:t>
            </w:r>
          </w:p>
          <w:p>
            <w:pPr>
              <w:pStyle w:val="TableContents"/>
              <w:bidi w:val="0"/>
              <w:spacing w:lineRule="auto" w:line="312" w:before="0" w:after="0"/>
              <w:jc w:val="right"/>
              <w:rPr>
                <w:color w:val="000000"/>
              </w:rPr>
            </w:pPr>
            <w:r>
              <w:rPr>
                <w:color w:val="000000"/>
              </w:rPr>
              <w:t> </w:t>
            </w:r>
            <w:r>
              <w:rPr>
                <w:rFonts w:ascii="Lato;sans-serif" w:hAnsi="Lato;sans-serif"/>
                <w:b/>
                <w:color w:val="000000"/>
                <w:sz w:val="15"/>
              </w:rPr>
              <w:t xml:space="preserve">That Have Not </w:t>
            </w:r>
          </w:p>
          <w:p>
            <w:pPr>
              <w:pStyle w:val="TableContents"/>
              <w:bidi w:val="0"/>
              <w:spacing w:lineRule="auto" w:line="312" w:before="0" w:after="0"/>
              <w:jc w:val="right"/>
              <w:rPr>
                <w:rFonts w:ascii="Lato;sans-serif" w:hAnsi="Lato;sans-serif"/>
                <w:b/>
                <w:color w:val="000000"/>
                <w:sz w:val="15"/>
              </w:rPr>
            </w:pPr>
            <w:r>
              <w:rPr>
                <w:rFonts w:ascii="Lato;sans-serif" w:hAnsi="Lato;sans-serif"/>
                <w:b/>
                <w:color w:val="000000"/>
                <w:sz w:val="15"/>
              </w:rPr>
              <w:t>Vested</w:t>
            </w:r>
          </w:p>
          <w:p>
            <w:pPr>
              <w:pStyle w:val="TableContents"/>
              <w:bidi w:val="0"/>
              <w:spacing w:lineRule="auto" w:line="312" w:before="0" w:after="0"/>
              <w:jc w:val="right"/>
              <w:rPr/>
            </w:pPr>
            <w:r>
              <w:rPr>
                <w:rFonts w:ascii="Lato;sans-serif" w:hAnsi="Lato;sans-serif"/>
                <w:b/>
                <w:color w:val="000000"/>
                <w:sz w:val="15"/>
              </w:rPr>
              <w:t>($)</w:t>
            </w:r>
            <w:r>
              <w:rPr>
                <w:rFonts w:ascii="Lato;sans-serif" w:hAnsi="Lato;sans-serif"/>
                <w:b/>
                <w:color w:val="000000"/>
                <w:sz w:val="10"/>
              </w:rPr>
              <w:t>(1)</w:t>
            </w:r>
          </w:p>
        </w:tc>
      </w:tr>
      <w:tr>
        <w:trPr/>
        <w:tc>
          <w:tcPr>
            <w:tcW w:w="1324" w:type="dxa"/>
            <w:gridSpan w:val="3"/>
            <w:vMerge w:val="restart"/>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Stephen Altemus</w:t>
            </w:r>
          </w:p>
        </w:tc>
        <w:tc>
          <w:tcPr>
            <w:tcW w:w="763"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2/7/2024</w:t>
            </w:r>
          </w:p>
        </w:tc>
        <w:tc>
          <w:tcPr>
            <w:tcW w:w="327"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5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71"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27"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700,000</w:t>
            </w:r>
          </w:p>
        </w:tc>
        <w:tc>
          <w:tcPr>
            <w:tcW w:w="357"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40" w:after="283"/>
              <w:jc w:val="right"/>
              <w:rPr>
                <w:rFonts w:ascii="Lato;sans-serif" w:hAnsi="Lato;sans-serif"/>
                <w:b w:val="false"/>
                <w:color w:val="000000"/>
                <w:sz w:val="12"/>
              </w:rPr>
            </w:pPr>
            <w:r>
              <w:rPr>
                <w:rFonts w:ascii="Lato;sans-serif" w:hAnsi="Lato;sans-serif"/>
                <w:b w:val="false"/>
                <w:color w:val="000000"/>
                <w:sz w:val="12"/>
              </w:rPr>
              <w:t>(5)</w:t>
            </w:r>
          </w:p>
        </w:tc>
        <w:tc>
          <w:tcPr>
            <w:tcW w:w="1246" w:type="dxa"/>
            <w:gridSpan w:val="2"/>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12,712,000 </w:t>
            </w:r>
          </w:p>
        </w:tc>
        <w:tc>
          <w:tcPr>
            <w:tcW w:w="474" w:type="dxa"/>
            <w:tcBorders>
              <w:top w:val="single" w:sz="8" w:space="0" w:color="005CB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vMerge w:val="continue"/>
            <w:tcBorders>
              <w:top w:val="single" w:sz="8" w:space="0" w:color="005CB9"/>
            </w:tcBorders>
            <w:tcMar>
              <w:top w:w="30" w:type="dxa"/>
              <w:left w:w="0" w:type="dxa"/>
              <w:bottom w:w="0" w:type="dxa"/>
              <w:right w:w="0" w:type="dxa"/>
            </w:tcMar>
            <w:vAlign w:val="center"/>
          </w:tcPr>
          <w:p>
            <w:pPr>
              <w:pStyle w:val="Normal"/>
              <w:bidi w:val="0"/>
              <w:jc w:val="left"/>
              <w:rPr/>
            </w:pPr>
            <w:r>
              <w:rPr/>
            </w:r>
          </w:p>
        </w:tc>
        <w:tc>
          <w:tcPr>
            <w:tcW w:w="76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2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105,000</w:t>
            </w:r>
          </w:p>
        </w:tc>
        <w:tc>
          <w:tcPr>
            <w:tcW w:w="357"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Lato;sans-serif" w:hAnsi="Lato;sans-serif"/>
                <w:b w:val="false"/>
                <w:color w:val="000000"/>
                <w:sz w:val="12"/>
              </w:rPr>
            </w:pPr>
            <w:r>
              <w:rPr>
                <w:rFonts w:ascii="Lato;sans-serif" w:hAnsi="Lato;sans-serif"/>
                <w:b w:val="false"/>
                <w:color w:val="000000"/>
                <w:sz w:val="12"/>
              </w:rPr>
              <w:t>(4)</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1,906,800 </w:t>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vMerge w:val="restart"/>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Timothy Crain</w:t>
            </w:r>
          </w:p>
        </w:tc>
        <w:tc>
          <w:tcPr>
            <w:tcW w:w="76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2/7/2024</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5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7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2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250,000</w:t>
            </w:r>
          </w:p>
        </w:tc>
        <w:tc>
          <w:tcPr>
            <w:tcW w:w="35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(5)</w:t>
            </w:r>
          </w:p>
        </w:tc>
        <w:tc>
          <w:tcPr>
            <w:tcW w:w="124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4,540,000 </w:t>
            </w:r>
          </w:p>
        </w:tc>
        <w:tc>
          <w:tcPr>
            <w:tcW w:w="474"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vMerge w:val="continue"/>
            <w:tcBorders>
              <w:top w:val="single" w:sz="8" w:space="0" w:color="B6B6B6"/>
            </w:tcBorders>
            <w:tcMar>
              <w:top w:w="30" w:type="dxa"/>
              <w:left w:w="0" w:type="dxa"/>
              <w:bottom w:w="0" w:type="dxa"/>
              <w:right w:w="0" w:type="dxa"/>
            </w:tcMar>
            <w:vAlign w:val="center"/>
          </w:tcPr>
          <w:p>
            <w:pPr>
              <w:pStyle w:val="Normal"/>
              <w:bidi w:val="0"/>
              <w:jc w:val="left"/>
              <w:rPr/>
            </w:pPr>
            <w:r>
              <w:rPr/>
            </w:r>
          </w:p>
        </w:tc>
        <w:tc>
          <w:tcPr>
            <w:tcW w:w="76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2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64,500</w:t>
            </w:r>
          </w:p>
        </w:tc>
        <w:tc>
          <w:tcPr>
            <w:tcW w:w="357"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Lato;sans-serif" w:hAnsi="Lato;sans-serif"/>
                <w:b w:val="false"/>
                <w:color w:val="000000"/>
                <w:sz w:val="12"/>
              </w:rPr>
            </w:pPr>
            <w:r>
              <w:rPr>
                <w:rFonts w:ascii="Lato;sans-serif" w:hAnsi="Lato;sans-serif"/>
                <w:b w:val="false"/>
                <w:color w:val="000000"/>
                <w:sz w:val="12"/>
              </w:rPr>
              <w:t>(4)</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1,171,320 </w:t>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vMerge w:val="restart"/>
            <w:tcBorders>
              <w:top w:val="single" w:sz="8" w:space="0" w:color="B6B6B6"/>
              <w:bottom w:val="single" w:sz="8" w:space="0" w:color="026DCE"/>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5CB9"/>
                <w:sz w:val="18"/>
              </w:rPr>
            </w:pPr>
            <w:r>
              <w:rPr>
                <w:rFonts w:ascii="Lato;sans-serif" w:hAnsi="Lato;sans-serif"/>
                <w:b/>
                <w:color w:val="005CB9"/>
                <w:sz w:val="18"/>
              </w:rPr>
              <w:t>Peter McGrath</w:t>
            </w:r>
          </w:p>
        </w:tc>
        <w:tc>
          <w:tcPr>
            <w:tcW w:w="76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6/14/2021</w:t>
            </w:r>
          </w:p>
        </w:tc>
        <w:tc>
          <w:tcPr>
            <w:tcW w:w="32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(2)</w:t>
            </w:r>
          </w:p>
        </w:tc>
        <w:tc>
          <w:tcPr>
            <w:tcW w:w="118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27,812</w:t>
            </w:r>
          </w:p>
        </w:tc>
        <w:tc>
          <w:tcPr>
            <w:tcW w:w="135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55,625</w:t>
            </w:r>
          </w:p>
        </w:tc>
        <w:tc>
          <w:tcPr>
            <w:tcW w:w="87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1.80</w:t>
            </w:r>
          </w:p>
        </w:tc>
        <w:tc>
          <w:tcPr>
            <w:tcW w:w="102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6/14/2031</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4"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vMerge w:val="continue"/>
            <w:tcBorders>
              <w:top w:val="single" w:sz="8" w:space="0" w:color="B6B6B6"/>
              <w:bottom w:val="single" w:sz="8" w:space="0" w:color="026DCE"/>
            </w:tcBorders>
            <w:tcMar>
              <w:top w:w="30" w:type="dxa"/>
              <w:left w:w="0" w:type="dxa"/>
              <w:bottom w:w="30" w:type="dxa"/>
              <w:right w:w="0" w:type="dxa"/>
            </w:tcMar>
            <w:vAlign w:val="center"/>
          </w:tcPr>
          <w:p>
            <w:pPr>
              <w:pStyle w:val="Normal"/>
              <w:bidi w:val="0"/>
              <w:jc w:val="left"/>
              <w:rPr/>
            </w:pPr>
            <w:r>
              <w:rPr/>
            </w:r>
          </w:p>
        </w:tc>
        <w:tc>
          <w:tcPr>
            <w:tcW w:w="76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5/9/2023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5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27"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187,500</w:t>
            </w:r>
          </w:p>
        </w:tc>
        <w:tc>
          <w:tcPr>
            <w:tcW w:w="357"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(3)</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3,405,000 </w:t>
            </w:r>
          </w:p>
        </w:tc>
        <w:tc>
          <w:tcPr>
            <w:tcW w:w="4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vMerge w:val="continue"/>
            <w:tcBorders>
              <w:top w:val="single" w:sz="8" w:space="0" w:color="B6B6B6"/>
              <w:bottom w:val="single" w:sz="8" w:space="0" w:color="026DCE"/>
            </w:tcBorders>
            <w:tcMar>
              <w:top w:w="30" w:type="dxa"/>
              <w:left w:w="0" w:type="dxa"/>
              <w:bottom w:w="30" w:type="dxa"/>
              <w:right w:w="0" w:type="dxa"/>
            </w:tcMar>
            <w:vAlign w:val="center"/>
          </w:tcPr>
          <w:p>
            <w:pPr>
              <w:pStyle w:val="Normal"/>
              <w:bidi w:val="0"/>
              <w:jc w:val="left"/>
              <w:rPr/>
            </w:pPr>
            <w:r>
              <w:rPr/>
            </w:r>
          </w:p>
        </w:tc>
        <w:tc>
          <w:tcPr>
            <w:tcW w:w="763"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2/4/2024</w:t>
            </w:r>
          </w:p>
        </w:tc>
        <w:tc>
          <w:tcPr>
            <w:tcW w:w="327" w:type="dxa"/>
            <w:gridSpan w:val="3"/>
            <w:tcBorders>
              <w:bottom w:val="single" w:sz="8" w:space="0" w:color="026DC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1351"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871"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1027"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bottom w:val="single" w:sz="8" w:space="0" w:color="026DC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200,000</w:t>
            </w:r>
          </w:p>
        </w:tc>
        <w:tc>
          <w:tcPr>
            <w:tcW w:w="357" w:type="dxa"/>
            <w:gridSpan w:val="3"/>
            <w:tcBorders>
              <w:bottom w:val="single" w:sz="8" w:space="0" w:color="026DCE"/>
            </w:tcBorders>
            <w:tcMar>
              <w:top w:w="0" w:type="dxa"/>
              <w:left w:w="0" w:type="dxa"/>
              <w:bottom w:w="30" w:type="dxa"/>
              <w:right w:w="0" w:type="dxa"/>
            </w:tcMar>
            <w:vAlign w:val="center"/>
          </w:tcPr>
          <w:p>
            <w:pPr>
              <w:pStyle w:val="TableContents"/>
              <w:bidi w:val="0"/>
              <w:spacing w:lineRule="auto" w:line="288" w:before="40" w:after="283"/>
              <w:jc w:val="left"/>
              <w:rPr>
                <w:rFonts w:ascii="Lato;sans-serif" w:hAnsi="Lato;sans-serif"/>
                <w:b w:val="false"/>
                <w:color w:val="000000"/>
                <w:sz w:val="12"/>
              </w:rPr>
            </w:pPr>
            <w:r>
              <w:rPr>
                <w:rFonts w:ascii="Lato;sans-serif" w:hAnsi="Lato;sans-serif"/>
                <w:b w:val="false"/>
                <w:color w:val="000000"/>
                <w:sz w:val="12"/>
              </w:rPr>
              <w:t>(5)</w:t>
            </w:r>
          </w:p>
        </w:tc>
        <w:tc>
          <w:tcPr>
            <w:tcW w:w="1246" w:type="dxa"/>
            <w:gridSpan w:val="2"/>
            <w:tcBorders>
              <w:bottom w:val="single" w:sz="8" w:space="0" w:color="026DCE"/>
            </w:tcBorders>
            <w:tcMar>
              <w:top w:w="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3,632,000 </w:t>
            </w:r>
          </w:p>
        </w:tc>
        <w:tc>
          <w:tcPr>
            <w:tcW w:w="474" w:type="dxa"/>
            <w:tcBorders>
              <w:bottom w:val="single" w:sz="8" w:space="0" w:color="026DCE"/>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360"/>
        <w:jc w:val="left"/>
        <w:rPr>
          <w:rFonts w:ascii="Lato;sans-serif" w:hAnsi="Lato;sans-serif"/>
          <w:b w:val="false"/>
          <w:color w:val="000000"/>
          <w:sz w:val="14"/>
        </w:rPr>
      </w:pPr>
      <w:r>
        <w:rPr>
          <w:rFonts w:ascii="Lato;sans-serif" w:hAnsi="Lato;sans-serif"/>
          <w:b w:val="false"/>
          <w:color w:val="000000"/>
          <w:sz w:val="14"/>
        </w:rPr>
        <w:t>(1)    Amounts are calculated based on multiplying the number of shares shown in the table by the per share closing price of our Class A Common Stock on December 31, 2024, the last trading day of 2024, which was $18.16.</w:t>
      </w:r>
    </w:p>
    <w:p>
      <w:pPr>
        <w:pStyle w:val="TextBody"/>
        <w:bidi w:val="0"/>
        <w:spacing w:lineRule="auto" w:line="288" w:before="80" w:after="80"/>
        <w:ind w:left="0" w:right="0" w:hanging="360"/>
        <w:jc w:val="both"/>
        <w:rPr>
          <w:rFonts w:ascii="Lato;sans-serif" w:hAnsi="Lato;sans-serif"/>
          <w:b w:val="false"/>
          <w:color w:val="000000"/>
          <w:sz w:val="14"/>
        </w:rPr>
      </w:pPr>
      <w:r>
        <w:rPr>
          <w:rFonts w:ascii="Lato;sans-serif" w:hAnsi="Lato;sans-serif"/>
          <w:b w:val="false"/>
          <w:color w:val="000000"/>
          <w:sz w:val="14"/>
        </w:rPr>
        <w:t xml:space="preserve">(2)    This stock option was granted pursuant to the 2021 Plan and vests and becomes exercisable in equal annual installments over three years from the applicable grant date, subject to Mr. McGrath’s continued service. </w:t>
      </w:r>
    </w:p>
    <w:p>
      <w:pPr>
        <w:pStyle w:val="TextBody"/>
        <w:bidi w:val="0"/>
        <w:spacing w:lineRule="auto" w:line="288" w:before="80" w:after="80"/>
        <w:ind w:left="0" w:right="0" w:hanging="360"/>
        <w:jc w:val="both"/>
        <w:rPr>
          <w:rFonts w:ascii="Lato;sans-serif" w:hAnsi="Lato;sans-serif"/>
          <w:b w:val="false"/>
          <w:color w:val="000000"/>
          <w:sz w:val="14"/>
        </w:rPr>
      </w:pPr>
      <w:r>
        <w:rPr>
          <w:rFonts w:ascii="Lato;sans-serif" w:hAnsi="Lato;sans-serif"/>
          <w:b w:val="false"/>
          <w:color w:val="000000"/>
          <w:sz w:val="14"/>
        </w:rPr>
        <w:t>(3)    This RSU award vests as to 25% of the underlying RSUs on each of the first four anniversaries of April 11, 2023, subject to the executive’s continued employment through the applicable vesting date. The amounts shown represent the number of shares subject to the RSU awards that remain eligible to vest as of December 31, 2024.</w:t>
      </w:r>
    </w:p>
    <w:p>
      <w:pPr>
        <w:pStyle w:val="TextBody"/>
        <w:bidi w:val="0"/>
        <w:spacing w:lineRule="auto" w:line="288" w:before="80" w:after="80"/>
        <w:ind w:left="0" w:right="0" w:hanging="360"/>
        <w:jc w:val="both"/>
        <w:rPr>
          <w:rFonts w:ascii="Lato;sans-serif" w:hAnsi="Lato;sans-serif"/>
          <w:b w:val="false"/>
          <w:color w:val="000000"/>
          <w:sz w:val="14"/>
        </w:rPr>
      </w:pPr>
      <w:r>
        <w:rPr>
          <w:rFonts w:ascii="Lato;sans-serif" w:hAnsi="Lato;sans-serif"/>
          <w:b w:val="false"/>
          <w:color w:val="000000"/>
          <w:sz w:val="14"/>
        </w:rPr>
        <w:t>4)    This RSU award vests as to 25% of the underlying RSUs on April 11, 2024 and each of the first three anniversaries of April 11, 2024, subject to the executive’s continued employment through the applicable vesting date. The amounts shown represent the number of shares subject to the RSU awards that remain eligible to vest as of December 31, 2024.</w:t>
      </w:r>
    </w:p>
    <w:p>
      <w:pPr>
        <w:pStyle w:val="TextBody"/>
        <w:bidi w:val="0"/>
        <w:spacing w:lineRule="auto" w:line="288" w:before="80" w:after="80"/>
        <w:ind w:left="0" w:right="0" w:hanging="360"/>
        <w:jc w:val="both"/>
        <w:rPr>
          <w:rFonts w:ascii="Lato;sans-serif" w:hAnsi="Lato;sans-serif"/>
          <w:b w:val="false"/>
          <w:color w:val="000000"/>
          <w:sz w:val="14"/>
        </w:rPr>
      </w:pPr>
      <w:r>
        <w:rPr>
          <w:rFonts w:ascii="Lato;sans-serif" w:hAnsi="Lato;sans-serif"/>
          <w:b w:val="false"/>
          <w:color w:val="000000"/>
          <w:sz w:val="14"/>
        </w:rPr>
        <w:t>(5)    This RSU award vests as to 25% of the underlying RSUs on each of the first four anniversaries of April 11, 2024, subject to the executive’s continued employment through the applicable vesting date. The amounts shown represent the number of shares subject to the RSU awards that remain eligible to vest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40410"/>
                <wp:effectExtent l="0" t="0" r="0" b="0"/>
                <wp:wrapNone/>
                <wp:docPr id="36" name="Frame2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Executive Compensation</w:t>
      </w:r>
    </w:p>
    <w:p>
      <w:pPr>
        <w:pStyle w:val="TextBody"/>
        <w:bidi w:val="0"/>
        <w:spacing w:lineRule="auto" w:line="312" w:before="240" w:after="120"/>
        <w:jc w:val="left"/>
        <w:rPr>
          <w:rFonts w:ascii="Lato;sans-serif" w:hAnsi="Lato;sans-serif"/>
          <w:b/>
          <w:color w:val="000000"/>
          <w:sz w:val="24"/>
        </w:rPr>
      </w:pPr>
      <w:r>
        <w:rPr>
          <w:rFonts w:ascii="Lato;sans-serif" w:hAnsi="Lato;sans-serif"/>
          <w:b/>
          <w:color w:val="000000"/>
          <w:sz w:val="24"/>
        </w:rPr>
        <w:t>Executive Compensation Arrangements</w:t>
      </w:r>
    </w:p>
    <w:p>
      <w:pPr>
        <w:pStyle w:val="TextBody"/>
        <w:bidi w:val="0"/>
        <w:spacing w:lineRule="auto" w:line="312" w:before="0" w:after="0"/>
        <w:jc w:val="both"/>
        <w:rPr/>
      </w:pPr>
      <w:r>
        <w:rPr>
          <w:rFonts w:ascii="Lato;sans-serif" w:hAnsi="Lato;sans-serif"/>
          <w:b w:val="false"/>
          <w:i/>
          <w:color w:val="000000"/>
          <w:sz w:val="18"/>
        </w:rPr>
        <w:t>Change of Control Agreements and Severance Agreements.</w:t>
      </w:r>
      <w:r>
        <w:rPr>
          <w:color w:val="000000"/>
        </w:rPr>
        <w:t xml:space="preserve"> </w:t>
      </w:r>
    </w:p>
    <w:p>
      <w:pPr>
        <w:pStyle w:val="TextBody"/>
        <w:bidi w:val="0"/>
        <w:spacing w:lineRule="auto" w:line="312" w:before="160" w:after="283"/>
        <w:jc w:val="both"/>
        <w:rPr>
          <w:rFonts w:ascii="Lato;sans-serif" w:hAnsi="Lato;sans-serif"/>
          <w:b w:val="false"/>
          <w:color w:val="000000"/>
          <w:sz w:val="18"/>
        </w:rPr>
      </w:pPr>
      <w:r>
        <w:rPr>
          <w:rFonts w:ascii="Lato;sans-serif" w:hAnsi="Lato;sans-serif"/>
          <w:b w:val="false"/>
          <w:color w:val="000000"/>
          <w:sz w:val="18"/>
        </w:rPr>
        <w:t>On March 21, 2025, all executive officers of the Company entered into Severance and Change of Control Agreements with the Company. The term of each agreement is two years. Following the initial term, the Agreements continue for successive one-year terms unless canceled by either the Company or the applicable executive officer within 30 days. The severance benefits amounts without a “change of control” under the Severance and Change of Control Agreements only apply to our named executive officers and our SVP of Space Services. Severance benefits (without a “change of control” as defined in the Severance and Change of Control Agreements ) for the executives other than the CEO is an amount equal to the sum of .75 times the executive’s base salary and target annual bonus. In addition, the executive will receive a prorated target bonus in the year of termination based on service. Additionally, the executive is entitled to (i) COBRA for three months; (ii) outplacement services for 12 months; (iii) pay out of vacation and (iv) the vesting of equity as follows: (a) all time based equity will vest; (b) performance based equity will vest at 50% of target and (c) vested options will have 90 days for exercise. The severance benefit provided under the CEO’s executive severance agreement is the same as for other executives, except that the CEO is eligible to receive 1.5 times his base salary and target bonus. The severance benefits under the executive Severance and Change of Control Agreements are triggered upon the applicable executive’s involuntary termination of employment by the Company without “cause” (as defined in the applicable executive Severance and Change of Control Agreements) at any time outside of the 24-month period following a “change of control” (as defined in the applicable executive Severance and Change of Control Agreements).</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If a “change of control” is triggered during the applicable 24-month period, change of control termination benefits are applicable for all other executives other than the CEO in an amount equal to the sum of 1.5 times (NEOs and SVP Space Services) or 1.0 (other executives) the executive’s base salary and target annual bonus. In addition, the executive will receive a prorated the target bonus in the year of termination based on service. Additionally, each executive is entitled to (i )COBRA for 18 months (NEOs and SVP Space Services) or 12 months (other executives); (ii) outplacement services for 12 months; (ii) pay out of vacation and (iv) the vesting of equity as follows: (a) all time based equity will vest; (b) performance based equity will vest at target and (c) vested options will have 90 days for exercise. The change of control severance benefit provided under the CEO’s executive severance agreement is the same as for other executives, except that the CEO is eligible to receive 2.0 times his base salary and target bonus and COBRA for 24 months. The severance benefits under the executive Severance and Change of Control Agreements are triggered upon the applicable executive’s termination without cause or involuntary termination.</w:t>
      </w:r>
    </w:p>
    <w:p>
      <w:pPr>
        <w:pStyle w:val="TextBody"/>
        <w:bidi w:val="0"/>
        <w:spacing w:lineRule="auto" w:line="312" w:before="240" w:after="160"/>
        <w:jc w:val="left"/>
        <w:rPr>
          <w:rFonts w:ascii="Lato;sans-serif" w:hAnsi="Lato;sans-serif"/>
          <w:b/>
          <w:color w:val="000000"/>
          <w:sz w:val="24"/>
        </w:rPr>
      </w:pPr>
      <w:r>
        <w:rPr>
          <w:rFonts w:ascii="Lato;sans-serif" w:hAnsi="Lato;sans-serif"/>
          <w:b/>
          <w:color w:val="000000"/>
          <w:sz w:val="24"/>
        </w:rPr>
        <w:t>Compensation Consultant</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 xml:space="preserve">For 2024, the Compensation Committee engaged Exequity LLP (“Exequity”), an independent compensation consultant, which provides compensation and competitive benchmarking services. Exequity provides the Compensation Committee with information on items such as executive compensation trends and best practices, peer group development, benchmarking our executive and director compensation program, and incentive plan design. Exequity provides no other services to the Company or our executive officers, and the Compensation Committee has the right to terminate the services of Exequity and appoint a new compensation consultant at any time. Exequity interacts with several of our officers and employees as necessary. The Compensation Committee assess the independence of Exequity annually and has concluded that no conflict of interest currently exists or existed in 2024 that would prevent Exequity from providing independent advice to the Compensation Committee. </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40410"/>
                <wp:effectExtent l="0" t="0" r="0" b="0"/>
                <wp:wrapNone/>
                <wp:docPr id="37" name="Frame3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30</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0"/>
        <w:jc w:val="left"/>
        <w:rPr>
          <w:rFonts w:ascii="Lato Black;sans-serif" w:hAnsi="Lato Black;sans-serif"/>
          <w:b w:val="false"/>
          <w:color w:val="005CB9"/>
          <w:sz w:val="32"/>
        </w:rPr>
      </w:pPr>
      <w:r>
        <w:rPr>
          <w:rFonts w:ascii="Lato Black;sans-serif" w:hAnsi="Lato Black;sans-serif"/>
          <w:b w:val="false"/>
          <w:color w:val="005CB9"/>
          <w:sz w:val="32"/>
        </w:rPr>
        <w:t>Equity Compensation Plan Information</w:t>
      </w:r>
    </w:p>
    <w:p>
      <w:pPr>
        <w:pStyle w:val="TextBody"/>
        <w:bidi w:val="0"/>
        <w:spacing w:lineRule="auto" w:line="312" w:before="160" w:after="120"/>
        <w:jc w:val="both"/>
        <w:rPr>
          <w:rFonts w:ascii="Lato;sans-serif" w:hAnsi="Lato;sans-serif"/>
          <w:b/>
          <w:color w:val="000000"/>
          <w:sz w:val="24"/>
        </w:rPr>
      </w:pPr>
      <w:r>
        <w:rPr>
          <w:rFonts w:ascii="Lato;sans-serif" w:hAnsi="Lato;sans-serif"/>
          <w:b/>
          <w:color w:val="000000"/>
          <w:sz w:val="24"/>
        </w:rPr>
        <w:t>2021 Unit Option Plan</w:t>
      </w:r>
    </w:p>
    <w:p>
      <w:pPr>
        <w:pStyle w:val="TextBody"/>
        <w:bidi w:val="0"/>
        <w:spacing w:lineRule="auto" w:line="312" w:before="120" w:after="160"/>
        <w:jc w:val="both"/>
        <w:rPr/>
      </w:pPr>
      <w:r>
        <w:rPr>
          <w:rFonts w:ascii="Lato;sans-serif" w:hAnsi="Lato;sans-serif"/>
          <w:b w:val="false"/>
          <w:color w:val="000000"/>
          <w:sz w:val="18"/>
        </w:rPr>
        <w:t xml:space="preserve">In May 2021, the Intuitive Machines, LLC’s board of directors adopted, and its members approved the 2021 Unit Option Plan (the “2021 Plan”). Initially, the 2021 Plan allowed the Intuitive Machines, LLC to grant incentive unit options (“Incentive Unit Options”) to purchase Class B unit interests. Pursuant to the 2021 Plan, up to </w:t>
      </w:r>
      <w:r>
        <w:rPr>
          <w:rFonts w:ascii="Times New Roman;sans-serif" w:hAnsi="Times New Roman;sans-serif"/>
          <w:b w:val="false"/>
          <w:color w:val="000000"/>
          <w:sz w:val="20"/>
        </w:rPr>
        <w:t>6,125,000</w:t>
      </w:r>
      <w:r>
        <w:rPr>
          <w:color w:val="000000"/>
        </w:rPr>
        <w:t> </w:t>
      </w:r>
      <w:r>
        <w:rPr>
          <w:rFonts w:ascii="Lato;sans-serif" w:hAnsi="Lato;sans-serif"/>
          <w:b w:val="false"/>
          <w:color w:val="000000"/>
          <w:sz w:val="18"/>
        </w:rPr>
        <w:t>shares of Class B units were reserved for issuance, upon exercise of the aforementioned Incentive Unit Options made to employees, directors and consultants.</w:t>
      </w:r>
    </w:p>
    <w:p>
      <w:pPr>
        <w:pStyle w:val="TextBody"/>
        <w:bidi w:val="0"/>
        <w:spacing w:lineRule="auto" w:line="312" w:before="160" w:after="160"/>
        <w:jc w:val="both"/>
        <w:rPr/>
      </w:pPr>
      <w:r>
        <w:rPr>
          <w:rFonts w:ascii="Lato;sans-serif" w:hAnsi="Lato;sans-serif"/>
          <w:b w:val="false"/>
          <w:color w:val="000000"/>
          <w:sz w:val="18"/>
        </w:rPr>
        <w:t xml:space="preserve">As a result of the Business Combination and per the terms of the Second Amended and Restated Intuitive Machines, LLC Operating Agreement, the unexpired and </w:t>
      </w:r>
      <w:r>
        <w:rPr>
          <w:rFonts w:ascii="Lato;sans-serif" w:hAnsi="Lato;sans-serif"/>
          <w:b w:val="false"/>
          <w:color w:val="000000"/>
          <w:sz w:val="18"/>
          <w:shd w:fill="FFFFFF" w:val="clear"/>
        </w:rPr>
        <w:t xml:space="preserve">unexercised outstanding Incentive Unit Options at the closing of the Business Combination, whether vested or unvested, were proportionately adjusted using a conversion ratio of 0.5562 (rounded down to the nearest whole number of options). The exercise price of each option was adjusted accordingly. Each Incentive Unit Option continues to be subject to the terms and conditions of the 2021 Plan and will be exercisable for Class B common units of Intuitive Machines, LLC (the “Class B Common Units”). When an option is exercised, the participant will receive Class A Common Stock. </w:t>
      </w:r>
      <w:r>
        <w:rPr>
          <w:rFonts w:ascii="Lato;sans-serif" w:hAnsi="Lato;sans-serif"/>
          <w:b w:val="false"/>
          <w:color w:val="000000"/>
          <w:sz w:val="18"/>
        </w:rPr>
        <w:t>Following the consummation of the Business Combination, no new awards were granted under the 2021 Plan and no new awards are expected to be granted under the 2021 Plan.</w:t>
      </w:r>
    </w:p>
    <w:p>
      <w:pPr>
        <w:pStyle w:val="TextBody"/>
        <w:bidi w:val="0"/>
        <w:spacing w:lineRule="auto" w:line="312" w:before="160" w:after="120"/>
        <w:jc w:val="both"/>
        <w:rPr>
          <w:rFonts w:ascii="Lato;sans-serif" w:hAnsi="Lato;sans-serif"/>
          <w:b/>
          <w:color w:val="000000"/>
          <w:sz w:val="24"/>
        </w:rPr>
      </w:pPr>
      <w:r>
        <w:rPr>
          <w:rFonts w:ascii="Lato;sans-serif" w:hAnsi="Lato;sans-serif"/>
          <w:b/>
          <w:color w:val="000000"/>
          <w:sz w:val="24"/>
        </w:rPr>
        <w:t>Intuitive Machines, Inc. 2023 Long Term Omnibus Incentive Plan</w:t>
      </w:r>
    </w:p>
    <w:p>
      <w:pPr>
        <w:pStyle w:val="TextBody"/>
        <w:bidi w:val="0"/>
        <w:spacing w:lineRule="auto" w:line="312" w:before="120" w:after="160"/>
        <w:jc w:val="both"/>
        <w:rPr>
          <w:rFonts w:ascii="Lato;sans-serif" w:hAnsi="Lato;sans-serif"/>
          <w:b w:val="false"/>
          <w:color w:val="000000"/>
          <w:sz w:val="18"/>
        </w:rPr>
      </w:pPr>
      <w:r>
        <w:rPr>
          <w:rFonts w:ascii="Lato;sans-serif" w:hAnsi="Lato;sans-serif"/>
          <w:b w:val="false"/>
          <w:color w:val="000000"/>
          <w:sz w:val="18"/>
        </w:rPr>
        <w:t xml:space="preserve">The Intuitive Machines, Inc. 2023 Long Term Omnibus Incentive Plan (the “2023 Plan”), which became effective in conjunction with closing of the Business Combination in February 2023, provides for the award to certain directors, officers, employees, consultants and advisors of the Company of incentive and nonqualified stock options, stock appreciation rights, restricted stock, restricted stock units, other stock-based awards as well as cash-based awards and dividend equivalents, as determined, and subject to the terms and conditions established, by the Company’s Compensation Committee. As of December 31, 2024, the Company has issued restricted stock units (“RSUs”) and performance stock units ("PSUs"). No other awards have been granted under the 2023 Plan. </w:t>
      </w:r>
    </w:p>
    <w:p>
      <w:pPr>
        <w:pStyle w:val="TextBody"/>
        <w:bidi w:val="0"/>
        <w:spacing w:lineRule="auto" w:line="312" w:before="160" w:after="240"/>
        <w:jc w:val="both"/>
        <w:rPr>
          <w:rFonts w:ascii="Lato;sans-serif" w:hAnsi="Lato;sans-serif"/>
          <w:b w:val="false"/>
          <w:color w:val="000000"/>
          <w:sz w:val="18"/>
        </w:rPr>
      </w:pPr>
      <w:r>
        <w:rPr>
          <w:rFonts w:ascii="Lato;sans-serif" w:hAnsi="Lato;sans-serif"/>
          <w:b w:val="false"/>
          <w:color w:val="000000"/>
          <w:sz w:val="18"/>
        </w:rPr>
        <w:t>The following table provides certain information with respect to all of our equity compensation plans in effect as of December 31, 2024, each of which was approved by our stockholders. These plans include the 2021 Plan and the 2023 Plan.</w:t>
      </w:r>
    </w:p>
    <w:tbl>
      <w:tblPr>
        <w:tblW w:w="10205" w:type="dxa"/>
        <w:jc w:val="left"/>
        <w:tblInd w:w="0" w:type="dxa"/>
        <w:tblLayout w:type="fixed"/>
        <w:tblCellMar>
          <w:top w:w="28" w:type="dxa"/>
          <w:left w:w="28" w:type="dxa"/>
          <w:bottom w:w="28" w:type="dxa"/>
          <w:right w:w="28" w:type="dxa"/>
        </w:tblCellMar>
      </w:tblPr>
      <w:tblGrid>
        <w:gridCol w:w="1022"/>
        <w:gridCol w:w="897"/>
        <w:gridCol w:w="907"/>
        <w:gridCol w:w="840"/>
        <w:gridCol w:w="840"/>
        <w:gridCol w:w="841"/>
        <w:gridCol w:w="705"/>
        <w:gridCol w:w="705"/>
        <w:gridCol w:w="706"/>
        <w:gridCol w:w="802"/>
        <w:gridCol w:w="802"/>
        <w:gridCol w:w="1138"/>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r>
      <w:tr>
        <w:trPr/>
        <w:tc>
          <w:tcPr>
            <w:tcW w:w="28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Plan Category</w:t>
            </w:r>
          </w:p>
        </w:tc>
        <w:tc>
          <w:tcPr>
            <w:tcW w:w="252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Lato;sans-serif" w:hAnsi="Lato;sans-serif"/>
                <w:b/>
                <w:color w:val="000000"/>
                <w:sz w:val="16"/>
              </w:rPr>
            </w:pPr>
            <w:r>
              <w:rPr>
                <w:rFonts w:ascii="Lato;sans-serif" w:hAnsi="Lato;sans-serif"/>
                <w:b/>
                <w:color w:val="000000"/>
                <w:sz w:val="16"/>
              </w:rPr>
              <w:t>Number of Securities to be</w:t>
              <w:br/>
              <w:t> Issued upon Exercise of</w:t>
              <w:br/>
              <w:t> Outstanding Options and Restricted Stock Units</w:t>
              <w:br/>
              <w:t>(a)</w:t>
            </w:r>
          </w:p>
        </w:tc>
        <w:tc>
          <w:tcPr>
            <w:tcW w:w="211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Lato;sans-serif" w:hAnsi="Lato;sans-serif"/>
                <w:b/>
                <w:color w:val="000000"/>
                <w:sz w:val="16"/>
              </w:rPr>
            </w:pPr>
            <w:r>
              <w:rPr>
                <w:rFonts w:ascii="Lato;sans-serif" w:hAnsi="Lato;sans-serif"/>
                <w:b/>
                <w:color w:val="000000"/>
                <w:sz w:val="16"/>
              </w:rPr>
              <w:t>Weighted Average</w:t>
            </w:r>
          </w:p>
          <w:p>
            <w:pPr>
              <w:pStyle w:val="TableContents"/>
              <w:bidi w:val="0"/>
              <w:spacing w:lineRule="auto" w:line="312" w:before="0" w:after="0"/>
              <w:jc w:val="right"/>
              <w:rPr>
                <w:rFonts w:ascii="Lato;sans-serif" w:hAnsi="Lato;sans-serif"/>
                <w:b/>
                <w:color w:val="000000"/>
                <w:sz w:val="16"/>
              </w:rPr>
            </w:pPr>
            <w:r>
              <w:rPr>
                <w:rFonts w:ascii="Lato;sans-serif" w:hAnsi="Lato;sans-serif"/>
                <w:b/>
                <w:color w:val="000000"/>
                <w:sz w:val="16"/>
              </w:rPr>
              <w:t>Exercise Price of</w:t>
            </w:r>
          </w:p>
          <w:p>
            <w:pPr>
              <w:pStyle w:val="TableContents"/>
              <w:bidi w:val="0"/>
              <w:spacing w:lineRule="auto" w:line="312" w:before="0" w:after="0"/>
              <w:jc w:val="right"/>
              <w:rPr>
                <w:color w:val="000000"/>
              </w:rPr>
            </w:pPr>
            <w:r>
              <w:rPr>
                <w:color w:val="000000"/>
              </w:rPr>
              <w:t> </w:t>
            </w:r>
            <w:r>
              <w:rPr>
                <w:rFonts w:ascii="Lato;sans-serif" w:hAnsi="Lato;sans-serif"/>
                <w:b/>
                <w:color w:val="000000"/>
                <w:sz w:val="16"/>
              </w:rPr>
              <w:t>Outstanding Options</w:t>
            </w:r>
          </w:p>
          <w:p>
            <w:pPr>
              <w:pStyle w:val="TableContents"/>
              <w:bidi w:val="0"/>
              <w:spacing w:lineRule="auto" w:line="312" w:before="0" w:after="0"/>
              <w:jc w:val="right"/>
              <w:rPr/>
            </w:pPr>
            <w:r>
              <w:rPr>
                <w:rFonts w:ascii="Lato;sans-serif" w:hAnsi="Lato;sans-serif"/>
                <w:b/>
                <w:color w:val="000000"/>
                <w:sz w:val="16"/>
              </w:rPr>
              <w:t>(b)</w:t>
            </w:r>
            <w:r>
              <w:rPr>
                <w:rFonts w:ascii="Lato;sans-serif" w:hAnsi="Lato;sans-serif"/>
                <w:b/>
                <w:color w:val="000000"/>
                <w:sz w:val="10"/>
              </w:rPr>
              <w:t>(1)</w:t>
            </w:r>
          </w:p>
        </w:tc>
        <w:tc>
          <w:tcPr>
            <w:tcW w:w="274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Lato;sans-serif" w:hAnsi="Lato;sans-serif"/>
                <w:b/>
                <w:color w:val="000000"/>
                <w:sz w:val="16"/>
              </w:rPr>
            </w:pPr>
            <w:r>
              <w:rPr>
                <w:rFonts w:ascii="Lato;sans-serif" w:hAnsi="Lato;sans-serif"/>
                <w:b/>
                <w:color w:val="000000"/>
                <w:sz w:val="16"/>
              </w:rPr>
              <w:t>Number of Securities Remaining</w:t>
            </w:r>
          </w:p>
          <w:p>
            <w:pPr>
              <w:pStyle w:val="TableContents"/>
              <w:bidi w:val="0"/>
              <w:spacing w:lineRule="auto" w:line="312" w:before="0" w:after="0"/>
              <w:jc w:val="right"/>
              <w:rPr>
                <w:color w:val="000000"/>
              </w:rPr>
            </w:pPr>
            <w:r>
              <w:rPr>
                <w:color w:val="000000"/>
              </w:rPr>
              <w:t> </w:t>
            </w:r>
            <w:r>
              <w:rPr>
                <w:rFonts w:ascii="Lato;sans-serif" w:hAnsi="Lato;sans-serif"/>
                <w:b/>
                <w:color w:val="000000"/>
                <w:sz w:val="16"/>
              </w:rPr>
              <w:t>Available for Future Issuance</w:t>
            </w:r>
          </w:p>
          <w:p>
            <w:pPr>
              <w:pStyle w:val="TableContents"/>
              <w:bidi w:val="0"/>
              <w:spacing w:lineRule="auto" w:line="312" w:before="0" w:after="0"/>
              <w:jc w:val="right"/>
              <w:rPr>
                <w:color w:val="000000"/>
              </w:rPr>
            </w:pPr>
            <w:r>
              <w:rPr>
                <w:color w:val="000000"/>
              </w:rPr>
              <w:t> </w:t>
            </w:r>
            <w:r>
              <w:rPr>
                <w:rFonts w:ascii="Lato;sans-serif" w:hAnsi="Lato;sans-serif"/>
                <w:b/>
                <w:color w:val="000000"/>
                <w:sz w:val="16"/>
              </w:rPr>
              <w:t>Under Equity</w:t>
            </w:r>
          </w:p>
          <w:p>
            <w:pPr>
              <w:pStyle w:val="TableContents"/>
              <w:bidi w:val="0"/>
              <w:spacing w:lineRule="auto" w:line="312" w:before="0" w:after="0"/>
              <w:jc w:val="right"/>
              <w:rPr>
                <w:rFonts w:ascii="Lato;sans-serif" w:hAnsi="Lato;sans-serif"/>
                <w:b/>
                <w:color w:val="000000"/>
                <w:sz w:val="16"/>
              </w:rPr>
            </w:pPr>
            <w:r>
              <w:rPr>
                <w:rFonts w:ascii="Lato;sans-serif" w:hAnsi="Lato;sans-serif"/>
                <w:b/>
                <w:color w:val="000000"/>
                <w:sz w:val="16"/>
              </w:rPr>
              <w:t>Compensation Plans</w:t>
            </w:r>
          </w:p>
          <w:p>
            <w:pPr>
              <w:pStyle w:val="TableContents"/>
              <w:bidi w:val="0"/>
              <w:spacing w:lineRule="auto" w:line="312" w:before="0" w:after="0"/>
              <w:jc w:val="right"/>
              <w:rPr>
                <w:rFonts w:ascii="Lato;sans-serif" w:hAnsi="Lato;sans-serif"/>
                <w:b w:val="false"/>
                <w:i/>
                <w:color w:val="000000"/>
                <w:sz w:val="16"/>
              </w:rPr>
            </w:pPr>
            <w:r>
              <w:rPr>
                <w:rFonts w:ascii="Lato;sans-serif" w:hAnsi="Lato;sans-serif"/>
                <w:b w:val="false"/>
                <w:i/>
                <w:color w:val="000000"/>
                <w:sz w:val="16"/>
              </w:rPr>
              <w:t>(excluding securities reflected in column (a))</w:t>
            </w:r>
          </w:p>
          <w:p>
            <w:pPr>
              <w:pStyle w:val="TableContents"/>
              <w:bidi w:val="0"/>
              <w:spacing w:lineRule="auto" w:line="312" w:before="0" w:after="0"/>
              <w:jc w:val="right"/>
              <w:rPr>
                <w:rFonts w:ascii="Lato;sans-serif" w:hAnsi="Lato;sans-serif"/>
                <w:b/>
                <w:color w:val="000000"/>
                <w:sz w:val="16"/>
              </w:rPr>
            </w:pPr>
            <w:r>
              <w:rPr>
                <w:rFonts w:ascii="Lato;sans-serif" w:hAnsi="Lato;sans-serif"/>
                <w:b/>
                <w:color w:val="000000"/>
                <w:sz w:val="16"/>
              </w:rPr>
              <w:t>(c)</w:t>
            </w:r>
          </w:p>
        </w:tc>
      </w:tr>
      <w:tr>
        <w:trPr/>
        <w:tc>
          <w:tcPr>
            <w:tcW w:w="2826"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55" w:after="30"/>
              <w:jc w:val="left"/>
              <w:rPr>
                <w:rFonts w:ascii="Lato;sans-serif" w:hAnsi="Lato;sans-serif"/>
                <w:b w:val="false"/>
                <w:color w:val="000000"/>
                <w:sz w:val="18"/>
              </w:rPr>
            </w:pPr>
            <w:r>
              <w:rPr>
                <w:rFonts w:ascii="Lato;sans-serif" w:hAnsi="Lato;sans-serif"/>
                <w:b w:val="false"/>
                <w:color w:val="000000"/>
                <w:sz w:val="18"/>
              </w:rPr>
              <w:t>Equity Compensation Plans Approved By Stockholders:</w:t>
            </w:r>
          </w:p>
        </w:tc>
        <w:tc>
          <w:tcPr>
            <w:tcW w:w="2521"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2021 Plan</w:t>
            </w:r>
          </w:p>
        </w:tc>
        <w:tc>
          <w:tcPr>
            <w:tcW w:w="252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989,423</w:t>
            </w:r>
          </w:p>
        </w:tc>
        <w:tc>
          <w:tcPr>
            <w:tcW w:w="141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$3.54 </w:t>
            </w:r>
          </w:p>
        </w:tc>
        <w:tc>
          <w:tcPr>
            <w:tcW w:w="70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82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8"/>
              </w:rPr>
              <w:t>2023 Plan</w:t>
            </w:r>
            <w:r>
              <w:rPr>
                <w:rFonts w:ascii="Lato;sans-serif" w:hAnsi="Lato;sans-serif"/>
                <w:b w:val="false"/>
                <w:color w:val="000000"/>
                <w:sz w:val="12"/>
              </w:rPr>
              <w:t>(2)</w:t>
            </w:r>
          </w:p>
        </w:tc>
        <w:tc>
          <w:tcPr>
            <w:tcW w:w="252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3,307,039</w:t>
            </w:r>
          </w:p>
        </w:tc>
        <w:tc>
          <w:tcPr>
            <w:tcW w:w="211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74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8,060,355</w:t>
            </w:r>
          </w:p>
        </w:tc>
      </w:tr>
      <w:tr>
        <w:trPr/>
        <w:tc>
          <w:tcPr>
            <w:tcW w:w="282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Equity compensation plans not approved by shareholders</w:t>
            </w:r>
          </w:p>
        </w:tc>
        <w:tc>
          <w:tcPr>
            <w:tcW w:w="2521"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211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826" w:type="dxa"/>
            <w:gridSpan w:val="3"/>
            <w:tcBorders>
              <w:top w:val="single" w:sz="8" w:space="0" w:color="B6B6B6"/>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Total</w:t>
            </w:r>
          </w:p>
        </w:tc>
        <w:tc>
          <w:tcPr>
            <w:tcW w:w="2521" w:type="dxa"/>
            <w:gridSpan w:val="3"/>
            <w:tcBorders>
              <w:top w:val="single" w:sz="8" w:space="0" w:color="B6B6B6"/>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4,296,462</w:t>
            </w:r>
          </w:p>
        </w:tc>
        <w:tc>
          <w:tcPr>
            <w:tcW w:w="2116" w:type="dxa"/>
            <w:gridSpan w:val="3"/>
            <w:tcBorders>
              <w:top w:val="single" w:sz="8" w:space="0" w:color="B6B6B6"/>
              <w:bottom w:val="single" w:sz="8" w:space="0" w:color="005CB9"/>
            </w:tcBorders>
            <w:tcMar>
              <w:left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3"/>
            <w:tcBorders>
              <w:top w:val="single" w:sz="8" w:space="0" w:color="B6B6B6"/>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8,060,355</w:t>
            </w:r>
          </w:p>
        </w:tc>
      </w:tr>
    </w:tbl>
    <w:p>
      <w:pPr>
        <w:pStyle w:val="TextBody"/>
        <w:bidi w:val="0"/>
        <w:spacing w:lineRule="auto" w:line="312" w:before="80" w:after="80"/>
        <w:ind w:left="0" w:right="0" w:hanging="360"/>
        <w:jc w:val="left"/>
        <w:rPr/>
      </w:pPr>
      <w:r>
        <w:rPr>
          <w:rFonts w:ascii="Lato;sans-serif" w:hAnsi="Lato;sans-serif"/>
          <w:b w:val="false"/>
          <w:color w:val="000000"/>
          <w:sz w:val="16"/>
        </w:rPr>
        <w:t xml:space="preserve">(1)    Reflects the effects of the Business Combination in which share-based compensation awards of legacy Intuitive Machines, LLC were converted into share-based compensation awards of Intuitive Machines using an exchange ratio of </w:t>
      </w:r>
      <w:r>
        <w:rPr>
          <w:rFonts w:ascii="Lato;sans-serif" w:hAnsi="Lato;sans-serif"/>
          <w:b w:val="false"/>
          <w:color w:val="000000"/>
          <w:sz w:val="16"/>
          <w:shd w:fill="FFFFFF" w:val="clear"/>
        </w:rPr>
        <w:t>0.5562.</w:t>
      </w:r>
    </w:p>
    <w:p>
      <w:pPr>
        <w:pStyle w:val="TextBody"/>
        <w:bidi w:val="0"/>
        <w:spacing w:lineRule="auto" w:line="312" w:before="80" w:after="80"/>
        <w:ind w:left="0" w:right="0" w:hanging="360"/>
        <w:jc w:val="left"/>
        <w:rPr>
          <w:rFonts w:ascii="Lato;sans-serif" w:hAnsi="Lato;sans-serif"/>
          <w:b w:val="false"/>
          <w:color w:val="000000"/>
          <w:sz w:val="16"/>
          <w:shd w:fill="FFFFFF" w:val="clear"/>
        </w:rPr>
      </w:pPr>
      <w:r>
        <w:rPr>
          <w:rFonts w:ascii="Lato;sans-serif" w:hAnsi="Lato;sans-serif"/>
          <w:b w:val="false"/>
          <w:color w:val="000000"/>
          <w:sz w:val="16"/>
          <w:shd w:fill="FFFFFF" w:val="clear"/>
        </w:rPr>
        <w:t>(2)    Column (a) represents shares of Class A common stock that may be issued upon the vesting and settlement of service-based RSUs with no consideration of an exercise price.</w:t>
      </w:r>
    </w:p>
    <w:p>
      <w:pPr>
        <w:pStyle w:val="TextBody"/>
        <w:bidi w:val="0"/>
        <w:spacing w:before="160" w:after="160"/>
        <w:ind w:left="0" w:right="0" w:hanging="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40410"/>
                <wp:effectExtent l="0" t="0" r="0" b="0"/>
                <wp:wrapNone/>
                <wp:docPr id="38" name="Frame3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0"/>
        <w:jc w:val="left"/>
        <w:rPr>
          <w:rFonts w:ascii="Lato Black;sans-serif" w:hAnsi="Lato Black;sans-serif"/>
          <w:b w:val="false"/>
          <w:color w:val="005CB9"/>
          <w:sz w:val="32"/>
        </w:rPr>
      </w:pPr>
      <w:r>
        <w:rPr>
          <w:rFonts w:ascii="Lato Black;sans-serif" w:hAnsi="Lato Black;sans-serif"/>
          <w:b w:val="false"/>
          <w:color w:val="005CB9"/>
          <w:sz w:val="32"/>
        </w:rPr>
        <w:t>Proposal No. 2</w:t>
        <w:br/>
        <w:t>Ratification of Appointment of Independent Registered Public Accounting Firm</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The Audit Committee of our Board of Directors has appointed Grant Thornton LLP ("Grant Thornton") as our independent registered public accounting firm for the fiscal year ending December 31, 2025. We are asking our stockholders to ratify the selection of Grant Thornton as our independent registered public accounting firm. Although ratification is not required by our Bylaws or otherwise, we are submitting the election of Grant Thornton to our stockholders for ratification as a matter of good corporate practice and because we value our stockholders' views on our independent registered public accounting firm. In the event that our stockholders fail to ratify the selection, the Audit Committee will review its future selection of independent auditors. Even if our stockholders ratify the selection, our Audit Committee, in its discretion, may appoint another independent registered public accounting firm at any time during the year if the Audit Committee believes that such a change would be in the best interest of Intuitive Machines and our stockholders. Representatives of Grant Thornton are expected to be present at the Annual Meeting, and they will have the opportunity to make a statement if they so desire and to respond to appropriate questions.</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The following table presents fees for professional audit services and other services rendered for the Company by Grant Thornton for the years ended December 31, 2024 and 2023.</w:t>
      </w:r>
    </w:p>
    <w:tbl>
      <w:tblPr>
        <w:tblW w:w="5119" w:type="dxa"/>
        <w:jc w:val="left"/>
        <w:tblInd w:w="0" w:type="dxa"/>
        <w:tblLayout w:type="fixed"/>
        <w:tblCellMar>
          <w:top w:w="28" w:type="dxa"/>
          <w:left w:w="28" w:type="dxa"/>
          <w:bottom w:w="28" w:type="dxa"/>
          <w:right w:w="28" w:type="dxa"/>
        </w:tblCellMar>
      </w:tblPr>
      <w:tblGrid>
        <w:gridCol w:w="709"/>
        <w:gridCol w:w="623"/>
        <w:gridCol w:w="632"/>
        <w:gridCol w:w="109"/>
        <w:gridCol w:w="109"/>
        <w:gridCol w:w="109"/>
        <w:gridCol w:w="109"/>
        <w:gridCol w:w="109"/>
        <w:gridCol w:w="109"/>
        <w:gridCol w:w="299"/>
        <w:gridCol w:w="299"/>
        <w:gridCol w:w="303"/>
        <w:gridCol w:w="109"/>
        <w:gridCol w:w="109"/>
        <w:gridCol w:w="109"/>
        <w:gridCol w:w="109"/>
        <w:gridCol w:w="109"/>
        <w:gridCol w:w="109"/>
        <w:gridCol w:w="276"/>
        <w:gridCol w:w="276"/>
        <w:gridCol w:w="394"/>
      </w:tblGrid>
      <w:tr>
        <w:trPr/>
        <w:tc>
          <w:tcPr>
            <w:tcW w:w="7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Lato Black;sans-serif" w:hAnsi="Lato Black;sans-serif"/>
                <w:b/>
                <w:color w:val="000000"/>
                <w:sz w:val="16"/>
              </w:rPr>
            </w:pPr>
            <w:r>
              <w:rPr>
                <w:rFonts w:ascii="Lato Black;sans-serif" w:hAnsi="Lato Black;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Lato Black;sans-serif" w:hAnsi="Lato Black;sans-serif"/>
                <w:b/>
                <w:color w:val="000000"/>
                <w:sz w:val="16"/>
              </w:rPr>
            </w:pPr>
            <w:r>
              <w:rPr>
                <w:rFonts w:ascii="Lato Black;sans-serif" w:hAnsi="Lato Black;sans-serif"/>
                <w:b/>
                <w:color w:val="000000"/>
                <w:sz w:val="16"/>
              </w:rPr>
              <w:t>2023</w:t>
            </w:r>
          </w:p>
        </w:tc>
      </w:tr>
      <w:tr>
        <w:trPr/>
        <w:tc>
          <w:tcPr>
            <w:tcW w:w="1964"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312" w:before="75" w:after="30"/>
              <w:jc w:val="left"/>
              <w:rPr/>
            </w:pPr>
            <w:r>
              <w:rPr>
                <w:rFonts w:ascii="Lato;sans-serif" w:hAnsi="Lato;sans-serif"/>
                <w:b w:val="false"/>
                <w:color w:val="000000"/>
                <w:sz w:val="18"/>
              </w:rPr>
              <w:t>Audit Fees</w:t>
            </w:r>
            <w:r>
              <w:rPr>
                <w:rFonts w:ascii="Lato;sans-serif" w:hAnsi="Lato;sans-serif"/>
                <w:b w:val="false"/>
                <w:color w:val="000000"/>
                <w:sz w:val="12"/>
              </w:rPr>
              <w:t>(1)</w:t>
            </w:r>
          </w:p>
        </w:tc>
        <w:tc>
          <w:tcPr>
            <w:tcW w:w="327"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901" w:type="dxa"/>
            <w:gridSpan w:val="3"/>
            <w:tcBorders>
              <w:top w:val="single" w:sz="8" w:space="0" w:color="005CB9"/>
              <w:bottom w:val="single" w:sz="4" w:space="0" w:color="9D9FA2"/>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913,300</w:t>
            </w:r>
          </w:p>
        </w:tc>
        <w:tc>
          <w:tcPr>
            <w:tcW w:w="327" w:type="dxa"/>
            <w:gridSpan w:val="3"/>
            <w:tcBorders>
              <w:top w:val="single" w:sz="8" w:space="0" w:color="005CB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gridSpan w:val="3"/>
            <w:tcBorders>
              <w:top w:val="single" w:sz="8" w:space="0" w:color="005CB9"/>
              <w:bottom w:val="single" w:sz="4" w:space="0" w:color="9D9FA2"/>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853,500</w:t>
            </w:r>
          </w:p>
        </w:tc>
      </w:tr>
      <w:tr>
        <w:trPr/>
        <w:tc>
          <w:tcPr>
            <w:tcW w:w="1964" w:type="dxa"/>
            <w:gridSpan w:val="3"/>
            <w:tcBorders>
              <w:top w:val="single" w:sz="4" w:space="0" w:color="9D9FA2"/>
            </w:tcBorders>
            <w:tcMar>
              <w:top w:w="3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8"/>
              </w:rPr>
              <w:t>Audit-Related Fees</w:t>
            </w:r>
            <w:r>
              <w:rPr>
                <w:rFonts w:ascii="Lato;sans-serif" w:hAnsi="Lato;sans-serif"/>
                <w:b w:val="false"/>
                <w:color w:val="000000"/>
                <w:sz w:val="12"/>
              </w:rPr>
              <w:t>(2)</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6"/>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op w:val="single" w:sz="4" w:space="0" w:color="9D9FA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6"/>
            <w:tcBorders>
              <w:top w:val="single" w:sz="4" w:space="0" w:color="9D9FA2"/>
            </w:tcBorders>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000000"/>
                <w:sz w:val="18"/>
              </w:rPr>
            </w:pPr>
            <w:r>
              <w:rPr>
                <w:rFonts w:ascii="Lato;sans-serif" w:hAnsi="Lato;sans-serif"/>
                <w:b w:val="false"/>
                <w:color w:val="000000"/>
                <w:sz w:val="18"/>
              </w:rPr>
              <w:t>10,350</w:t>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6"/>
            <w:tcBorders/>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3" w:type="dxa"/>
            <w:gridSpan w:val="6"/>
            <w:tcBorders/>
          </w:tcPr>
          <w:p>
            <w:pPr>
              <w:pStyle w:val="TableContents"/>
              <w:bidi w:val="0"/>
              <w:spacing w:before="0" w:after="283"/>
              <w:jc w:val="left"/>
              <w:rPr>
                <w:sz w:val="4"/>
                <w:szCs w:val="4"/>
              </w:rPr>
            </w:pPr>
            <w:r>
              <w:rPr>
                <w:sz w:val="4"/>
                <w:szCs w:val="4"/>
              </w:rPr>
            </w:r>
          </w:p>
        </w:tc>
      </w:tr>
      <w:tr>
        <w:trPr/>
        <w:tc>
          <w:tcPr>
            <w:tcW w:w="1964"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000000"/>
                <w:sz w:val="18"/>
              </w:rPr>
            </w:pPr>
            <w:r>
              <w:rPr>
                <w:rFonts w:ascii="Lato;sans-serif" w:hAnsi="Lato;sans-serif"/>
                <w:b/>
                <w:color w:val="000000"/>
                <w:sz w:val="18"/>
              </w:rPr>
              <w:t>Total Fees</w:t>
            </w:r>
          </w:p>
        </w:tc>
        <w:tc>
          <w:tcPr>
            <w:tcW w:w="327" w:type="dxa"/>
            <w:gridSpan w:val="3"/>
            <w:tcBorders>
              <w:top w:val="single" w:sz="4" w:space="0" w:color="9D9FA2"/>
              <w:bottom w:val="single" w:sz="8" w:space="0" w:color="005CB9"/>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color w:val="000000"/>
                <w:sz w:val="18"/>
              </w:rPr>
            </w:pPr>
            <w:r>
              <w:rPr>
                <w:rFonts w:ascii="Lato;sans-serif" w:hAnsi="Lato;sans-serif"/>
                <w:b/>
                <w:color w:val="000000"/>
                <w:sz w:val="18"/>
              </w:rPr>
              <w:t>$</w:t>
            </w:r>
          </w:p>
        </w:tc>
        <w:tc>
          <w:tcPr>
            <w:tcW w:w="901"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color w:val="000000"/>
                <w:sz w:val="18"/>
              </w:rPr>
            </w:pPr>
            <w:r>
              <w:rPr>
                <w:rFonts w:ascii="Lato;sans-serif" w:hAnsi="Lato;sans-serif"/>
                <w:b/>
                <w:color w:val="000000"/>
                <w:sz w:val="18"/>
              </w:rPr>
              <w:t>913,300</w:t>
            </w:r>
          </w:p>
        </w:tc>
        <w:tc>
          <w:tcPr>
            <w:tcW w:w="327" w:type="dxa"/>
            <w:gridSpan w:val="3"/>
            <w:tcBorders>
              <w:top w:val="single" w:sz="4" w:space="0" w:color="9D9FA2"/>
              <w:bottom w:val="single" w:sz="8" w:space="0" w:color="005CB9"/>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color w:val="000000"/>
                <w:sz w:val="18"/>
              </w:rPr>
            </w:pPr>
            <w:r>
              <w:rPr>
                <w:rFonts w:ascii="Lato;sans-serif" w:hAnsi="Lato;sans-serif"/>
                <w:b/>
                <w:color w:val="000000"/>
                <w:sz w:val="18"/>
              </w:rPr>
              <w:t>$</w:t>
            </w:r>
          </w:p>
        </w:tc>
        <w:tc>
          <w:tcPr>
            <w:tcW w:w="946" w:type="dxa"/>
            <w:gridSpan w:val="3"/>
            <w:tcBorders>
              <w:top w:val="single" w:sz="4" w:space="0" w:color="9D9FA2"/>
              <w:bottom w:val="single" w:sz="8" w:space="0" w:color="005CB9"/>
            </w:tcBorders>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color w:val="000000"/>
                <w:sz w:val="18"/>
              </w:rPr>
            </w:pPr>
            <w:r>
              <w:rPr>
                <w:rFonts w:ascii="Lato;sans-serif" w:hAnsi="Lato;sans-serif"/>
                <w:b/>
                <w:color w:val="000000"/>
                <w:sz w:val="18"/>
              </w:rPr>
              <w:t>863,850</w:t>
            </w:r>
          </w:p>
        </w:tc>
      </w:tr>
    </w:tbl>
    <w:p>
      <w:pPr>
        <w:pStyle w:val="TextBody"/>
        <w:bidi w:val="0"/>
        <w:spacing w:lineRule="auto" w:line="312" w:before="80" w:after="160"/>
        <w:ind w:left="0" w:right="0" w:hanging="360"/>
        <w:jc w:val="both"/>
        <w:rPr>
          <w:rFonts w:ascii="Lato;sans-serif" w:hAnsi="Lato;sans-serif"/>
          <w:b w:val="false"/>
          <w:color w:val="000000"/>
          <w:sz w:val="16"/>
        </w:rPr>
      </w:pPr>
      <w:r>
        <w:rPr>
          <w:rFonts w:ascii="Lato;sans-serif" w:hAnsi="Lato;sans-serif"/>
          <w:b w:val="false"/>
          <w:color w:val="000000"/>
          <w:sz w:val="16"/>
        </w:rPr>
        <w:t>(1)    Audit fees consist of fees for professional services rendered by Grant Thornton in connection with the audit of our annual consolidated financial statements, and quarterly reviews of our interim consolidated financial statements. Audit fees also include issuance of consents and professional services related to registration statements and comfort letters.</w:t>
      </w:r>
    </w:p>
    <w:p>
      <w:pPr>
        <w:pStyle w:val="TextBody"/>
        <w:bidi w:val="0"/>
        <w:spacing w:lineRule="auto" w:line="312" w:before="80" w:after="160"/>
        <w:ind w:left="0" w:right="0" w:hanging="360"/>
        <w:jc w:val="both"/>
        <w:rPr>
          <w:rFonts w:ascii="Lato;sans-serif" w:hAnsi="Lato;sans-serif"/>
          <w:b w:val="false"/>
          <w:color w:val="000000"/>
          <w:sz w:val="16"/>
        </w:rPr>
      </w:pPr>
      <w:r>
        <w:rPr>
          <w:rFonts w:ascii="Lato;sans-serif" w:hAnsi="Lato;sans-serif"/>
          <w:b w:val="false"/>
          <w:color w:val="000000"/>
          <w:sz w:val="16"/>
        </w:rPr>
        <w:t>(2)    Audit-related fees consist of fees for assurance and related services rendered that are reasonably related to the performance of the audit, review of the consolidated financial statements, or professional services related to registration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160"/>
        <w:jc w:val="left"/>
        <w:rPr>
          <w:rFonts w:ascii="Lato;sans-serif" w:hAnsi="Lato;sans-serif"/>
          <w:b/>
          <w:color w:val="000000"/>
          <w:sz w:val="24"/>
        </w:rPr>
      </w:pPr>
      <w:r>
        <w:rPr>
          <w:rFonts w:ascii="Lato;sans-serif" w:hAnsi="Lato;sans-serif"/>
          <w:b/>
          <w:color w:val="000000"/>
          <w:sz w:val="24"/>
        </w:rPr>
        <w:t>Pre-Approval Policies and Procedures</w:t>
      </w:r>
    </w:p>
    <w:p>
      <w:pPr>
        <w:pStyle w:val="TextBody"/>
        <w:bidi w:val="0"/>
        <w:spacing w:lineRule="auto" w:line="312" w:before="160" w:after="240"/>
        <w:jc w:val="both"/>
        <w:rPr>
          <w:rFonts w:ascii="Lato;sans-serif" w:hAnsi="Lato;sans-serif"/>
          <w:b w:val="false"/>
          <w:color w:val="000000"/>
          <w:sz w:val="18"/>
        </w:rPr>
      </w:pPr>
      <w:r>
        <w:rPr>
          <w:rFonts w:ascii="Lato;sans-serif" w:hAnsi="Lato;sans-serif"/>
          <w:b w:val="false"/>
          <w:color w:val="000000"/>
          <w:sz w:val="18"/>
        </w:rPr>
        <w:t>Under our charter, the Company’s Audit Committee must review and pre-approve both audit and permitted non-audit services provided by the Company’s independent registered public accounting firm and shall not engage the independent registered public accounting firm to perform any non-audit services prohibited by law or regulation. Each year, the independent registered public accounting firm’s retention to audit the Company’s financial statements, including the associated fee, is approved by the Audit Committee. Consistent with the policies and procedures of our written charter, all audit services set forth above for 2024 were pre-approved by our Audit Committee, which concluded that the provision of such services by Grant Thornton were compatible with the maintenance of the firm's independence. The Audit Committee has delegated to the Chair of the Audit Committee the authority to evaluate and approve engagements on behalf of the Audit Committee in the event that a need arises for pre-approval between regular Audit Committee meetings. If the Chair so approves any such engagements, he will report that approval to the full Audit Committee at the next Audit Committee meeting.</w:t>
      </w:r>
    </w:p>
    <w:tbl>
      <w:tblPr>
        <w:tblW w:w="10205" w:type="dxa"/>
        <w:jc w:val="center"/>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5CB9"/>
                <w:sz w:val="24"/>
              </w:rPr>
              <w:t xml:space="preserve">The Board recommends a vote </w:t>
            </w:r>
            <w:r>
              <w:rPr>
                <w:rFonts w:ascii="Lato;sans-serif" w:hAnsi="Lato;sans-serif"/>
                <w:b/>
                <w:color w:val="005CB9"/>
                <w:sz w:val="24"/>
              </w:rPr>
              <w:t>"FOR"</w:t>
            </w:r>
            <w:r>
              <w:rPr>
                <w:color w:val="005CB9"/>
              </w:rPr>
              <w:t xml:space="preserve"> </w:t>
            </w:r>
            <w:r>
              <w:rPr>
                <w:rFonts w:ascii="Lato;sans-serif" w:hAnsi="Lato;sans-serif"/>
                <w:b w:val="false"/>
                <w:color w:val="005CB9"/>
                <w:sz w:val="24"/>
              </w:rPr>
              <w:t>the ratification of the appointment of Grant Thornton, LLP as our independent registered public accounting firm for the fiscal year ending December 31, 2025 .</w:t>
            </w:r>
          </w:p>
        </w:tc>
      </w:tr>
      <w:tr>
        <w:trPr/>
        <w:tc>
          <w:tcPr>
            <w:tcW w:w="10205" w:type="dxa"/>
            <w:gridSpan w:val="3"/>
            <w:tcBorders/>
            <w:shd w:fill="E6E7E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40410"/>
                <wp:effectExtent l="0" t="0" r="0" b="0"/>
                <wp:wrapNone/>
                <wp:docPr id="39" name="Frame3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32</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33" w:before="0" w:after="160"/>
        <w:jc w:val="left"/>
        <w:rPr>
          <w:rFonts w:ascii="Lato Black;sans-serif" w:hAnsi="Lato Black;sans-serif"/>
          <w:b w:val="false"/>
          <w:color w:val="005CB9"/>
          <w:sz w:val="32"/>
        </w:rPr>
      </w:pPr>
      <w:r>
        <w:rPr>
          <w:rFonts w:ascii="Lato Black;sans-serif" w:hAnsi="Lato Black;sans-serif"/>
          <w:b w:val="false"/>
          <w:color w:val="005CB9"/>
          <w:sz w:val="32"/>
        </w:rPr>
        <w:t xml:space="preserve">Audit Committee Report </w:t>
      </w:r>
    </w:p>
    <w:p>
      <w:pPr>
        <w:pStyle w:val="TextBody"/>
        <w:bidi w:val="0"/>
        <w:spacing w:lineRule="auto" w:line="312" w:before="0" w:after="160"/>
        <w:jc w:val="both"/>
        <w:rPr>
          <w:rFonts w:ascii="Lato;sans-serif" w:hAnsi="Lato;sans-serif"/>
          <w:b w:val="false"/>
          <w:color w:val="000000"/>
          <w:sz w:val="18"/>
        </w:rPr>
      </w:pPr>
      <w:r>
        <w:rPr>
          <w:rFonts w:ascii="Lato;sans-serif" w:hAnsi="Lato;sans-serif"/>
          <w:b w:val="false"/>
          <w:color w:val="000000"/>
          <w:sz w:val="18"/>
        </w:rPr>
        <w:t>The Audit Committee has reviewed and discussed the audited financial statements for the fiscal year ended December 31, 2024 with our management. The Audit Committee has also reviewed and discussed with Grant Thornton LLP, our independent registered public accounting firm, the matters required to be discussed by Auditing Standard No. 1301, Communications with Audit Committees, as adopted by the Public Company Accounting Oversight Board (“PCAOB”). The Audit Committee has also received the written disclosures and the letter from Grant Thornton LLP required by applicable requirements of the PCAOB regarding the independent accountants’ communications with the Audit Committee concerning independence, and has discussed with Grant Thornton LLP the accounting firm’s independence.</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Based on the foregoing, the Audit Committee has recommended to our Board that the audited financial statements be included in our Annual Report on Form 10-K for the fiscal year ended December 31, 2024 and filed with the SEC.</w:t>
      </w:r>
    </w:p>
    <w:p>
      <w:pPr>
        <w:pStyle w:val="TextBody"/>
        <w:bidi w:val="0"/>
        <w:spacing w:lineRule="auto" w:line="333" w:before="0" w:after="80"/>
        <w:jc w:val="both"/>
        <w:rPr>
          <w:rFonts w:ascii="Lato;sans-serif" w:hAnsi="Lato;sans-serif"/>
          <w:b w:val="false"/>
          <w:color w:val="005CB9"/>
          <w:sz w:val="20"/>
        </w:rPr>
      </w:pPr>
      <w:r>
        <w:rPr>
          <w:rFonts w:ascii="Lato;sans-serif" w:hAnsi="Lato;sans-serif"/>
          <w:b w:val="false"/>
          <w:color w:val="005CB9"/>
          <w:sz w:val="20"/>
        </w:rPr>
        <w:t>Members of the Audit Committee</w:t>
      </w:r>
    </w:p>
    <w:p>
      <w:pPr>
        <w:pStyle w:val="TextBody"/>
        <w:bidi w:val="0"/>
        <w:spacing w:lineRule="auto" w:line="312" w:before="40" w:after="40"/>
        <w:jc w:val="both"/>
        <w:rPr>
          <w:rFonts w:ascii="Lato;sans-serif" w:hAnsi="Lato;sans-serif"/>
          <w:b w:val="false"/>
          <w:color w:val="000000"/>
          <w:sz w:val="18"/>
        </w:rPr>
      </w:pPr>
      <w:r>
        <w:rPr>
          <w:rFonts w:ascii="Lato;sans-serif" w:hAnsi="Lato;sans-serif"/>
          <w:b w:val="false"/>
          <w:color w:val="000000"/>
          <w:sz w:val="18"/>
        </w:rPr>
        <w:t>Robert L. Masson (Chair)</w:t>
      </w:r>
    </w:p>
    <w:p>
      <w:pPr>
        <w:pStyle w:val="TextBody"/>
        <w:bidi w:val="0"/>
        <w:spacing w:lineRule="auto" w:line="312" w:before="40" w:after="40"/>
        <w:jc w:val="both"/>
        <w:rPr>
          <w:rFonts w:ascii="Lato;sans-serif" w:hAnsi="Lato;sans-serif"/>
          <w:b w:val="false"/>
          <w:color w:val="000000"/>
          <w:sz w:val="18"/>
        </w:rPr>
      </w:pPr>
      <w:r>
        <w:rPr>
          <w:rFonts w:ascii="Lato;sans-serif" w:hAnsi="Lato;sans-serif"/>
          <w:b w:val="false"/>
          <w:color w:val="000000"/>
          <w:sz w:val="18"/>
        </w:rPr>
        <w:t>Michael Blitzer</w:t>
      </w:r>
    </w:p>
    <w:p>
      <w:pPr>
        <w:pStyle w:val="TextBody"/>
        <w:bidi w:val="0"/>
        <w:spacing w:lineRule="auto" w:line="312" w:before="40" w:after="160"/>
        <w:jc w:val="both"/>
        <w:rPr>
          <w:rFonts w:ascii="Lato;sans-serif" w:hAnsi="Lato;sans-serif"/>
          <w:b w:val="false"/>
          <w:color w:val="000000"/>
          <w:sz w:val="18"/>
        </w:rPr>
      </w:pPr>
      <w:r>
        <w:rPr>
          <w:rFonts w:ascii="Lato;sans-serif" w:hAnsi="Lato;sans-serif"/>
          <w:b w:val="false"/>
          <w:color w:val="000000"/>
          <w:sz w:val="18"/>
        </w:rPr>
        <w:t>William J. Liquori</w:t>
      </w:r>
    </w:p>
    <w:p>
      <w:pPr>
        <w:pStyle w:val="TextBody"/>
        <w:bidi w:val="0"/>
        <w:spacing w:lineRule="auto" w:line="312" w:before="160" w:after="160"/>
        <w:jc w:val="both"/>
        <w:rPr>
          <w:rFonts w:ascii="Lato;sans-serif" w:hAnsi="Lato;sans-serif"/>
          <w:b w:val="false"/>
          <w:i/>
          <w:color w:val="000000"/>
          <w:sz w:val="18"/>
        </w:rPr>
      </w:pPr>
      <w:r>
        <w:rPr>
          <w:rFonts w:ascii="Lato;sans-serif" w:hAnsi="Lato;sans-serif"/>
          <w:b w:val="false"/>
          <w:i/>
          <w:color w:val="000000"/>
          <w:sz w:val="18"/>
        </w:rPr>
        <w:t>The material in this report is not “soliciting material,” is not deemed “filed” with the SEC and is not to be incorporated by reference in any filing of Intuitive Machines, Inc. under the Securities Act of 1933, as amended, or the Exchange Act, whether made before or after the date hereof and irrespective of any general incorporation language in any such filing.</w:t>
      </w:r>
    </w:p>
    <w:p>
      <w:pPr>
        <w:pStyle w:val="TextBody"/>
        <w:bidi w:val="0"/>
        <w:spacing w:before="160" w:after="160"/>
        <w:jc w:val="left"/>
        <w:rPr/>
      </w:pPr>
      <w:r>
        <w:rPr/>
      </w:r>
    </w:p>
    <w:p>
      <w:pPr>
        <w:pStyle w:val="TextBody"/>
        <w:bidi w:val="0"/>
        <w:spacing w:before="16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40410"/>
                <wp:effectExtent l="0" t="0" r="0" b="0"/>
                <wp:wrapNone/>
                <wp:docPr id="40" name="Frame3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0" w:after="0"/>
        <w:jc w:val="left"/>
        <w:rPr>
          <w:rFonts w:ascii="Lato Black;sans-serif" w:hAnsi="Lato Black;sans-serif"/>
          <w:b w:val="false"/>
          <w:color w:val="005CB9"/>
          <w:sz w:val="32"/>
        </w:rPr>
      </w:pPr>
      <w:r>
        <w:rPr>
          <w:rFonts w:ascii="Lato Black;sans-serif" w:hAnsi="Lato Black;sans-serif"/>
          <w:b w:val="false"/>
          <w:color w:val="005CB9"/>
          <w:sz w:val="32"/>
        </w:rPr>
        <w:t>Questions and Answers</w:t>
      </w:r>
    </w:p>
    <w:p>
      <w:pPr>
        <w:pStyle w:val="TextBody"/>
        <w:bidi w:val="0"/>
        <w:spacing w:lineRule="auto" w:line="312" w:before="160" w:after="40"/>
        <w:jc w:val="left"/>
        <w:rPr>
          <w:rFonts w:ascii="Lato;sans-serif" w:hAnsi="Lato;sans-serif"/>
          <w:b/>
          <w:color w:val="005CB9"/>
          <w:sz w:val="20"/>
        </w:rPr>
      </w:pPr>
      <w:r>
        <w:rPr>
          <w:rFonts w:ascii="Lato;sans-serif" w:hAnsi="Lato;sans-serif"/>
          <w:b/>
          <w:color w:val="005CB9"/>
          <w:sz w:val="20"/>
        </w:rPr>
        <w:t>Why am I receiving these materials?</w:t>
      </w:r>
    </w:p>
    <w:p>
      <w:pPr>
        <w:pStyle w:val="TextBody"/>
        <w:bidi w:val="0"/>
        <w:spacing w:lineRule="auto" w:line="312" w:before="80" w:after="160"/>
        <w:jc w:val="both"/>
        <w:rPr/>
      </w:pPr>
      <w:r>
        <w:rPr>
          <w:rFonts w:ascii="Lato;sans-serif" w:hAnsi="Lato;sans-serif"/>
          <w:b w:val="false"/>
          <w:color w:val="000000"/>
          <w:sz w:val="18"/>
        </w:rPr>
        <w:t xml:space="preserve">The Board of Directors of Intuitive Machines, Inc. is making these proxy materials available to you on the Internet or, upon your request, </w:t>
      </w:r>
      <w:r>
        <w:rPr>
          <w:rFonts w:ascii="Lato;sans-serif" w:hAnsi="Lato;sans-serif"/>
          <w:b w:val="false"/>
          <w:color w:val="000000"/>
          <w:sz w:val="18"/>
          <w:shd w:fill="FFFFFF" w:val="clear"/>
        </w:rPr>
        <w:t xml:space="preserve">by delivering printed versions of these materials to you by mail, in connection with the solicitation of proxies for use at our </w:t>
      </w:r>
      <w:r>
        <w:rPr>
          <w:rFonts w:ascii="Lato;sans-serif" w:hAnsi="Lato;sans-serif"/>
          <w:b w:val="false"/>
          <w:color w:val="000000"/>
          <w:sz w:val="18"/>
        </w:rPr>
        <w:t>2025</w:t>
      </w:r>
      <w:r>
        <w:rPr>
          <w:color w:val="000000"/>
          <w:shd w:fill="FFFFFF" w:val="clear"/>
        </w:rPr>
        <w:t xml:space="preserve"> </w:t>
      </w:r>
      <w:r>
        <w:rPr>
          <w:rFonts w:ascii="Lato;sans-serif" w:hAnsi="Lato;sans-serif"/>
          <w:b w:val="false"/>
          <w:color w:val="000000"/>
          <w:sz w:val="18"/>
          <w:shd w:fill="FFFFFF" w:val="clear"/>
        </w:rPr>
        <w:t>Annual Meeting of Stockholders (the "Annual Meeting"), or at any adjournment or postponement of the Annual Meeting. The Annual Meeting will occur on June 5, 2025 at 9:00 a.m. Central Time via live webcast on the internet at www.virtualshareholdermeeting.com/LUNR2025.</w:t>
      </w:r>
    </w:p>
    <w:p>
      <w:pPr>
        <w:pStyle w:val="TextBody"/>
        <w:bidi w:val="0"/>
        <w:spacing w:lineRule="auto" w:line="312" w:before="240" w:after="40"/>
        <w:jc w:val="left"/>
        <w:rPr>
          <w:rFonts w:ascii="Lato;sans-serif" w:hAnsi="Lato;sans-serif"/>
          <w:b/>
          <w:color w:val="005CB9"/>
          <w:sz w:val="20"/>
          <w:shd w:fill="FFFFFF" w:val="clear"/>
        </w:rPr>
      </w:pPr>
      <w:r>
        <w:rPr>
          <w:rFonts w:ascii="Lato;sans-serif" w:hAnsi="Lato;sans-serif"/>
          <w:b/>
          <w:color w:val="005CB9"/>
          <w:sz w:val="20"/>
          <w:shd w:fill="FFFFFF" w:val="clear"/>
        </w:rPr>
        <w:t>What is included in these materials?</w:t>
      </w:r>
    </w:p>
    <w:p>
      <w:pPr>
        <w:pStyle w:val="TextBody"/>
        <w:bidi w:val="0"/>
        <w:spacing w:lineRule="auto" w:line="312" w:before="80" w:after="160"/>
        <w:jc w:val="both"/>
        <w:rPr>
          <w:rFonts w:ascii="Lato;sans-serif" w:hAnsi="Lato;sans-serif"/>
          <w:b w:val="false"/>
          <w:color w:val="000000"/>
          <w:sz w:val="18"/>
        </w:rPr>
      </w:pPr>
      <w:r>
        <w:rPr>
          <w:rFonts w:ascii="Lato;sans-serif" w:hAnsi="Lato;sans-serif"/>
          <w:b w:val="false"/>
          <w:color w:val="000000"/>
          <w:sz w:val="18"/>
        </w:rPr>
        <w:t>These materials include this Proxy Statement for the Annual Meeting and our 2024 Annual Report, which includes our 2024 Form 10-K . We are first making these materials available to you on the Internet on or about April 22, 2025.</w:t>
      </w:r>
    </w:p>
    <w:p>
      <w:pPr>
        <w:pStyle w:val="TextBody"/>
        <w:bidi w:val="0"/>
        <w:spacing w:lineRule="auto" w:line="312" w:before="240" w:after="40"/>
        <w:jc w:val="left"/>
        <w:rPr>
          <w:rFonts w:ascii="Lato;sans-serif" w:hAnsi="Lato;sans-serif"/>
          <w:b/>
          <w:color w:val="005CB9"/>
          <w:sz w:val="20"/>
        </w:rPr>
      </w:pPr>
      <w:r>
        <w:rPr>
          <w:rFonts w:ascii="Lato;sans-serif" w:hAnsi="Lato;sans-serif"/>
          <w:b/>
          <w:color w:val="005CB9"/>
          <w:sz w:val="20"/>
        </w:rPr>
        <w:t>What is the purpose of the Annual Meeting?</w:t>
      </w:r>
    </w:p>
    <w:p>
      <w:pPr>
        <w:pStyle w:val="TextBody"/>
        <w:bidi w:val="0"/>
        <w:spacing w:lineRule="auto" w:line="312" w:before="80" w:after="160"/>
        <w:jc w:val="left"/>
        <w:rPr>
          <w:rFonts w:ascii="Lato;sans-serif" w:hAnsi="Lato;sans-serif"/>
          <w:b w:val="false"/>
          <w:color w:val="000000"/>
          <w:sz w:val="18"/>
        </w:rPr>
      </w:pPr>
      <w:r>
        <w:rPr>
          <w:rFonts w:ascii="Lato;sans-serif" w:hAnsi="Lato;sans-serif"/>
          <w:b w:val="false"/>
          <w:color w:val="000000"/>
          <w:sz w:val="18"/>
        </w:rPr>
        <w:t>For stockholders to vote on the following proposals:</w:t>
      </w:r>
    </w:p>
    <w:p>
      <w:pPr>
        <w:pStyle w:val="TextBody"/>
        <w:bidi w:val="0"/>
        <w:spacing w:lineRule="auto" w:line="312" w:before="80" w:after="80"/>
        <w:ind w:left="0" w:right="0" w:hanging="288"/>
        <w:jc w:val="both"/>
        <w:rPr/>
      </w:pPr>
      <w:r>
        <w:rPr>
          <w:rFonts w:ascii="Lato;sans-serif" w:hAnsi="Lato;sans-serif"/>
          <w:b w:val="false"/>
          <w:color w:val="005CB9"/>
          <w:sz w:val="18"/>
        </w:rPr>
        <w:t>1.</w:t>
      </w:r>
      <w:r>
        <w:rPr>
          <w:rFonts w:ascii="Lato;sans-serif" w:hAnsi="Lato;sans-serif"/>
          <w:b w:val="false"/>
          <w:color w:val="000000"/>
          <w:sz w:val="18"/>
        </w:rPr>
        <w:t>Elect two directors to the Company's Board of Directors for a term until 2028 Annual Meeting;</w:t>
      </w:r>
    </w:p>
    <w:p>
      <w:pPr>
        <w:pStyle w:val="TextBody"/>
        <w:bidi w:val="0"/>
        <w:spacing w:lineRule="auto" w:line="312" w:before="80" w:after="80"/>
        <w:ind w:left="0" w:right="0" w:hanging="288"/>
        <w:jc w:val="both"/>
        <w:rPr/>
      </w:pPr>
      <w:r>
        <w:rPr>
          <w:rFonts w:ascii="Lato;sans-serif" w:hAnsi="Lato;sans-serif"/>
          <w:b w:val="false"/>
          <w:color w:val="005CB9"/>
          <w:sz w:val="18"/>
        </w:rPr>
        <w:t>2.</w:t>
      </w:r>
      <w:r>
        <w:rPr>
          <w:rFonts w:ascii="Lato;sans-serif" w:hAnsi="Lato;sans-serif"/>
          <w:b w:val="false"/>
          <w:color w:val="000000"/>
          <w:sz w:val="18"/>
        </w:rPr>
        <w:t>Ratify the appointment of Grant Thornton LLP as our independent registered public accounting firm for the fiscal year ending December 31, 2025; and</w:t>
      </w:r>
    </w:p>
    <w:p>
      <w:pPr>
        <w:pStyle w:val="TextBody"/>
        <w:bidi w:val="0"/>
        <w:spacing w:lineRule="auto" w:line="312" w:before="80" w:after="80"/>
        <w:ind w:left="0" w:right="0" w:hanging="288"/>
        <w:jc w:val="both"/>
        <w:rPr/>
      </w:pPr>
      <w:r>
        <w:rPr>
          <w:rFonts w:ascii="Lato;sans-serif" w:hAnsi="Lato;sans-serif"/>
          <w:b w:val="false"/>
          <w:color w:val="005CB9"/>
          <w:sz w:val="18"/>
        </w:rPr>
        <w:t>3.</w:t>
      </w:r>
      <w:r>
        <w:rPr>
          <w:rFonts w:ascii="Lato;sans-serif" w:hAnsi="Lato;sans-serif"/>
          <w:b w:val="false"/>
          <w:color w:val="000000"/>
          <w:sz w:val="18"/>
        </w:rPr>
        <w:t>Transact any other business as may properly come before the meeting or any adjournment or postponement thereof.</w:t>
      </w:r>
    </w:p>
    <w:p>
      <w:pPr>
        <w:pStyle w:val="TextBody"/>
        <w:bidi w:val="0"/>
        <w:spacing w:lineRule="auto" w:line="312" w:before="240" w:after="80"/>
        <w:jc w:val="left"/>
        <w:rPr>
          <w:rFonts w:ascii="Lato;sans-serif" w:hAnsi="Lato;sans-serif"/>
          <w:b/>
          <w:color w:val="005CB9"/>
          <w:sz w:val="20"/>
        </w:rPr>
      </w:pPr>
      <w:r>
        <w:rPr>
          <w:rFonts w:ascii="Lato;sans-serif" w:hAnsi="Lato;sans-serif"/>
          <w:b/>
          <w:color w:val="005CB9"/>
          <w:sz w:val="20"/>
        </w:rPr>
        <w:t>How does the Board of Directors recommend I vote on these proposals?</w:t>
      </w:r>
    </w:p>
    <w:p>
      <w:pPr>
        <w:pStyle w:val="TextBody"/>
        <w:bidi w:val="0"/>
        <w:spacing w:lineRule="auto" w:line="312" w:before="80" w:after="160"/>
        <w:jc w:val="left"/>
        <w:rPr>
          <w:rFonts w:ascii="Lato;sans-serif" w:hAnsi="Lato;sans-serif"/>
          <w:b w:val="false"/>
          <w:color w:val="000000"/>
          <w:sz w:val="18"/>
        </w:rPr>
      </w:pPr>
      <w:r>
        <w:rPr>
          <w:rFonts w:ascii="Lato;sans-serif" w:hAnsi="Lato;sans-serif"/>
          <w:b w:val="false"/>
          <w:color w:val="000000"/>
          <w:sz w:val="18"/>
        </w:rPr>
        <w:t>The Board recommends that you vote:</w:t>
      </w:r>
    </w:p>
    <w:p>
      <w:pPr>
        <w:pStyle w:val="TextBody"/>
        <w:bidi w:val="0"/>
        <w:spacing w:lineRule="auto" w:line="312" w:before="80" w:after="120"/>
        <w:ind w:left="0" w:right="0" w:hanging="270"/>
        <w:jc w:val="left"/>
        <w:rPr/>
      </w:pPr>
      <w:r>
        <w:rPr>
          <w:color w:val="005CB9"/>
        </w:rPr>
        <w:t>•</w:t>
      </w:r>
      <w:r>
        <w:rPr>
          <w:rFonts w:ascii="Lato;sans-serif" w:hAnsi="Lato;sans-serif"/>
          <w:b w:val="false"/>
          <w:color w:val="000000"/>
          <w:sz w:val="18"/>
        </w:rPr>
        <w:t>"FOR" the election of the Class II directors;</w:t>
      </w:r>
    </w:p>
    <w:p>
      <w:pPr>
        <w:pStyle w:val="TextBody"/>
        <w:bidi w:val="0"/>
        <w:spacing w:lineRule="auto" w:line="312" w:before="80" w:after="240"/>
        <w:ind w:left="0" w:right="0" w:hanging="270"/>
        <w:jc w:val="left"/>
        <w:rPr/>
      </w:pPr>
      <w:r>
        <w:rPr>
          <w:color w:val="005CB9"/>
        </w:rPr>
        <w:t>•</w:t>
      </w:r>
      <w:r>
        <w:rPr>
          <w:rFonts w:ascii="Lato;sans-serif" w:hAnsi="Lato;sans-serif"/>
          <w:b w:val="false"/>
          <w:color w:val="000000"/>
          <w:sz w:val="18"/>
        </w:rPr>
        <w:t>"FOR" the ratification of the appointment of Grant Thornton as our independent registered public accounting firm for the fiscal year ending December 31, 2025 .</w:t>
      </w:r>
    </w:p>
    <w:p>
      <w:pPr>
        <w:pStyle w:val="TextBody"/>
        <w:bidi w:val="0"/>
        <w:spacing w:lineRule="auto" w:line="312" w:before="240" w:after="40"/>
        <w:jc w:val="left"/>
        <w:rPr>
          <w:rFonts w:ascii="Lato;sans-serif" w:hAnsi="Lato;sans-serif"/>
          <w:b/>
          <w:color w:val="005CB9"/>
          <w:sz w:val="20"/>
        </w:rPr>
      </w:pPr>
      <w:r>
        <w:rPr>
          <w:rFonts w:ascii="Lato;sans-serif" w:hAnsi="Lato;sans-serif"/>
          <w:b/>
          <w:color w:val="005CB9"/>
          <w:sz w:val="20"/>
        </w:rPr>
        <w:t>Who is entitled to vote at the Annual Meeting?</w:t>
      </w:r>
    </w:p>
    <w:p>
      <w:pPr>
        <w:pStyle w:val="TextBody"/>
        <w:bidi w:val="0"/>
        <w:spacing w:lineRule="auto" w:line="312" w:before="80" w:after="160"/>
        <w:jc w:val="both"/>
        <w:rPr>
          <w:rFonts w:ascii="Lato;sans-serif" w:hAnsi="Lato;sans-serif"/>
          <w:b w:val="false"/>
          <w:color w:val="000000"/>
          <w:sz w:val="18"/>
        </w:rPr>
      </w:pPr>
      <w:r>
        <w:rPr>
          <w:rFonts w:ascii="Lato;sans-serif" w:hAnsi="Lato;sans-serif"/>
          <w:b w:val="false"/>
          <w:color w:val="000000"/>
          <w:sz w:val="18"/>
        </w:rPr>
        <w:t>Holders of our common stock and preferred stock as of the close of business on April 8, 2025 , the record date, may vote at the Annual Meeting. As of the record date, there were 117,138,248 shares of our Class A common stock, 61,301,804 shares of our Class C common stock and 5,000 shares of preferred stock outstanding. Each share of Class A common stock is entitled to one vote, each share of Class C common stock is entitled to three votes and each share of preferred stock is allowed one vote on an as converted Class A common stock basis. Holders of our Class A common stock and Class C common stock (including holders of preferred stock on an as converted basis) will vote as a single class on all matters described in this proxy statement.</w:t>
      </w:r>
    </w:p>
    <w:p>
      <w:pPr>
        <w:pStyle w:val="TextBody"/>
        <w:bidi w:val="0"/>
        <w:spacing w:lineRule="auto" w:line="312" w:before="240" w:after="40"/>
        <w:jc w:val="left"/>
        <w:rPr>
          <w:rFonts w:ascii="Lato;sans-serif" w:hAnsi="Lato;sans-serif"/>
          <w:b/>
          <w:color w:val="005CB9"/>
          <w:sz w:val="20"/>
        </w:rPr>
      </w:pPr>
      <w:r>
        <w:rPr>
          <w:rFonts w:ascii="Lato;sans-serif" w:hAnsi="Lato;sans-serif"/>
          <w:b/>
          <w:color w:val="005CB9"/>
          <w:sz w:val="20"/>
        </w:rPr>
        <w:t>What is the difference between holding shares as a stockholder of record and as a beneficial owner?</w:t>
      </w:r>
    </w:p>
    <w:p>
      <w:pPr>
        <w:pStyle w:val="TextBody"/>
        <w:bidi w:val="0"/>
        <w:spacing w:lineRule="auto" w:line="312" w:before="80" w:after="160"/>
        <w:jc w:val="both"/>
        <w:rPr>
          <w:rFonts w:ascii="Lato;sans-serif" w:hAnsi="Lato;sans-serif"/>
          <w:b w:val="false"/>
          <w:color w:val="000000"/>
          <w:sz w:val="18"/>
        </w:rPr>
      </w:pPr>
      <w:r>
        <w:rPr>
          <w:rFonts w:ascii="Lato;sans-serif" w:hAnsi="Lato;sans-serif"/>
          <w:b w:val="false"/>
          <w:color w:val="000000"/>
          <w:sz w:val="18"/>
        </w:rPr>
        <w:t>If your shares are registered directly in your name with our transfer agent, Continental Stock Transfer and Trust Company., you are considered the stockholder of record with respect to those shares, and the Notice of Internet Availability of Proxy Materials was sent directly to you by us. As a stockholder of record, you may vote your shares virtually at the Annual Meeting or by proxy as described below.</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If your shares are held in a stock brokerage account or by a bank or other nominee, you are considered the "beneficial owner" of shares held in street name. The Notice and, upon your request, the proxy materials were forwarded to you by your broker, bank or other nominee who is considered, with respect to those shares, the stockholder of record. As the beneficial owner, you have the right to direct your bank, broker or other nominee on how to vote your shares by following their instructions for voting.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40410"/>
                <wp:effectExtent l="0" t="0" r="0" b="0"/>
                <wp:wrapNone/>
                <wp:docPr id="41" name="Frame3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34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Questions and Answers</w:t>
      </w:r>
    </w:p>
    <w:p>
      <w:pPr>
        <w:pStyle w:val="TextBody"/>
        <w:bidi w:val="0"/>
        <w:spacing w:lineRule="auto" w:line="312" w:before="240" w:after="40"/>
        <w:jc w:val="both"/>
        <w:rPr>
          <w:rFonts w:ascii="Lato;sans-serif" w:hAnsi="Lato;sans-serif"/>
          <w:b/>
          <w:color w:val="005CB9"/>
          <w:sz w:val="20"/>
        </w:rPr>
      </w:pPr>
      <w:bookmarkStart w:id="0" w:name="iedc7890289cc447fa98e2e102b35cda2_19920"/>
      <w:bookmarkEnd w:id="0"/>
      <w:r>
        <w:rPr>
          <w:rFonts w:ascii="Lato;sans-serif" w:hAnsi="Lato;sans-serif"/>
          <w:b/>
          <w:color w:val="005CB9"/>
          <w:sz w:val="20"/>
        </w:rPr>
        <w:t>How can I vote my shares?</w:t>
      </w:r>
    </w:p>
    <w:p>
      <w:pPr>
        <w:pStyle w:val="TextBody"/>
        <w:bidi w:val="0"/>
        <w:spacing w:lineRule="auto" w:line="312" w:before="80" w:after="160"/>
        <w:jc w:val="left"/>
        <w:rPr>
          <w:rFonts w:ascii="Lato;sans-serif" w:hAnsi="Lato;sans-serif"/>
          <w:b w:val="false"/>
          <w:color w:val="000000"/>
          <w:sz w:val="18"/>
        </w:rPr>
      </w:pPr>
      <w:r>
        <w:rPr>
          <w:rFonts w:ascii="Lato;sans-serif" w:hAnsi="Lato;sans-serif"/>
          <w:b w:val="false"/>
          <w:color w:val="000000"/>
          <w:sz w:val="18"/>
        </w:rPr>
        <w:t>If you are a stockholder of record, you may vote:</w:t>
      </w:r>
    </w:p>
    <w:p>
      <w:pPr>
        <w:pStyle w:val="TextBody"/>
        <w:bidi w:val="0"/>
        <w:spacing w:lineRule="auto" w:line="312" w:before="80" w:after="80"/>
        <w:ind w:left="0" w:right="0" w:hanging="270"/>
        <w:jc w:val="left"/>
        <w:rPr/>
      </w:pPr>
      <w:r>
        <w:rPr>
          <w:color w:val="005CB9"/>
        </w:rPr>
        <w:t>•</w:t>
      </w:r>
      <w:r>
        <w:rPr>
          <w:rFonts w:ascii="Lato;sans-serif" w:hAnsi="Lato;sans-serif"/>
          <w:b w:val="false"/>
          <w:i/>
          <w:color w:val="000000"/>
          <w:sz w:val="18"/>
        </w:rPr>
        <w:t>Via the Internet.</w:t>
      </w:r>
      <w:r>
        <w:rPr>
          <w:color w:val="000000"/>
        </w:rPr>
        <w:t xml:space="preserve"> </w:t>
      </w:r>
      <w:r>
        <w:rPr>
          <w:rFonts w:ascii="Lato;sans-serif" w:hAnsi="Lato;sans-serif"/>
          <w:b w:val="false"/>
          <w:color w:val="000000"/>
          <w:sz w:val="18"/>
        </w:rPr>
        <w:t>You may vote by proxy via the Internet by following the instructions found on the proxy card.</w:t>
      </w:r>
    </w:p>
    <w:p>
      <w:pPr>
        <w:pStyle w:val="TextBody"/>
        <w:bidi w:val="0"/>
        <w:spacing w:lineRule="auto" w:line="312" w:before="80" w:after="80"/>
        <w:ind w:left="0" w:right="0" w:hanging="270"/>
        <w:jc w:val="left"/>
        <w:rPr/>
      </w:pPr>
      <w:r>
        <w:rPr>
          <w:color w:val="005CB9"/>
        </w:rPr>
        <w:t>•</w:t>
      </w:r>
      <w:r>
        <w:rPr>
          <w:rFonts w:ascii="Lato;sans-serif" w:hAnsi="Lato;sans-serif"/>
          <w:b w:val="false"/>
          <w:i/>
          <w:color w:val="000000"/>
          <w:sz w:val="18"/>
        </w:rPr>
        <w:t>By Telephone.</w:t>
      </w:r>
      <w:r>
        <w:rPr>
          <w:color w:val="000000"/>
        </w:rPr>
        <w:t xml:space="preserve"> </w:t>
      </w:r>
      <w:r>
        <w:rPr>
          <w:rFonts w:ascii="Lato;sans-serif" w:hAnsi="Lato;sans-serif"/>
          <w:b w:val="false"/>
          <w:color w:val="000000"/>
          <w:sz w:val="18"/>
        </w:rPr>
        <w:t>You may vote by proxy by calling the toll-free number found on the proxy card.</w:t>
      </w:r>
    </w:p>
    <w:p>
      <w:pPr>
        <w:pStyle w:val="TextBody"/>
        <w:bidi w:val="0"/>
        <w:spacing w:lineRule="auto" w:line="312" w:before="80" w:after="80"/>
        <w:ind w:left="0" w:right="0" w:hanging="270"/>
        <w:jc w:val="left"/>
        <w:rPr/>
      </w:pPr>
      <w:r>
        <w:rPr>
          <w:color w:val="005CB9"/>
        </w:rPr>
        <w:t>•</w:t>
      </w:r>
      <w:r>
        <w:rPr>
          <w:rFonts w:ascii="Lato;sans-serif" w:hAnsi="Lato;sans-serif"/>
          <w:b w:val="false"/>
          <w:i/>
          <w:color w:val="000000"/>
          <w:sz w:val="18"/>
        </w:rPr>
        <w:t>By Mail.</w:t>
      </w:r>
      <w:r>
        <w:rPr>
          <w:color w:val="000000"/>
        </w:rPr>
        <w:t xml:space="preserve"> </w:t>
      </w:r>
      <w:r>
        <w:rPr>
          <w:rFonts w:ascii="Lato;sans-serif" w:hAnsi="Lato;sans-serif"/>
          <w:b w:val="false"/>
          <w:color w:val="000000"/>
          <w:sz w:val="18"/>
        </w:rPr>
        <w:t>You may vote by proxy by filling out the proxy card and returning it in the envelope provided.</w:t>
      </w:r>
    </w:p>
    <w:p>
      <w:pPr>
        <w:pStyle w:val="TextBody"/>
        <w:bidi w:val="0"/>
        <w:spacing w:lineRule="auto" w:line="312" w:before="80" w:after="80"/>
        <w:ind w:left="0" w:right="0" w:hanging="270"/>
        <w:jc w:val="left"/>
        <w:rPr/>
      </w:pPr>
      <w:r>
        <w:rPr>
          <w:color w:val="005CB9"/>
        </w:rPr>
        <w:t>•</w:t>
      </w:r>
      <w:r>
        <w:rPr>
          <w:rFonts w:ascii="Lato;sans-serif" w:hAnsi="Lato;sans-serif"/>
          <w:b w:val="false"/>
          <w:color w:val="000000"/>
          <w:sz w:val="18"/>
        </w:rPr>
        <w:t>Virtually . You may vote virtually at the Annual Meeting.</w: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Internet and telephone voting will be available 24 hours a day and will close at 11:59 p.m. Eastern Time on June 4, 2025.</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If you are a beneficial owner of shares held in street name, you should have received from your bank, broker or other nominee instructions on how to vote or instruct the broker to vote your shares, which are generally contained in a "voting instruction form" sent by the broker, bank or other nominee. Please follow their instructions carefully. Beneficial owners generally may vote:</w:t>
      </w:r>
    </w:p>
    <w:p>
      <w:pPr>
        <w:pStyle w:val="TextBody"/>
        <w:bidi w:val="0"/>
        <w:spacing w:lineRule="auto" w:line="312" w:before="80" w:after="80"/>
        <w:ind w:left="0" w:right="0" w:hanging="270"/>
        <w:jc w:val="both"/>
        <w:rPr/>
      </w:pPr>
      <w:r>
        <w:rPr>
          <w:color w:val="005CB9"/>
        </w:rPr>
        <w:t>•</w:t>
      </w:r>
      <w:r>
        <w:rPr>
          <w:rFonts w:ascii="Lato;sans-serif" w:hAnsi="Lato;sans-serif"/>
          <w:b w:val="false"/>
          <w:i/>
          <w:color w:val="000000"/>
          <w:sz w:val="18"/>
        </w:rPr>
        <w:t>Via the Internet.</w:t>
      </w:r>
      <w:r>
        <w:rPr>
          <w:color w:val="000000"/>
        </w:rPr>
        <w:t xml:space="preserve"> </w:t>
      </w:r>
      <w:r>
        <w:rPr>
          <w:rFonts w:ascii="Lato;sans-serif" w:hAnsi="Lato;sans-serif"/>
          <w:b w:val="false"/>
          <w:color w:val="000000"/>
          <w:sz w:val="18"/>
        </w:rPr>
        <w:t>You may vote by proxy via the Internet by following the instructions on the voting instruction form provided to you by your broker, bank or other nominee.</w:t>
      </w:r>
    </w:p>
    <w:p>
      <w:pPr>
        <w:pStyle w:val="TextBody"/>
        <w:bidi w:val="0"/>
        <w:spacing w:lineRule="auto" w:line="312" w:before="80" w:after="80"/>
        <w:ind w:left="0" w:right="0" w:hanging="270"/>
        <w:jc w:val="both"/>
        <w:rPr/>
      </w:pPr>
      <w:r>
        <w:rPr>
          <w:color w:val="005CB9"/>
        </w:rPr>
        <w:t>•</w:t>
      </w:r>
      <w:r>
        <w:rPr>
          <w:rFonts w:ascii="Lato;sans-serif" w:hAnsi="Lato;sans-serif"/>
          <w:b w:val="false"/>
          <w:i/>
          <w:color w:val="000000"/>
          <w:sz w:val="18"/>
        </w:rPr>
        <w:t>By Telephone.</w:t>
      </w:r>
      <w:r>
        <w:rPr>
          <w:color w:val="000000"/>
        </w:rPr>
        <w:t xml:space="preserve"> </w:t>
      </w:r>
      <w:r>
        <w:rPr>
          <w:rFonts w:ascii="Lato;sans-serif" w:hAnsi="Lato;sans-serif"/>
          <w:b w:val="false"/>
          <w:color w:val="000000"/>
          <w:sz w:val="18"/>
        </w:rPr>
        <w:t>You may vote by proxy by calling the toll-free number found on the voting instruction form provided to you by your broker, bank or other nominee.</w:t>
      </w:r>
    </w:p>
    <w:p>
      <w:pPr>
        <w:pStyle w:val="TextBody"/>
        <w:bidi w:val="0"/>
        <w:spacing w:lineRule="auto" w:line="312" w:before="80" w:after="80"/>
        <w:ind w:left="0" w:right="0" w:hanging="270"/>
        <w:jc w:val="both"/>
        <w:rPr/>
      </w:pPr>
      <w:r>
        <w:rPr>
          <w:color w:val="005CB9"/>
        </w:rPr>
        <w:t>•</w:t>
      </w:r>
      <w:r>
        <w:rPr>
          <w:rFonts w:ascii="Lato;sans-serif" w:hAnsi="Lato;sans-serif"/>
          <w:b w:val="false"/>
          <w:i/>
          <w:color w:val="000000"/>
          <w:sz w:val="18"/>
        </w:rPr>
        <w:t>By Mail.</w:t>
      </w:r>
      <w:r>
        <w:rPr>
          <w:color w:val="000000"/>
        </w:rPr>
        <w:t xml:space="preserve"> </w:t>
      </w:r>
      <w:r>
        <w:rPr>
          <w:rFonts w:ascii="Lato;sans-serif" w:hAnsi="Lato;sans-serif"/>
          <w:b w:val="false"/>
          <w:color w:val="000000"/>
          <w:sz w:val="18"/>
        </w:rPr>
        <w:t xml:space="preserve">You may vote by proxy by filling out the voting instruction form and returning it in the envelope provided to you by your broker, bank or other nominee </w:t>
      </w:r>
      <w:r>
        <w:rPr>
          <w:rFonts w:ascii="Lato;sans-serif" w:hAnsi="Lato;sans-serif"/>
          <w:b w:val="false"/>
          <w:i/>
          <w:color w:val="000000"/>
          <w:sz w:val="18"/>
        </w:rPr>
        <w:t>.</w:t>
      </w:r>
      <w:r>
        <w:rPr>
          <w:color w:val="000000"/>
        </w:rPr>
        <w:t xml:space="preserve"> </w:t>
      </w:r>
    </w:p>
    <w:p>
      <w:pPr>
        <w:pStyle w:val="TextBody"/>
        <w:bidi w:val="0"/>
        <w:spacing w:lineRule="auto" w:line="312" w:before="80" w:after="80"/>
        <w:ind w:left="0" w:right="0" w:hanging="270"/>
        <w:jc w:val="both"/>
        <w:rPr/>
      </w:pPr>
      <w:bookmarkStart w:id="1" w:name="iedc7890289cc447fa98e2e102b35cda2_19921"/>
      <w:bookmarkEnd w:id="1"/>
      <w:r>
        <w:rPr>
          <w:color w:val="005CB9"/>
        </w:rPr>
        <w:t>•</w:t>
      </w:r>
      <w:r>
        <w:rPr>
          <w:rFonts w:ascii="Lato;sans-serif" w:hAnsi="Lato;sans-serif"/>
          <w:b w:val="false"/>
          <w:i/>
          <w:color w:val="000000"/>
          <w:sz w:val="18"/>
        </w:rPr>
        <w:t>Virtually.</w:t>
      </w:r>
      <w:r>
        <w:rPr>
          <w:color w:val="000000"/>
        </w:rPr>
        <w:t xml:space="preserve"> </w:t>
      </w:r>
      <w:r>
        <w:rPr>
          <w:rFonts w:ascii="Lato;sans-serif" w:hAnsi="Lato;sans-serif"/>
          <w:b w:val="false"/>
          <w:color w:val="000000"/>
          <w:sz w:val="18"/>
        </w:rPr>
        <w:t>If you wish to vote virtually, you must obtain a legal proxy from the organization that holds your shares. Please contact that organization for instructions on how to obtain a legal proxy to you from your broker, bank or other nominee.</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If you received more than one Notice of Internet Availability of Proxy Materials or proxy card, then you hold shares of Intuitive Machines common stock in more than one account. You should vote via the Internet, by telephone, by mail or virtually for all shares held in each of your accounts.</w:t>
      </w:r>
    </w:p>
    <w:p>
      <w:pPr>
        <w:pStyle w:val="TextBody"/>
        <w:bidi w:val="0"/>
        <w:spacing w:lineRule="auto" w:line="312" w:before="240" w:after="40"/>
        <w:jc w:val="both"/>
        <w:rPr>
          <w:rFonts w:ascii="Lato;sans-serif" w:hAnsi="Lato;sans-serif"/>
          <w:b/>
          <w:color w:val="005CB9"/>
          <w:sz w:val="20"/>
        </w:rPr>
      </w:pPr>
      <w:r>
        <w:rPr>
          <w:rFonts w:ascii="Lato;sans-serif" w:hAnsi="Lato;sans-serif"/>
          <w:b/>
          <w:color w:val="005CB9"/>
          <w:sz w:val="20"/>
        </w:rPr>
        <w:t>If I submit a proxy, how will it be voted?</w:t>
      </w:r>
    </w:p>
    <w:p>
      <w:pPr>
        <w:pStyle w:val="TextBody"/>
        <w:bidi w:val="0"/>
        <w:spacing w:lineRule="auto" w:line="312" w:before="80" w:after="160"/>
        <w:jc w:val="both"/>
        <w:rPr>
          <w:rFonts w:ascii="Lato;sans-serif" w:hAnsi="Lato;sans-serif"/>
          <w:b w:val="false"/>
          <w:color w:val="000000"/>
          <w:sz w:val="18"/>
        </w:rPr>
      </w:pPr>
      <w:r>
        <w:rPr>
          <w:rFonts w:ascii="Lato;sans-serif" w:hAnsi="Lato;sans-serif"/>
          <w:b w:val="false"/>
          <w:color w:val="000000"/>
          <w:sz w:val="18"/>
        </w:rPr>
        <w:t>When proxies are properly signed, dated and returned, the shares represented by the proxies will be voted in accordance with the instructions of the stockholder. If no specific instructions are given, you give authority to Steve Altemus and Anna Jones to vote the shares in accordance with the recommendations of our Board as described above. If any director nominee is not able to serve, proxies will be voted in favor of the other nominee and may be voted for a substitute nominee, unless our Board chooses to reduce the number of directors serving on our Board. If any matters not described in this Proxy Statement are properly presented at the Annual Meeting, then the proxy holders will use their own judgment to determine how to vote the shares. If the Annual Meeting is adjourned, the proxy holders can vote your shares on the new meeting date as well, unless you have revoked your proxy.</w:t>
      </w:r>
    </w:p>
    <w:p>
      <w:pPr>
        <w:pStyle w:val="TextBody"/>
        <w:bidi w:val="0"/>
        <w:spacing w:lineRule="auto" w:line="312" w:before="240" w:after="40"/>
        <w:jc w:val="both"/>
        <w:rPr>
          <w:rFonts w:ascii="Lato;sans-serif" w:hAnsi="Lato;sans-serif"/>
          <w:b/>
          <w:color w:val="005CB9"/>
          <w:sz w:val="20"/>
        </w:rPr>
      </w:pPr>
      <w:r>
        <w:rPr>
          <w:rFonts w:ascii="Lato;sans-serif" w:hAnsi="Lato;sans-serif"/>
          <w:b/>
          <w:color w:val="005CB9"/>
          <w:sz w:val="20"/>
        </w:rPr>
        <w:t>Can I change my vote or revoke my proxy?</w:t>
      </w:r>
    </w:p>
    <w:p>
      <w:pPr>
        <w:pStyle w:val="TextBody"/>
        <w:bidi w:val="0"/>
        <w:spacing w:lineRule="auto" w:line="312" w:before="80" w:after="160"/>
        <w:jc w:val="both"/>
        <w:rPr>
          <w:rFonts w:ascii="Lato;sans-serif" w:hAnsi="Lato;sans-serif"/>
          <w:b w:val="false"/>
          <w:color w:val="000000"/>
          <w:sz w:val="18"/>
        </w:rPr>
      </w:pPr>
      <w:r>
        <w:rPr>
          <w:rFonts w:ascii="Lato;sans-serif" w:hAnsi="Lato;sans-serif"/>
          <w:b w:val="false"/>
          <w:color w:val="000000"/>
          <w:sz w:val="18"/>
        </w:rPr>
        <w:t>Yes. If you are a stockholder of record, you can change your vote or revoke your proxy before it is exercised by:</w:t>
      </w:r>
    </w:p>
    <w:p>
      <w:pPr>
        <w:pStyle w:val="TextBody"/>
        <w:bidi w:val="0"/>
        <w:spacing w:lineRule="auto" w:line="312" w:before="80" w:after="80"/>
        <w:ind w:left="0" w:right="0" w:hanging="270"/>
        <w:jc w:val="both"/>
        <w:rPr/>
      </w:pPr>
      <w:r>
        <w:rPr>
          <w:color w:val="005CB9"/>
        </w:rPr>
        <w:t>•</w:t>
      </w:r>
      <w:r>
        <w:rPr>
          <w:rFonts w:ascii="Lato;sans-serif" w:hAnsi="Lato;sans-serif"/>
          <w:b w:val="false"/>
          <w:color w:val="000000"/>
          <w:sz w:val="18"/>
        </w:rPr>
        <w:t>Written notice to our Corporate Secretary;</w:t>
      </w:r>
    </w:p>
    <w:p>
      <w:pPr>
        <w:pStyle w:val="TextBody"/>
        <w:bidi w:val="0"/>
        <w:spacing w:lineRule="auto" w:line="312" w:before="80" w:after="80"/>
        <w:ind w:left="0" w:right="0" w:hanging="270"/>
        <w:jc w:val="both"/>
        <w:rPr/>
      </w:pPr>
      <w:r>
        <w:rPr>
          <w:color w:val="005CB9"/>
        </w:rPr>
        <w:t>•</w:t>
      </w:r>
      <w:r>
        <w:rPr>
          <w:rFonts w:ascii="Lato;sans-serif" w:hAnsi="Lato;sans-serif"/>
          <w:b w:val="false"/>
          <w:color w:val="000000"/>
          <w:sz w:val="18"/>
        </w:rPr>
        <w:t>Timely delivery of a valid, later-dated proxy or a later-dated vote by telephone or on the Internet; or</w:t>
      </w:r>
    </w:p>
    <w:p>
      <w:pPr>
        <w:pStyle w:val="TextBody"/>
        <w:bidi w:val="0"/>
        <w:spacing w:lineRule="auto" w:line="312" w:before="80" w:after="80"/>
        <w:ind w:left="0" w:right="0" w:hanging="270"/>
        <w:jc w:val="both"/>
        <w:rPr/>
      </w:pPr>
      <w:r>
        <w:rPr>
          <w:color w:val="005CB9"/>
        </w:rPr>
        <w:t>•</w:t>
      </w:r>
      <w:r>
        <w:rPr>
          <w:rFonts w:ascii="Lato;sans-serif" w:hAnsi="Lato;sans-serif"/>
          <w:b w:val="false"/>
          <w:color w:val="000000"/>
          <w:sz w:val="18"/>
        </w:rPr>
        <w:t>Voting virtually at the Annual Meeting.</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If you are a beneficial owner of shares held in street name, you should follow the instructions of your bank, broker or other nominee to change or revoke your voting instructions. You may also vote virtually at the Annual Meeting if you obtain a legal proxy as described above.</w:t>
      </w:r>
    </w:p>
    <w:p>
      <w:pPr>
        <w:pStyle w:val="TextBody"/>
        <w:bidi w:val="0"/>
        <w:spacing w:lineRule="auto" w:line="312" w:before="240" w:after="160"/>
        <w:jc w:val="both"/>
        <w:rPr>
          <w:rFonts w:ascii="Lato;sans-serif" w:hAnsi="Lato;sans-serif"/>
          <w:b/>
          <w:color w:val="005CB9"/>
          <w:sz w:val="20"/>
        </w:rPr>
      </w:pPr>
      <w:r>
        <w:rPr>
          <w:rFonts w:ascii="Lato;sans-serif" w:hAnsi="Lato;sans-serif"/>
          <w:b/>
          <w:color w:val="005CB9"/>
          <w:sz w:val="20"/>
        </w:rPr>
        <w:t>Can I attend the Annual Meeting?</w:t>
      </w:r>
    </w:p>
    <w:p>
      <w:pPr>
        <w:pStyle w:val="TextBody"/>
        <w:bidi w:val="0"/>
        <w:spacing w:lineRule="auto" w:line="312" w:before="80" w:after="160"/>
        <w:jc w:val="both"/>
        <w:rPr/>
      </w:pPr>
      <w:r>
        <w:rPr>
          <w:rFonts w:ascii="Lato;sans-serif" w:hAnsi="Lato;sans-serif"/>
          <w:b w:val="false"/>
          <w:color w:val="000000"/>
          <w:sz w:val="18"/>
        </w:rPr>
        <w:t>This year’s Annual Meeting will be a virtual meeting, which will be conducted entirely online via audio webcast to allow greater participati</w:t>
      </w:r>
      <w:r>
        <w:rPr>
          <w:rFonts w:ascii="Lato;sans-serif" w:hAnsi="Lato;sans-serif"/>
          <w:b w:val="false"/>
          <w:color w:val="000000"/>
          <w:sz w:val="18"/>
          <w:shd w:fill="FFFFFF" w:val="clear"/>
        </w:rPr>
        <w:t xml:space="preserve">on. You will not be able to attend the Annual Meeting physically in person. You may attend, vote and ask questions at the Annual Meeting by following the instructions provided on the Notice to log in to </w:t>
      </w:r>
      <w:r>
        <w:rPr>
          <w:rFonts w:ascii="Lato;sans-serif" w:hAnsi="Lato;sans-serif"/>
          <w:b w:val="false"/>
          <w:color w:val="3051F2"/>
          <w:sz w:val="18"/>
          <w:u w:val="single"/>
          <w:shd w:fill="FFFFFF" w:val="clear"/>
        </w:rPr>
        <w:t>www.virtualshareholdermeeting.com/LUNR2025</w:t>
      </w:r>
      <w:r>
        <w:rPr>
          <w:rFonts w:ascii="Lato;sans-serif" w:hAnsi="Lato;sans-serif"/>
          <w:b w:val="false"/>
          <w:color w:val="000000"/>
          <w:sz w:val="18"/>
          <w:shd w:fill="FFFFFF" w:val="clear"/>
        </w:rPr>
        <w:t xml:space="preserve">. You are entitled to attend the Annual Meeting if you were a stockholder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40410"/>
                <wp:effectExtent l="0" t="0" r="0" b="0"/>
                <wp:wrapNone/>
                <wp:docPr id="42" name="Frame3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Questions and Answers</w:t>
      </w:r>
    </w:p>
    <w:p>
      <w:pPr>
        <w:pStyle w:val="TextBody"/>
        <w:bidi w:val="0"/>
        <w:spacing w:lineRule="auto" w:line="312" w:before="80" w:after="160"/>
        <w:jc w:val="both"/>
        <w:rPr/>
      </w:pPr>
      <w:r>
        <w:rPr>
          <w:rFonts w:ascii="Lato;sans-serif" w:hAnsi="Lato;sans-serif"/>
          <w:b w:val="false"/>
          <w:color w:val="000000"/>
          <w:sz w:val="18"/>
          <w:shd w:fill="FFFFFF" w:val="clear"/>
        </w:rPr>
        <w:t xml:space="preserve">of record as of </w:t>
      </w:r>
      <w:r>
        <w:rPr>
          <w:rFonts w:ascii="Lato;sans-serif" w:hAnsi="Lato;sans-serif"/>
          <w:b w:val="false"/>
          <w:color w:val="000000"/>
          <w:sz w:val="18"/>
        </w:rPr>
        <w:t>April 8, 2025</w:t>
      </w:r>
      <w:r>
        <w:rPr>
          <w:color w:val="000000"/>
          <w:shd w:fill="FFFFFF" w:val="clear"/>
        </w:rPr>
        <w:t xml:space="preserve"> </w:t>
      </w:r>
      <w:r>
        <w:rPr>
          <w:rFonts w:ascii="Lato;sans-serif" w:hAnsi="Lato;sans-serif"/>
          <w:b w:val="false"/>
          <w:color w:val="000000"/>
          <w:sz w:val="18"/>
          <w:shd w:fill="FFFFFF" w:val="clear"/>
        </w:rPr>
        <w:t xml:space="preserve">(the “Record Date”). Beginning at 8:45 a.m. Central Time on the day of the Annual Meeting, you will be able to check in using your control number from your Notice or if you received paper copies, your proxy card or voting instruction form. If you are a beneficial owner of shares registered in the name of your </w:t>
      </w:r>
      <w:r>
        <w:rPr>
          <w:rFonts w:ascii="Lato;sans-serif" w:hAnsi="Lato;sans-serif"/>
          <w:b w:val="false"/>
          <w:color w:val="000000"/>
          <w:sz w:val="18"/>
        </w:rPr>
        <w:t>broker, bank or other agent, follow the instructions from your broker or bank.</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The audio webcast of the Annual Meeting will begin promptly at 9:00 a.m. Central Time. We encourage you to access the meeting prior to the start time. Online check-in will begin at 8:45 a.m. Central Time, and you should allow reasonable time for the check-in procedures. Information on how to vote online during the Annual Meeting is discussed below.</w:t>
      </w:r>
    </w:p>
    <w:p>
      <w:pPr>
        <w:pStyle w:val="TextBody"/>
        <w:bidi w:val="0"/>
        <w:spacing w:lineRule="auto" w:line="312" w:before="240" w:after="40"/>
        <w:jc w:val="both"/>
        <w:rPr>
          <w:rFonts w:ascii="Lato;sans-serif" w:hAnsi="Lato;sans-serif"/>
          <w:b/>
          <w:color w:val="005CB9"/>
          <w:sz w:val="20"/>
        </w:rPr>
      </w:pPr>
      <w:r>
        <w:rPr>
          <w:rFonts w:ascii="Lato;sans-serif" w:hAnsi="Lato;sans-serif"/>
          <w:b/>
          <w:color w:val="005CB9"/>
          <w:sz w:val="20"/>
        </w:rPr>
        <w:t>What constitutes a quorum at the Annual Meeting?</w:t>
      </w:r>
    </w:p>
    <w:p>
      <w:pPr>
        <w:pStyle w:val="TextBody"/>
        <w:bidi w:val="0"/>
        <w:spacing w:lineRule="auto" w:line="312" w:before="80" w:after="160"/>
        <w:jc w:val="both"/>
        <w:rPr>
          <w:rFonts w:ascii="Lato;sans-serif" w:hAnsi="Lato;sans-serif"/>
          <w:b w:val="false"/>
          <w:color w:val="000000"/>
          <w:sz w:val="18"/>
        </w:rPr>
      </w:pPr>
      <w:r>
        <w:rPr>
          <w:rFonts w:ascii="Lato;sans-serif" w:hAnsi="Lato;sans-serif"/>
          <w:b w:val="false"/>
          <w:color w:val="000000"/>
          <w:sz w:val="18"/>
        </w:rPr>
        <w:t>The presence, virtually in person or by proxy, of the holders of a majority in voting power of the shares of our common stock issued and outstanding and entitled to vote at the Annual Meeting must be present or represented to conduct business at the Annual Meeting. You will be considered part of the quorum if you return a signed and dated proxy card, if you vote by telephone or Internet, or if you attend the Annual Meeting.</w:t>
      </w:r>
    </w:p>
    <w:p>
      <w:pPr>
        <w:pStyle w:val="TextBody"/>
        <w:bidi w:val="0"/>
        <w:spacing w:lineRule="auto" w:line="312" w:before="160" w:after="160"/>
        <w:jc w:val="both"/>
        <w:rPr>
          <w:rFonts w:ascii="Lato;sans-serif" w:hAnsi="Lato;sans-serif"/>
          <w:b w:val="false"/>
          <w:color w:val="000000"/>
          <w:sz w:val="18"/>
        </w:rPr>
      </w:pPr>
      <w:r>
        <w:rPr>
          <w:rFonts w:ascii="Lato;sans-serif" w:hAnsi="Lato;sans-serif"/>
          <w:b w:val="false"/>
          <w:color w:val="000000"/>
          <w:sz w:val="18"/>
        </w:rPr>
        <w:t>Abstentions and withhold votes are counted as "shares present" at the Annual Meeting for purposes of determining whether a quorum exists. Proxies submitted by banks, brokers or other holders of record holding shares for you as a beneficial owner that do not indicate a vote for some of or all the proposals because that holder does not have voting authority and has not received voting instructions from you (so-called "broker non-votes") are also considered "shares present" for purposes of determining whether a quorum exists. If you are a beneficial owner, these holders are permitted to vote your shares on the ratification of the appointment of our independent registered public accounting firm, even if they do not receive voting instructions from you.</w:t>
      </w:r>
    </w:p>
    <w:p>
      <w:pPr>
        <w:pStyle w:val="TextBody"/>
        <w:bidi w:val="0"/>
        <w:spacing w:lineRule="auto" w:line="312" w:before="240" w:after="40"/>
        <w:jc w:val="both"/>
        <w:rPr>
          <w:rFonts w:ascii="Lato;sans-serif" w:hAnsi="Lato;sans-serif"/>
          <w:b/>
          <w:color w:val="005CB9"/>
          <w:sz w:val="20"/>
        </w:rPr>
      </w:pPr>
      <w:r>
        <w:rPr>
          <w:rFonts w:ascii="Lato;sans-serif" w:hAnsi="Lato;sans-serif"/>
          <w:b/>
          <w:color w:val="005CB9"/>
          <w:sz w:val="20"/>
        </w:rPr>
        <w:t>What is the voting requirement to approve each of the proposals?</w:t>
      </w:r>
    </w:p>
    <w:p>
      <w:pPr>
        <w:pStyle w:val="TextBody"/>
        <w:bidi w:val="0"/>
        <w:spacing w:lineRule="auto" w:line="312" w:before="80" w:after="160"/>
        <w:jc w:val="both"/>
        <w:rPr>
          <w:rFonts w:ascii="Lato;sans-serif" w:hAnsi="Lato;sans-serif"/>
          <w:b w:val="false"/>
          <w:color w:val="000000"/>
          <w:sz w:val="18"/>
        </w:rPr>
      </w:pPr>
      <w:r>
        <w:rPr>
          <w:rFonts w:ascii="Lato;sans-serif" w:hAnsi="Lato;sans-serif"/>
          <w:b w:val="false"/>
          <w:color w:val="000000"/>
          <w:sz w:val="18"/>
        </w:rPr>
        <w:t>Provided that there is a quorum, the voting requirements are as follows:</w:t>
      </w:r>
    </w:p>
    <w:tbl>
      <w:tblPr>
        <w:tblW w:w="10205" w:type="dxa"/>
        <w:jc w:val="left"/>
        <w:tblInd w:w="0" w:type="dxa"/>
        <w:tblLayout w:type="fixed"/>
        <w:tblCellMar>
          <w:top w:w="28" w:type="dxa"/>
          <w:left w:w="28" w:type="dxa"/>
          <w:bottom w:w="28" w:type="dxa"/>
          <w:right w:w="28" w:type="dxa"/>
        </w:tblCellMar>
      </w:tblPr>
      <w:tblGrid>
        <w:gridCol w:w="2328"/>
        <w:gridCol w:w="2007"/>
        <w:gridCol w:w="2022"/>
        <w:gridCol w:w="625"/>
        <w:gridCol w:w="625"/>
        <w:gridCol w:w="628"/>
        <w:gridCol w:w="576"/>
        <w:gridCol w:w="576"/>
        <w:gridCol w:w="818"/>
      </w:tblGrid>
      <w:tr>
        <w:trPr/>
        <w:tc>
          <w:tcPr>
            <w:tcW w:w="2328"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63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Proposal</w:t>
            </w:r>
          </w:p>
        </w:tc>
        <w:tc>
          <w:tcPr>
            <w:tcW w:w="1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Vote Required</w:t>
            </w:r>
          </w:p>
        </w:tc>
        <w:tc>
          <w:tcPr>
            <w:tcW w:w="1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0000"/>
                <w:sz w:val="16"/>
              </w:rPr>
            </w:pPr>
            <w:r>
              <w:rPr>
                <w:rFonts w:ascii="Lato;sans-serif" w:hAnsi="Lato;sans-serif"/>
                <w:b/>
                <w:color w:val="000000"/>
                <w:sz w:val="16"/>
              </w:rPr>
              <w:t>Broker Discretionary</w:t>
              <w:br/>
              <w:t>Voting Allowed?</w:t>
            </w:r>
          </w:p>
        </w:tc>
      </w:tr>
      <w:tr>
        <w:trPr/>
        <w:tc>
          <w:tcPr>
            <w:tcW w:w="6357"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20" w:after="20"/>
              <w:jc w:val="left"/>
              <w:rPr>
                <w:rFonts w:ascii="Lato;sans-serif" w:hAnsi="Lato;sans-serif"/>
                <w:b w:val="false"/>
                <w:color w:val="000000"/>
                <w:sz w:val="18"/>
              </w:rPr>
            </w:pPr>
            <w:r>
              <w:rPr>
                <w:rFonts w:ascii="Lato;sans-serif" w:hAnsi="Lato;sans-serif"/>
                <w:b w:val="false"/>
                <w:color w:val="000000"/>
                <w:sz w:val="18"/>
              </w:rPr>
              <w:t>Election of Class II directors</w:t>
            </w:r>
          </w:p>
        </w:tc>
        <w:tc>
          <w:tcPr>
            <w:tcW w:w="1878"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20" w:after="20"/>
              <w:jc w:val="center"/>
              <w:rPr>
                <w:rFonts w:ascii="Lato;sans-serif" w:hAnsi="Lato;sans-serif"/>
                <w:b w:val="false"/>
                <w:color w:val="000000"/>
                <w:sz w:val="18"/>
              </w:rPr>
            </w:pPr>
            <w:r>
              <w:rPr>
                <w:rFonts w:ascii="Lato;sans-serif" w:hAnsi="Lato;sans-serif"/>
                <w:b w:val="false"/>
                <w:color w:val="000000"/>
                <w:sz w:val="18"/>
              </w:rPr>
              <w:t>Plurality of votes cast</w:t>
            </w:r>
          </w:p>
        </w:tc>
        <w:tc>
          <w:tcPr>
            <w:tcW w:w="1970" w:type="dxa"/>
            <w:gridSpan w:val="3"/>
            <w:tcBorders>
              <w:top w:val="single" w:sz="8" w:space="0" w:color="005CB9"/>
            </w:tcBorders>
            <w:tcMar>
              <w:top w:w="30" w:type="dxa"/>
              <w:left w:w="0" w:type="dxa"/>
              <w:bottom w:w="0" w:type="dxa"/>
              <w:right w:w="0" w:type="dxa"/>
            </w:tcMar>
            <w:vAlign w:val="center"/>
          </w:tcPr>
          <w:p>
            <w:pPr>
              <w:pStyle w:val="TableContents"/>
              <w:bidi w:val="0"/>
              <w:spacing w:lineRule="auto" w:line="288" w:before="20" w:after="20"/>
              <w:jc w:val="center"/>
              <w:rPr>
                <w:rFonts w:ascii="Lato;sans-serif" w:hAnsi="Lato;sans-serif"/>
                <w:b w:val="false"/>
                <w:color w:val="000000"/>
                <w:sz w:val="18"/>
              </w:rPr>
            </w:pPr>
            <w:r>
              <w:rPr>
                <w:rFonts w:ascii="Lato;sans-serif" w:hAnsi="Lato;sans-serif"/>
                <w:b w:val="false"/>
                <w:color w:val="000000"/>
                <w:sz w:val="18"/>
              </w:rPr>
              <w:t>No</w:t>
            </w:r>
          </w:p>
        </w:tc>
      </w:tr>
      <w:tr>
        <w:trPr/>
        <w:tc>
          <w:tcPr>
            <w:tcW w:w="6357" w:type="dxa"/>
            <w:gridSpan w:val="3"/>
            <w:tcBorders>
              <w:bottom w:val="single" w:sz="8" w:space="0" w:color="005CB9"/>
            </w:tcBorders>
            <w:tcMar>
              <w:top w:w="0" w:type="dxa"/>
              <w:left w:w="0" w:type="dxa"/>
              <w:bottom w:w="30" w:type="dxa"/>
              <w:right w:w="0" w:type="dxa"/>
            </w:tcMar>
            <w:vAlign w:val="center"/>
          </w:tcPr>
          <w:p>
            <w:pPr>
              <w:pStyle w:val="TableContents"/>
              <w:bidi w:val="0"/>
              <w:spacing w:lineRule="auto" w:line="312" w:before="20" w:after="20"/>
              <w:jc w:val="left"/>
              <w:rPr>
                <w:rFonts w:ascii="Lato;sans-serif" w:hAnsi="Lato;sans-serif"/>
                <w:b w:val="false"/>
                <w:color w:val="000000"/>
                <w:sz w:val="18"/>
              </w:rPr>
            </w:pPr>
            <w:r>
              <w:rPr>
                <w:rFonts w:ascii="Lato;sans-serif" w:hAnsi="Lato;sans-serif"/>
                <w:b w:val="false"/>
                <w:color w:val="000000"/>
                <w:sz w:val="18"/>
              </w:rPr>
              <w:t>Ratification of appointment of independent registered public accounting firm</w:t>
            </w:r>
          </w:p>
        </w:tc>
        <w:tc>
          <w:tcPr>
            <w:tcW w:w="1878" w:type="dxa"/>
            <w:gridSpan w:val="3"/>
            <w:tcBorders>
              <w:bottom w:val="single" w:sz="8" w:space="0" w:color="005CB9"/>
            </w:tcBorders>
            <w:tcMar>
              <w:top w:w="0" w:type="dxa"/>
              <w:left w:w="0" w:type="dxa"/>
              <w:bottom w:w="30" w:type="dxa"/>
              <w:right w:w="0" w:type="dxa"/>
            </w:tcMar>
            <w:vAlign w:val="center"/>
          </w:tcPr>
          <w:p>
            <w:pPr>
              <w:pStyle w:val="TableContents"/>
              <w:bidi w:val="0"/>
              <w:spacing w:lineRule="auto" w:line="288" w:before="20" w:after="20"/>
              <w:jc w:val="center"/>
              <w:rPr>
                <w:rFonts w:ascii="Lato;sans-serif" w:hAnsi="Lato;sans-serif"/>
                <w:b w:val="false"/>
                <w:color w:val="000000"/>
                <w:sz w:val="18"/>
              </w:rPr>
            </w:pPr>
            <w:r>
              <w:rPr>
                <w:rFonts w:ascii="Lato;sans-serif" w:hAnsi="Lato;sans-serif"/>
                <w:b w:val="false"/>
                <w:color w:val="000000"/>
                <w:sz w:val="18"/>
              </w:rPr>
              <w:t>Majority of votes cast</w:t>
            </w:r>
          </w:p>
        </w:tc>
        <w:tc>
          <w:tcPr>
            <w:tcW w:w="1970" w:type="dxa"/>
            <w:gridSpan w:val="3"/>
            <w:tcBorders>
              <w:bottom w:val="single" w:sz="8" w:space="0" w:color="005CB9"/>
            </w:tcBorders>
            <w:tcMar>
              <w:top w:w="0" w:type="dxa"/>
              <w:left w:w="0" w:type="dxa"/>
              <w:bottom w:w="30" w:type="dxa"/>
              <w:right w:w="0" w:type="dxa"/>
            </w:tcMar>
            <w:vAlign w:val="center"/>
          </w:tcPr>
          <w:p>
            <w:pPr>
              <w:pStyle w:val="TableContents"/>
              <w:bidi w:val="0"/>
              <w:spacing w:lineRule="auto" w:line="288" w:before="20" w:after="20"/>
              <w:jc w:val="center"/>
              <w:rPr>
                <w:rFonts w:ascii="Lato;sans-serif" w:hAnsi="Lato;sans-serif"/>
                <w:b w:val="false"/>
                <w:color w:val="000000"/>
                <w:sz w:val="18"/>
              </w:rPr>
            </w:pPr>
            <w:r>
              <w:rPr>
                <w:rFonts w:ascii="Lato;sans-serif" w:hAnsi="Lato;sans-serif"/>
                <w:b w:val="false"/>
                <w:color w:val="000000"/>
                <w:sz w:val="18"/>
              </w:rPr>
              <w:t>Yes</w:t>
            </w:r>
          </w:p>
        </w:tc>
      </w:tr>
    </w:tbl>
    <w:p>
      <w:pPr>
        <w:pStyle w:val="TextBody"/>
        <w:bidi w:val="0"/>
        <w:spacing w:lineRule="auto" w:line="312" w:before="240" w:after="40"/>
        <w:jc w:val="both"/>
        <w:rPr>
          <w:rFonts w:ascii="Lato;sans-serif" w:hAnsi="Lato;sans-serif"/>
          <w:b w:val="false"/>
          <w:color w:val="000000"/>
          <w:sz w:val="18"/>
        </w:rPr>
      </w:pPr>
      <w:r>
        <w:rPr>
          <w:rFonts w:ascii="Lato;sans-serif" w:hAnsi="Lato;sans-serif"/>
          <w:b w:val="false"/>
          <w:color w:val="000000"/>
          <w:sz w:val="18"/>
        </w:rPr>
        <w:t xml:space="preserve">Each director is elected by a plurality of the votes cast. “Plurality” means that the two nominees who receive the largest number of votes cast “For” such nominees are elected as directors. Stockholders may vote “For” any or all of the nominees or “Withhold” with respect to any or all of the nominees named in Proposal No. 1. There is no cumulative voting for the election of directors. </w:t>
      </w:r>
    </w:p>
    <w:p>
      <w:pPr>
        <w:pStyle w:val="TextBody"/>
        <w:bidi w:val="0"/>
        <w:spacing w:lineRule="auto" w:line="312" w:before="240" w:after="40"/>
        <w:jc w:val="both"/>
        <w:rPr>
          <w:rFonts w:ascii="Lato;sans-serif" w:hAnsi="Lato;sans-serif"/>
          <w:b w:val="false"/>
          <w:color w:val="000000"/>
          <w:sz w:val="18"/>
        </w:rPr>
      </w:pPr>
      <w:r>
        <w:rPr>
          <w:rFonts w:ascii="Lato;sans-serif" w:hAnsi="Lato;sans-serif"/>
          <w:b w:val="false"/>
          <w:color w:val="000000"/>
          <w:sz w:val="18"/>
        </w:rPr>
        <w:t>The ratification of the appointment of Grant Thornton as our independent registered public accounting firm for our fiscal year ending December 31, 2025 requires the affirmative vote of at least a majority of the votes cast. Stockholders may vote “For,” “Against,” or “Abstain” with respect to the Proposal No. 2.</w:t>
      </w:r>
    </w:p>
    <w:p>
      <w:pPr>
        <w:pStyle w:val="TextBody"/>
        <w:bidi w:val="0"/>
        <w:spacing w:lineRule="auto" w:line="312" w:before="160" w:after="160"/>
        <w:jc w:val="left"/>
        <w:rPr>
          <w:rFonts w:ascii="Lato;sans-serif" w:hAnsi="Lato;sans-serif"/>
          <w:b/>
          <w:color w:val="005CB9"/>
          <w:sz w:val="20"/>
        </w:rPr>
      </w:pPr>
      <w:r>
        <w:rPr>
          <w:rFonts w:ascii="Lato;sans-serif" w:hAnsi="Lato;sans-serif"/>
          <w:b/>
          <w:color w:val="005CB9"/>
          <w:sz w:val="20"/>
        </w:rPr>
        <w:t>What is the impact of abstentions, withhold votes and broker non-votes?</w:t>
      </w:r>
    </w:p>
    <w:p>
      <w:pPr>
        <w:pStyle w:val="TextBody"/>
        <w:bidi w:val="0"/>
        <w:spacing w:lineRule="auto" w:line="312" w:before="80" w:after="160"/>
        <w:jc w:val="both"/>
        <w:rPr>
          <w:rFonts w:ascii="Lato;sans-serif" w:hAnsi="Lato;sans-serif"/>
          <w:b w:val="false"/>
          <w:color w:val="000000"/>
          <w:sz w:val="18"/>
        </w:rPr>
      </w:pPr>
      <w:r>
        <w:rPr>
          <w:rFonts w:ascii="Lato;sans-serif" w:hAnsi="Lato;sans-serif"/>
          <w:b w:val="false"/>
          <w:color w:val="000000"/>
          <w:sz w:val="18"/>
        </w:rPr>
        <w:t>Abstentions, withhold votes and broker non-votes are considered "shares present" for the purpose of determining whether a quorum exists, but will not be considered votes properly cast at the Annual Meeting and will have no effect on the outcome of the vote. Without voting instructions from beneficial owners, brokers will have discretion to vote on the ratification of the appointment of the independent registered public accounting firm .</w:t>
      </w:r>
    </w:p>
    <w:p>
      <w:pPr>
        <w:pStyle w:val="TextBody"/>
        <w:bidi w:val="0"/>
        <w:spacing w:lineRule="auto" w:line="312" w:before="240" w:after="40"/>
        <w:jc w:val="both"/>
        <w:rPr>
          <w:rFonts w:ascii="Lato;sans-serif" w:hAnsi="Lato;sans-serif"/>
          <w:b/>
          <w:color w:val="005CB9"/>
          <w:sz w:val="20"/>
        </w:rPr>
      </w:pPr>
      <w:r>
        <w:rPr>
          <w:rFonts w:ascii="Lato;sans-serif" w:hAnsi="Lato;sans-serif"/>
          <w:b/>
          <w:color w:val="005CB9"/>
          <w:sz w:val="20"/>
        </w:rPr>
        <w:t>Who pays for the cost of this proxy solicitation?</w:t>
      </w:r>
    </w:p>
    <w:p>
      <w:pPr>
        <w:pStyle w:val="TextBody"/>
        <w:bidi w:val="0"/>
        <w:spacing w:lineRule="auto" w:line="312" w:before="80" w:after="160"/>
        <w:jc w:val="both"/>
        <w:rPr>
          <w:rFonts w:ascii="Lato;sans-serif" w:hAnsi="Lato;sans-serif"/>
          <w:b w:val="false"/>
          <w:color w:val="000000"/>
          <w:sz w:val="18"/>
        </w:rPr>
      </w:pPr>
      <w:r>
        <w:rPr>
          <w:rFonts w:ascii="Lato;sans-serif" w:hAnsi="Lato;sans-serif"/>
          <w:b w:val="false"/>
          <w:color w:val="000000"/>
          <w:sz w:val="18"/>
        </w:rPr>
        <w:t>We will pay all the costs of preparing, mailing and soliciting the proxies. We will ask brokers, banks, voting trustees and other nominees and fiduciaries to forward the proxy materials to the beneficial owners of our common stock and to obtain the authority to execute proxies. We will reimburse them for their reasonable expenses upon request. In addition to mailing proxy materials, our directors, officers and employees may solicit proxies in person, by telephone or otherwise. These individuals will not be specially compensated.</w:t>
      </w:r>
    </w:p>
    <w:p>
      <w:pPr>
        <w:pStyle w:val="TextBody"/>
        <w:bidi w:val="0"/>
        <w:spacing w:before="8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40410"/>
                <wp:effectExtent l="0" t="0" r="0" b="0"/>
                <wp:wrapNone/>
                <wp:docPr id="43" name="Frame3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36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60" w:after="160"/>
        <w:jc w:val="right"/>
        <w:rPr>
          <w:rFonts w:ascii="Lato;sans-serif" w:hAnsi="Lato;sans-serif"/>
          <w:b w:val="false"/>
          <w:color w:val="000000"/>
          <w:sz w:val="18"/>
        </w:rPr>
      </w:pPr>
      <w:r>
        <w:rPr>
          <w:rFonts w:ascii="Lato;sans-serif" w:hAnsi="Lato;sans-serif"/>
          <w:b w:val="false"/>
          <w:color w:val="000000"/>
          <w:sz w:val="18"/>
        </w:rPr>
        <w:t>Questions and Answers</w:t>
      </w:r>
    </w:p>
    <w:p>
      <w:pPr>
        <w:pStyle w:val="TextBody"/>
        <w:bidi w:val="0"/>
        <w:spacing w:lineRule="auto" w:line="312" w:before="240" w:after="40"/>
        <w:jc w:val="both"/>
        <w:rPr>
          <w:rFonts w:ascii="Lato;sans-serif" w:hAnsi="Lato;sans-serif"/>
          <w:b/>
          <w:color w:val="005CB9"/>
          <w:sz w:val="20"/>
        </w:rPr>
      </w:pPr>
      <w:r>
        <w:rPr>
          <w:rFonts w:ascii="Lato;sans-serif" w:hAnsi="Lato;sans-serif"/>
          <w:b/>
          <w:color w:val="005CB9"/>
          <w:sz w:val="20"/>
        </w:rPr>
        <w:t>Where can I find the voting results of the Annual Meeting?</w:t>
      </w:r>
    </w:p>
    <w:p>
      <w:pPr>
        <w:pStyle w:val="TextBody"/>
        <w:bidi w:val="0"/>
        <w:spacing w:lineRule="auto" w:line="312" w:before="80" w:after="160"/>
        <w:jc w:val="both"/>
        <w:rPr>
          <w:rFonts w:ascii="Lato;sans-serif" w:hAnsi="Lato;sans-serif"/>
          <w:b w:val="false"/>
          <w:color w:val="000000"/>
          <w:sz w:val="18"/>
        </w:rPr>
      </w:pPr>
      <w:r>
        <w:rPr>
          <w:rFonts w:ascii="Lato;sans-serif" w:hAnsi="Lato;sans-serif"/>
          <w:b w:val="false"/>
          <w:color w:val="000000"/>
          <w:sz w:val="18"/>
        </w:rPr>
        <w:t>We will announce preliminary voting results at the Annual Meeting. We also will disclose voting results on a Current Report on Form 8-K that we will file with the Securities and Exchange Commission, or SEC, within four business days after the Annual Meeting.</w:t>
      </w:r>
    </w:p>
    <w:p>
      <w:pPr>
        <w:pStyle w:val="TextBody"/>
        <w:bidi w:val="0"/>
        <w:spacing w:lineRule="auto" w:line="312" w:before="240" w:after="80"/>
        <w:jc w:val="both"/>
        <w:rPr>
          <w:rFonts w:ascii="Lato;sans-serif" w:hAnsi="Lato;sans-serif"/>
          <w:b/>
          <w:color w:val="005CB9"/>
          <w:sz w:val="20"/>
        </w:rPr>
      </w:pPr>
      <w:r>
        <w:rPr>
          <w:rFonts w:ascii="Lato;sans-serif" w:hAnsi="Lato;sans-serif"/>
          <w:b/>
          <w:color w:val="005CB9"/>
          <w:sz w:val="20"/>
        </w:rPr>
        <w:t>Why did I receive a Notice of Internet Availability of Proxy Materials rather than a full set of proxy materials?</w:t>
      </w:r>
    </w:p>
    <w:p>
      <w:pPr>
        <w:pStyle w:val="TextBody"/>
        <w:bidi w:val="0"/>
        <w:spacing w:lineRule="auto" w:line="312" w:before="80" w:after="160"/>
        <w:jc w:val="both"/>
        <w:rPr>
          <w:rFonts w:ascii="Lato;sans-serif" w:hAnsi="Lato;sans-serif"/>
          <w:b w:val="false"/>
          <w:color w:val="000000"/>
          <w:sz w:val="18"/>
        </w:rPr>
      </w:pPr>
      <w:r>
        <w:rPr>
          <w:rFonts w:ascii="Lato;sans-serif" w:hAnsi="Lato;sans-serif"/>
          <w:b w:val="false"/>
          <w:color w:val="000000"/>
          <w:sz w:val="18"/>
        </w:rPr>
        <w:t>In accordance with the SEC rules, we have elected to furnish our proxy materials, including this Proxy Statement and the 2024 Annual Report, primarily via the Internet rather than by mailing the materials to stockholders. The Notice of Internet Availability of Proxy Materials provides instructions on how to access our proxy materials on the Internet, how to vote, and how to request printed copies of the proxy materials. Stockholders may request to receive future proxy materials in printed form by following the instructions contained in the Notice of Internet Availability of Proxy Materials. We encourage stockholders to take advantage of the proxy materials on the Internet to reduce the costs and environmental impact of our Annual Meeting.</w:t>
      </w:r>
    </w:p>
    <w:p>
      <w:pPr>
        <w:pStyle w:val="TextBody"/>
        <w:bidi w:val="0"/>
        <w:spacing w:lineRule="auto" w:line="312" w:before="240" w:after="40"/>
        <w:jc w:val="both"/>
        <w:rPr>
          <w:rFonts w:ascii="Lato;sans-serif" w:hAnsi="Lato;sans-serif"/>
          <w:b/>
          <w:color w:val="005CB9"/>
          <w:sz w:val="20"/>
        </w:rPr>
      </w:pPr>
      <w:r>
        <w:rPr>
          <w:rFonts w:ascii="Lato;sans-serif" w:hAnsi="Lato;sans-serif"/>
          <w:b/>
          <w:color w:val="005CB9"/>
          <w:sz w:val="20"/>
        </w:rPr>
        <w:t>How can I obtain Intuitive Machine's Form 10-K and other financial information?</w:t>
      </w:r>
    </w:p>
    <w:p>
      <w:pPr>
        <w:pStyle w:val="TextBody"/>
        <w:bidi w:val="0"/>
        <w:spacing w:lineRule="auto" w:line="312" w:before="80" w:after="160"/>
        <w:jc w:val="both"/>
        <w:rPr/>
      </w:pPr>
      <w:r>
        <w:rPr>
          <w:rFonts w:ascii="Lato;sans-serif" w:hAnsi="Lato;sans-serif"/>
          <w:b w:val="false"/>
          <w:color w:val="000000"/>
          <w:sz w:val="18"/>
        </w:rPr>
        <w:t>Stockholders can access our 2024 Annual Report, (which includes our 2024 Form 10-K), and other financial information, on our website at http://www.intuitivemachines.com under the caption "Investors." This Proxy Statement and 2024 Annual Report will also be available at www.proxyvote.com. Alternatively, stockholders can request a paper copy of the 2024 Annual Report by writing to: 13467 Columbia Shuttle Street, Houston</w:t>
      </w:r>
      <w:r>
        <w:rPr>
          <w:rFonts w:ascii="Lato;sans-serif" w:hAnsi="Lato;sans-serif"/>
          <w:b/>
          <w:color w:val="000000"/>
          <w:sz w:val="18"/>
        </w:rPr>
        <w:t xml:space="preserve">, </w:t>
      </w:r>
      <w:r>
        <w:rPr>
          <w:rFonts w:ascii="Lato;sans-serif" w:hAnsi="Lato;sans-serif"/>
          <w:b w:val="false"/>
          <w:color w:val="000000"/>
          <w:sz w:val="18"/>
        </w:rPr>
        <w:t>Texas</w:t>
      </w:r>
      <w:r>
        <w:rPr>
          <w:color w:val="000000"/>
        </w:rPr>
        <w:t xml:space="preserve"> </w:t>
      </w:r>
      <w:r>
        <w:rPr>
          <w:rFonts w:ascii="Lato;sans-serif" w:hAnsi="Lato;sans-serif"/>
          <w:b w:val="false"/>
          <w:color w:val="000000"/>
          <w:sz w:val="18"/>
        </w:rPr>
        <w:t xml:space="preserve">77059, Attention: Corporate Secretary. </w:t>
      </w:r>
    </w:p>
    <w:p>
      <w:pPr>
        <w:pStyle w:val="TextBody"/>
        <w:bidi w:val="0"/>
        <w:spacing w:lineRule="auto" w:line="312" w:before="80" w:after="160"/>
        <w:jc w:val="both"/>
        <w:rPr>
          <w:rFonts w:ascii="Lato;sans-serif" w:hAnsi="Lato;sans-serif"/>
          <w:b/>
          <w:color w:val="005CB9"/>
          <w:sz w:val="20"/>
          <w:shd w:fill="FFFFFF" w:val="clear"/>
        </w:rPr>
      </w:pPr>
      <w:r>
        <w:rPr>
          <w:rFonts w:ascii="Lato;sans-serif" w:hAnsi="Lato;sans-serif"/>
          <w:b/>
          <w:color w:val="005CB9"/>
          <w:sz w:val="20"/>
          <w:shd w:fill="FFFFFF" w:val="clear"/>
        </w:rPr>
        <w:t>How do I submit a stockholder proposal for consideration at next year's annual meeting of stockholders?</w:t>
      </w:r>
    </w:p>
    <w:p>
      <w:pPr>
        <w:pStyle w:val="TextBody"/>
        <w:bidi w:val="0"/>
        <w:spacing w:lineRule="auto" w:line="312" w:before="160" w:after="160"/>
        <w:jc w:val="both"/>
        <w:rPr>
          <w:rFonts w:ascii="Lato;sans-serif" w:hAnsi="Lato;sans-serif"/>
          <w:b w:val="false"/>
          <w:color w:val="000000"/>
          <w:sz w:val="18"/>
          <w:shd w:fill="FFFFFF" w:val="clear"/>
        </w:rPr>
      </w:pPr>
      <w:r>
        <w:rPr>
          <w:rFonts w:ascii="Lato;sans-serif" w:hAnsi="Lato;sans-serif"/>
          <w:b w:val="false"/>
          <w:color w:val="000000"/>
          <w:sz w:val="18"/>
          <w:shd w:fill="FFFFFF" w:val="clear"/>
        </w:rPr>
        <w:t xml:space="preserve">Pursuant to Rule 14a-8 under the Exchange Act, for a proposal to be included in our proxy statement for the 2026 Annual Meeting of Stockholders, you must submit your proposal to: Intuitive Machines: 13467 Columbia Shuttle Street, Houston, Texas 77059, Attention: Corporate Secretary no later than December 23, 2025 and otherwise meet the requirements of that rule. </w:t>
      </w:r>
    </w:p>
    <w:p>
      <w:pPr>
        <w:pStyle w:val="TextBody"/>
        <w:bidi w:val="0"/>
        <w:spacing w:lineRule="auto" w:line="312" w:before="160" w:after="160"/>
        <w:jc w:val="both"/>
        <w:rPr>
          <w:rFonts w:ascii="Lato;sans-serif" w:hAnsi="Lato;sans-serif"/>
          <w:b w:val="false"/>
          <w:color w:val="000000"/>
          <w:sz w:val="18"/>
          <w:shd w:fill="FFFFFF" w:val="clear"/>
        </w:rPr>
      </w:pPr>
      <w:r>
        <w:rPr>
          <w:rFonts w:ascii="Lato;sans-serif" w:hAnsi="Lato;sans-serif"/>
          <w:b w:val="false"/>
          <w:color w:val="000000"/>
          <w:sz w:val="18"/>
          <w:shd w:fill="FFFFFF" w:val="clear"/>
        </w:rPr>
        <w:t>You also may submit a proposal that you want to raise at the 2026 Annual Meeting of Stockholders (even if not requesting inclusion in the proxy statement). Under our Bylaws, we must receive written notice of such proposal on or after February 5, 2026, but no later than March 7, 2026, provided, however, per our Bylaws, if the 2026 Annual Meeting is held prior to May 6, 2026 or after August 4, 2026, your proposal must be received not later than the later of (i) the 90th day prior to the 2026 Annual Meeting and (ii) the 10th day following the day on which public disclosure of the date of such meeting was first made. A proposal that does not conform to the requirements above will be considered untimely. Your proposal must be in writing and comply with the applicable requirements in our Bylaws and the proxy rules of the SEC. You should send your proposal to: Intuitive Machines: 13467 Columbia Shuttle Street, Houston, Texas 77059, Attention: Corporate Secretary.</w:t>
      </w:r>
    </w:p>
    <w:p>
      <w:pPr>
        <w:pStyle w:val="TextBody"/>
        <w:bidi w:val="0"/>
        <w:spacing w:lineRule="auto" w:line="312" w:before="160" w:after="160"/>
        <w:jc w:val="both"/>
        <w:rPr>
          <w:rFonts w:ascii="Lato;sans-serif" w:hAnsi="Lato;sans-serif"/>
          <w:b w:val="false"/>
          <w:color w:val="000000"/>
          <w:sz w:val="18"/>
          <w:shd w:fill="FFFFFF" w:val="clear"/>
        </w:rPr>
      </w:pPr>
      <w:r>
        <w:rPr>
          <w:rFonts w:ascii="Lato;sans-serif" w:hAnsi="Lato;sans-serif"/>
          <w:b w:val="false"/>
          <w:color w:val="000000"/>
          <w:sz w:val="18"/>
          <w:shd w:fill="FFFFFF" w:val="clear"/>
        </w:rPr>
        <w:t>As detailed in our Bylaws, among other items, to bring a proposal other than the nomination of a director before an annual meeting of stockholders, your notice of proposal must include: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the text of any proposed amendment to the Bylaws),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and the rules and regulations promulgated thereunder.</w:t>
      </w:r>
    </w:p>
    <w:p>
      <w:pPr>
        <w:pStyle w:val="TextBody"/>
        <w:bidi w:val="0"/>
        <w:spacing w:lineRule="auto" w:line="312" w:before="160" w:after="160"/>
        <w:jc w:val="both"/>
        <w:rPr>
          <w:rFonts w:ascii="Lato;sans-serif" w:hAnsi="Lato;sans-serif"/>
          <w:b w:val="false"/>
          <w:color w:val="000000"/>
          <w:sz w:val="18"/>
          <w:shd w:fill="FFFFFF" w:val="clear"/>
        </w:rPr>
      </w:pPr>
      <w:r>
        <w:rPr>
          <w:rFonts w:ascii="Lato;sans-serif" w:hAnsi="Lato;sans-serif"/>
          <w:b w:val="false"/>
          <w:color w:val="000000"/>
          <w:sz w:val="18"/>
          <w:shd w:fill="FFFFFF" w:val="clear"/>
        </w:rPr>
        <w:t>Please see our Bylaws for additional details regarding the requirements for presenting a proposal at the 2026 Annual Meeting.</w:t>
      </w:r>
    </w:p>
    <w:p>
      <w:pPr>
        <w:pStyle w:val="TextBody"/>
        <w:bidi w:val="0"/>
        <w:spacing w:lineRule="auto" w:line="312" w:before="160" w:after="160"/>
        <w:jc w:val="left"/>
        <w:rPr>
          <w:rFonts w:ascii="Lato;sans-serif" w:hAnsi="Lato;sans-serif"/>
          <w:b/>
          <w:color w:val="005CB9"/>
          <w:sz w:val="20"/>
          <w:shd w:fill="FFFFFF" w:val="clear"/>
        </w:rPr>
      </w:pPr>
      <w:r>
        <w:rPr>
          <w:rFonts w:ascii="Lato;sans-serif" w:hAnsi="Lato;sans-serif"/>
          <w:b/>
          <w:color w:val="005CB9"/>
          <w:sz w:val="20"/>
          <w:shd w:fill="FFFFFF" w:val="clear"/>
        </w:rPr>
        <w:t>How do I recommend a director nominee?</w:t>
      </w:r>
    </w:p>
    <w:p>
      <w:pPr>
        <w:pStyle w:val="TextBody"/>
        <w:bidi w:val="0"/>
        <w:spacing w:lineRule="auto" w:line="312" w:before="160" w:after="160"/>
        <w:jc w:val="both"/>
        <w:rPr>
          <w:rFonts w:ascii="Lato;sans-serif" w:hAnsi="Lato;sans-serif"/>
          <w:b w:val="false"/>
          <w:color w:val="000000"/>
          <w:sz w:val="18"/>
          <w:shd w:fill="FFFFFF" w:val="clear"/>
        </w:rPr>
      </w:pPr>
      <w:r>
        <w:rPr>
          <w:rFonts w:ascii="Lato;sans-serif" w:hAnsi="Lato;sans-serif"/>
          <w:b w:val="false"/>
          <w:color w:val="000000"/>
          <w:sz w:val="18"/>
          <w:shd w:fill="FFFFFF" w:val="clear"/>
        </w:rPr>
        <w:t xml:space="preserve">If you wish to nominate an individual for election as director at the 2026 Annual Meeting of Stockholders, we must receive your written nomination on or after February 5, 2026, but no later than March 7, 2026, provided, however, per our Bylaws, if the 2026 Annual Meeting is held prior to May 6, 2026 or after August 4, 2026, your written nomination must be received not later than the latter of (i) the 90th day prior to the 2026 Annual Meeting and (ii) the 10th day following the day on which public disclosure of the date of such meeting was first made. A written nomination that does not conform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40410"/>
                <wp:effectExtent l="0" t="0" r="0" b="0"/>
                <wp:wrapNone/>
                <wp:docPr id="44" name="Frame3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160" w:after="160"/>
        <w:jc w:val="left"/>
        <w:rPr>
          <w:rFonts w:ascii="Lato;sans-serif" w:hAnsi="Lato;sans-serif"/>
          <w:b w:val="false"/>
          <w:color w:val="000000"/>
          <w:sz w:val="18"/>
        </w:rPr>
      </w:pPr>
      <w:r>
        <w:rPr>
          <w:rFonts w:ascii="Lato;sans-serif" w:hAnsi="Lato;sans-serif"/>
          <w:b w:val="false"/>
          <w:color w:val="000000"/>
          <w:sz w:val="18"/>
        </w:rPr>
        <w:t>Questions and Answers</w:t>
      </w:r>
    </w:p>
    <w:p>
      <w:pPr>
        <w:pStyle w:val="TextBody"/>
        <w:bidi w:val="0"/>
        <w:spacing w:lineRule="auto" w:line="312" w:before="160" w:after="160"/>
        <w:jc w:val="both"/>
        <w:rPr>
          <w:rFonts w:ascii="Lato;sans-serif" w:hAnsi="Lato;sans-serif"/>
          <w:b w:val="false"/>
          <w:color w:val="000000"/>
          <w:sz w:val="18"/>
          <w:shd w:fill="FFFFFF" w:val="clear"/>
        </w:rPr>
      </w:pPr>
      <w:r>
        <w:rPr>
          <w:rFonts w:ascii="Lato;sans-serif" w:hAnsi="Lato;sans-serif"/>
          <w:b w:val="false"/>
          <w:color w:val="000000"/>
          <w:sz w:val="18"/>
          <w:shd w:fill="FFFFFF" w:val="clear"/>
        </w:rPr>
        <w:t>requirements above will be considered untimely. You should send your proposal to: Intuitive Machines: 13467 Columbia Shuttle Street, Houston, Texas 77059, Attention: Corporate Secretary.</w:t>
      </w:r>
    </w:p>
    <w:p>
      <w:pPr>
        <w:pStyle w:val="TextBody"/>
        <w:bidi w:val="0"/>
        <w:spacing w:lineRule="auto" w:line="312" w:before="160" w:after="160"/>
        <w:jc w:val="both"/>
        <w:rPr>
          <w:rFonts w:ascii="Lato;sans-serif" w:hAnsi="Lato;sans-serif"/>
          <w:b w:val="false"/>
          <w:color w:val="000000"/>
          <w:sz w:val="18"/>
          <w:shd w:fill="FFFFFF" w:val="clear"/>
        </w:rPr>
      </w:pPr>
      <w:r>
        <w:rPr>
          <w:rFonts w:ascii="Lato;sans-serif" w:hAnsi="Lato;sans-serif"/>
          <w:b w:val="false"/>
          <w:color w:val="000000"/>
          <w:sz w:val="18"/>
          <w:shd w:fill="FFFFFF" w:val="clear"/>
        </w:rPr>
        <w:t>Please see our Bylaws for additional details regarding the requirements for nominating a director at the 2026 Annual Meeting.</w:t>
      </w:r>
    </w:p>
    <w:p>
      <w:pPr>
        <w:pStyle w:val="TextBody"/>
        <w:bidi w:val="0"/>
        <w:spacing w:lineRule="auto" w:line="312" w:before="160" w:after="160"/>
        <w:jc w:val="both"/>
        <w:rPr>
          <w:rFonts w:ascii="Lato;sans-serif" w:hAnsi="Lato;sans-serif"/>
          <w:b w:val="false"/>
          <w:color w:val="000000"/>
          <w:sz w:val="18"/>
          <w:shd w:fill="FFFFFF" w:val="clear"/>
        </w:rPr>
      </w:pPr>
      <w:r>
        <w:rPr>
          <w:rFonts w:ascii="Lato;sans-serif" w:hAnsi="Lato;sans-serif"/>
          <w:b w:val="false"/>
          <w:color w:val="000000"/>
          <w:sz w:val="18"/>
          <w:shd w:fill="FFFFFF" w:val="clear"/>
        </w:rPr>
        <w:t xml:space="preserve">Additionally, under Rule 14a-19 of the Exchange Act, if you intend to engage in a director election contest with respect to 2026 Annual Meeting, you must give us notice of your intent to solicit proxies by providing the names of your nominees and certain other information at least 60 calendar days before the anniversary of the previous year’s annual meeting. This deadline is April 6, 2026. However, if the 2026 Annual Meeting has changed more than 30 calendar days from the one-year anniversary of the 2025 Annual Meeting, your notice must be received not later than the later of (i) the 60th day prior to the 2026 Annual Meeting and (ii) the 10th day following the day on which public disclosure of the date of such meeting was first made. </w:t>
      </w:r>
    </w:p>
    <w:p>
      <w:pPr>
        <w:pStyle w:val="TextBody"/>
        <w:bidi w:val="0"/>
        <w:spacing w:lineRule="auto" w:line="312" w:before="160" w:after="160"/>
        <w:jc w:val="both"/>
        <w:rPr>
          <w:rFonts w:ascii="Lato;sans-serif" w:hAnsi="Lato;sans-serif"/>
          <w:b w:val="false"/>
          <w:color w:val="000000"/>
          <w:sz w:val="18"/>
          <w:shd w:fill="FFFFFF" w:val="clear"/>
        </w:rPr>
      </w:pPr>
      <w:r>
        <w:rPr>
          <w:rFonts w:ascii="Lato;sans-serif" w:hAnsi="Lato;sans-serif"/>
          <w:b w:val="false"/>
          <w:color w:val="000000"/>
          <w:sz w:val="18"/>
          <w:shd w:fill="FFFFFF" w:val="clear"/>
        </w:rPr>
        <w:t>As detailed in our Bylaws, for a nomination to be properly brought before an annual meeting, your notice of nomination must include: (A) all information with respect to such candidate for nomination that would be required to be set forth in a Stockholder’s notice set forth in the question above,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Company’s proxy statement as a nominee and to serving as a director if elected), (C) a description of any direct or indirect material interest in any material contract or agreement between or among any nominating person, on the one hand, and each candidate for nomination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and (D) a completed and signed questionnaire, representation and agreement.</w:t>
      </w:r>
    </w:p>
    <w:p>
      <w:pPr>
        <w:pStyle w:val="TextBody"/>
        <w:bidi w:val="0"/>
        <w:spacing w:lineRule="auto" w:line="312" w:before="240" w:after="80"/>
        <w:jc w:val="left"/>
        <w:rPr>
          <w:rFonts w:ascii="Lato;sans-serif" w:hAnsi="Lato;sans-serif"/>
          <w:b/>
          <w:color w:val="005CB9"/>
          <w:sz w:val="20"/>
          <w:shd w:fill="FFFFFF" w:val="clear"/>
        </w:rPr>
      </w:pPr>
      <w:r>
        <w:rPr>
          <w:rFonts w:ascii="Lato;sans-serif" w:hAnsi="Lato;sans-serif"/>
          <w:b/>
          <w:color w:val="005CB9"/>
          <w:sz w:val="20"/>
          <w:shd w:fill="FFFFFF" w:val="clear"/>
        </w:rPr>
        <w:t>Householding of Annual Disclosure documents</w:t>
      </w:r>
    </w:p>
    <w:p>
      <w:pPr>
        <w:pStyle w:val="TextBody"/>
        <w:bidi w:val="0"/>
        <w:spacing w:lineRule="auto" w:line="312" w:before="80" w:after="160"/>
        <w:jc w:val="both"/>
        <w:rPr>
          <w:rFonts w:ascii="Lato;sans-serif" w:hAnsi="Lato;sans-serif"/>
          <w:b w:val="false"/>
          <w:color w:val="000000"/>
          <w:sz w:val="18"/>
          <w:shd w:fill="FFFFFF" w:val="clear"/>
        </w:rPr>
      </w:pPr>
      <w:r>
        <w:rPr>
          <w:rFonts w:ascii="Lato;sans-serif" w:hAnsi="Lato;sans-serif"/>
          <w:b w:val="false"/>
          <w:color w:val="000000"/>
          <w:sz w:val="18"/>
          <w:shd w:fill="FFFFFF" w:val="clear"/>
        </w:rPr>
        <w:t>SEC rules concerning the delivery of annual disclosure documents allow us or your broker to send a single Internet Availability Notice or, if applicable, a single set of our proxy materials to any household at which two or more of our stockholders reside, if we or your broker believe that the stockholders are members of the same family. This practice, referred to as “householding,” benefits both you and us. It reduces the volume of duplicate information received at your household and helps to reduce our expenses. The rule applies to our Internet Availability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pStyle w:val="TextBody"/>
        <w:bidi w:val="0"/>
        <w:spacing w:lineRule="auto" w:line="312" w:before="160" w:after="160"/>
        <w:jc w:val="both"/>
        <w:rPr>
          <w:rFonts w:ascii="Lato;sans-serif" w:hAnsi="Lato;sans-serif"/>
          <w:b w:val="false"/>
          <w:color w:val="000000"/>
          <w:sz w:val="18"/>
          <w:shd w:fill="FFFFFF" w:val="clear"/>
        </w:rPr>
      </w:pPr>
      <w:r>
        <w:rPr>
          <w:rFonts w:ascii="Lato;sans-serif" w:hAnsi="Lato;sans-serif"/>
          <w:b w:val="false"/>
          <w:color w:val="000000"/>
          <w:sz w:val="18"/>
          <w:shd w:fill="FFFFFF" w:val="clear"/>
        </w:rPr>
        <w:t>If your household received a single Notice or, if applicable, a single set of proxy materials this year, but you would prefer to receive your own copy, please contact Broadridge Financial Solutions, Inc., either by calling (866) 540-7095, or by writing to Broadridge Householding Department, 51 Mercedes Way, Edgewood, New York 11717.</w:t>
      </w:r>
    </w:p>
    <w:p>
      <w:pPr>
        <w:pStyle w:val="TextBody"/>
        <w:bidi w:val="0"/>
        <w:spacing w:lineRule="auto" w:line="312" w:before="160" w:after="160"/>
        <w:jc w:val="both"/>
        <w:rPr>
          <w:rFonts w:ascii="Lato;sans-serif" w:hAnsi="Lato;sans-serif"/>
          <w:b w:val="false"/>
          <w:color w:val="000000"/>
          <w:sz w:val="18"/>
          <w:shd w:fill="FFFFFF" w:val="clear"/>
        </w:rPr>
      </w:pPr>
      <w:r>
        <w:rPr>
          <w:rFonts w:ascii="Lato;sans-serif" w:hAnsi="Lato;sans-serif"/>
          <w:b w:val="false"/>
          <w:color w:val="000000"/>
          <w:sz w:val="18"/>
          <w:shd w:fill="FFFFFF" w:val="clear"/>
        </w:rPr>
        <w:t>If you do not wish to participate in householding and would like to receive your own Internet Availability Notice or, if applicable, set of our proxy materials in future years, follow the instructions described below. Conversely, if you share an address with another stockholder and together both of you would like to receive only a single Internet Availability Notice or, if applicable, set of proxy materials, follow these instructions:</w:t>
      </w:r>
    </w:p>
    <w:p>
      <w:pPr>
        <w:pStyle w:val="TextBody"/>
        <w:bidi w:val="0"/>
        <w:spacing w:lineRule="auto" w:line="312" w:before="160" w:after="160"/>
        <w:jc w:val="both"/>
        <w:rPr>
          <w:rFonts w:ascii="Lato;sans-serif" w:hAnsi="Lato;sans-serif"/>
          <w:b w:val="false"/>
          <w:color w:val="000000"/>
          <w:sz w:val="18"/>
          <w:shd w:fill="FFFFFF" w:val="clear"/>
        </w:rPr>
      </w:pPr>
      <w:r>
        <w:rPr>
          <w:rFonts w:ascii="Lato;sans-serif" w:hAnsi="Lato;sans-serif"/>
          <w:b w:val="false"/>
          <w:color w:val="000000"/>
          <w:sz w:val="18"/>
          <w:shd w:fill="FFFFFF" w:val="clear"/>
        </w:rPr>
        <w:t xml:space="preserve">If your shares are registered in your own name, please contact Broadridge Financial Solutions, Inc., and inform them of your request either by calling (866) 540-7095, or by writing to Broadridge Householding Department, 51 Mercedes Way, Edgewood, New York 11717.     </w:t>
      </w:r>
    </w:p>
    <w:p>
      <w:pPr>
        <w:pStyle w:val="TextBody"/>
        <w:bidi w:val="0"/>
        <w:spacing w:lineRule="auto" w:line="312" w:before="160" w:after="160"/>
        <w:jc w:val="both"/>
        <w:rPr>
          <w:rFonts w:ascii="Lato;sans-serif" w:hAnsi="Lato;sans-serif"/>
          <w:b w:val="false"/>
          <w:color w:val="000000"/>
          <w:sz w:val="18"/>
          <w:shd w:fill="FFFFFF" w:val="clear"/>
        </w:rPr>
      </w:pPr>
      <w:r>
        <w:rPr>
          <w:rFonts w:ascii="Lato;sans-serif" w:hAnsi="Lato;sans-serif"/>
          <w:b w:val="false"/>
          <w:color w:val="000000"/>
          <w:sz w:val="18"/>
          <w:shd w:fill="FFFFFF" w:val="clear"/>
        </w:rPr>
        <w:t>If a broker or other nominee holds your shares, please contact the broker or other nominee directly and inform them of your request. Be sure to include your name, the name of your brokerage firm and your account number.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Lato Black;sans-serif" w:hAnsi="Lato Black;sans-serif"/>
          <w:b w:val="false"/>
          <w:color w:val="005CB9"/>
          <w:sz w:val="32"/>
        </w:rPr>
      </w:pPr>
      <w:r>
        <w:rPr>
          <w:rFonts w:ascii="Lato Black;sans-serif" w:hAnsi="Lato Black;sans-serif"/>
          <w:b w:val="false"/>
          <w:color w:val="005CB9"/>
          <w:sz w:val="32"/>
        </w:rPr>
        <w:t>Other Business</w:t>
      </w:r>
    </w:p>
    <w:p>
      <w:pPr>
        <w:pStyle w:val="TextBody"/>
        <w:bidi w:val="0"/>
        <w:spacing w:lineRule="auto" w:line="312" w:before="120" w:after="160"/>
        <w:jc w:val="both"/>
        <w:rPr>
          <w:rFonts w:ascii="Lato;sans-serif" w:hAnsi="Lato;sans-serif"/>
          <w:b w:val="false"/>
          <w:color w:val="000000"/>
          <w:sz w:val="18"/>
        </w:rPr>
      </w:pPr>
      <w:r>
        <w:rPr>
          <w:rFonts w:ascii="Lato;sans-serif" w:hAnsi="Lato;sans-serif"/>
          <w:b w:val="false"/>
          <w:color w:val="000000"/>
          <w:sz w:val="18"/>
        </w:rPr>
        <w:t>Our Board does not know of any other matters to be presented at the Annual Meeting. If any additional matters are properly presented at the Annual Meeting, the persons named in the proxy card will have discretion to vote the shares represented by proxy in accordance with their own judgment on such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40410"/>
                <wp:effectExtent l="0" t="0" r="0" b="0"/>
                <wp:wrapNone/>
                <wp:docPr id="45" name="Frame3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38</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lineRule="auto" w:line="312" w:before="160" w:after="240"/>
        <w:jc w:val="both"/>
        <w:rPr>
          <w:rFonts w:ascii="Lato;sans-serif" w:hAnsi="Lato;sans-serif"/>
          <w:b w:val="false"/>
          <w:color w:val="000000"/>
          <w:sz w:val="18"/>
        </w:rPr>
      </w:pPr>
      <w:r>
        <w:rPr>
          <w:rFonts w:ascii="Lato;sans-serif" w:hAnsi="Lato;sans-serif"/>
          <w:b w:val="false"/>
          <w:color w:val="000000"/>
          <w:sz w:val="18"/>
        </w:rPr>
        <w:t>It is important that your shares be represented at the Annual Meeting, regardless of the number of shares that you hold. We urge you to vote by telephone, by Internet or by executing and returning the proxy card at your earliest convenience.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520"/>
        <w:jc w:val="both"/>
        <w:rPr/>
      </w:pPr>
      <w:r>
        <w:rPr>
          <w:rFonts w:ascii="Lato Black;sans-serif" w:hAnsi="Lato Black;sans-serif"/>
          <w:b w:val="false"/>
          <w:color w:val="005CB9"/>
          <w:sz w:val="32"/>
        </w:rPr>
        <w:t xml:space="preserve">Where To Obtain Further Information </w:t>
        <w:br/>
      </w:r>
      <w:r>
        <w:rPr>
          <w:rFonts w:ascii="Lato;sans-serif" w:hAnsi="Lato;sans-serif"/>
          <w:b w:val="false"/>
          <w:color w:val="000000"/>
          <w:sz w:val="18"/>
        </w:rPr>
        <w:t>We make available, free of charge on our website, all of our filings that are made electronically with the Securities and Exchange Commission (“SEC”), including Forms 10-K, 10-Q and 8-K. To access these filings, see “Corporate Governance” caption on our website at https://investors.intuitivemachines.com/.We will provide without charge to stockholders, a copy of the 2024 Annual Report, including financial statements thereto, submitted by writing to Intuitive Machines, Inc., 13467 Columbia Shuttle Street, Houston</w:t>
      </w:r>
      <w:r>
        <w:rPr>
          <w:rFonts w:ascii="Lato;sans-serif" w:hAnsi="Lato;sans-serif"/>
          <w:b/>
          <w:color w:val="000000"/>
          <w:sz w:val="18"/>
        </w:rPr>
        <w:t xml:space="preserve">, </w:t>
      </w:r>
      <w:r>
        <w:rPr>
          <w:rFonts w:ascii="Lato;sans-serif" w:hAnsi="Lato;sans-serif"/>
          <w:b w:val="false"/>
          <w:color w:val="000000"/>
          <w:sz w:val="18"/>
        </w:rPr>
        <w:t>Texas</w:t>
      </w:r>
      <w:r>
        <w:rPr>
          <w:color w:val="000000"/>
        </w:rPr>
        <w:t xml:space="preserve"> </w:t>
      </w:r>
      <w:r>
        <w:rPr>
          <w:rFonts w:ascii="Lato;sans-serif" w:hAnsi="Lato;sans-serif"/>
          <w:b w:val="false"/>
          <w:color w:val="000000"/>
          <w:sz w:val="18"/>
        </w:rPr>
        <w:t>77059, Attention: Corporate Secretary or oral request by calling (281) 520-3703.</w:t>
      </w:r>
    </w:p>
    <w:p>
      <w:pPr>
        <w:pStyle w:val="TextBody"/>
        <w:bidi w:val="0"/>
        <w:spacing w:before="16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40410"/>
                <wp:effectExtent l="0" t="0" r="0" b="0"/>
                <wp:wrapNone/>
                <wp:docPr id="46" name="Frame3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before="160" w:after="160"/>
        <w:jc w:val="left"/>
        <w:rPr/>
      </w:pPr>
      <w:r>
        <w:rPr/>
        <w:drawing>
          <wp:inline distT="0" distB="0" distL="0" distR="0">
            <wp:extent cx="6172200" cy="7953375"/>
            <wp:effectExtent l="0" t="0" r="0" b="0"/>
            <wp:docPr id="4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8" descr=""/>
                    <pic:cNvPicPr>
                      <a:picLocks noChangeAspect="1" noChangeArrowheads="1"/>
                    </pic:cNvPicPr>
                  </pic:nvPicPr>
                  <pic:blipFill>
                    <a:blip r:embed="rId9"/>
                    <a:stretch>
                      <a:fillRect/>
                    </a:stretch>
                  </pic:blipFill>
                  <pic:spPr bwMode="auto">
                    <a:xfrm>
                      <a:off x="0" y="0"/>
                      <a:ext cx="6172200" cy="79533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40410"/>
                <wp:effectExtent l="0" t="0" r="0" b="0"/>
                <wp:wrapNone/>
                <wp:docPr id="48" name="Frame4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40</w:t>
                            </w:r>
                          </w:p>
                        </w:tc>
                      </w:tr>
                    </w:tbl>
                    <w:p>
                      <w:pPr>
                        <w:pStyle w:val="TextBody"/>
                        <w:bidi w:val="0"/>
                        <w:spacing w:before="0" w:after="283"/>
                        <w:jc w:val="left"/>
                        <w:rPr/>
                      </w:pPr>
                      <w:r>
                        <w:rPr/>
                      </w:r>
                    </w:p>
                  </w:txbxContent>
                </v:textbox>
                <w10:wrap type="none"/>
              </v:rect>
            </w:pict>
          </mc:Fallback>
        </mc:AlternateContent>
      </w:r>
    </w:p>
    <w:p>
      <w:pPr>
        <w:pStyle w:val="TextBody"/>
        <w:bidi w:val="0"/>
        <w:spacing w:before="160" w:after="160"/>
        <w:jc w:val="left"/>
        <w:rPr/>
      </w:pPr>
      <w:r>
        <w:rPr/>
      </w:r>
    </w:p>
    <w:p>
      <w:pPr>
        <w:pStyle w:val="TextBody"/>
        <w:bidi w:val="0"/>
        <w:spacing w:before="160" w:after="160"/>
        <w:jc w:val="left"/>
        <w:rPr/>
      </w:pPr>
      <w:r>
        <w:rPr/>
        <w:drawing>
          <wp:inline distT="0" distB="0" distL="0" distR="0">
            <wp:extent cx="6172200" cy="7981950"/>
            <wp:effectExtent l="0" t="0" r="0" b="0"/>
            <wp:docPr id="4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9" descr=""/>
                    <pic:cNvPicPr>
                      <a:picLocks noChangeAspect="1" noChangeArrowheads="1"/>
                    </pic:cNvPicPr>
                  </pic:nvPicPr>
                  <pic:blipFill>
                    <a:blip r:embed="rId10"/>
                    <a:stretch>
                      <a:fillRect/>
                    </a:stretch>
                  </pic:blipFill>
                  <pic:spPr bwMode="auto">
                    <a:xfrm>
                      <a:off x="0" y="0"/>
                      <a:ext cx="6172200" cy="798195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40410"/>
                <wp:effectExtent l="0" t="0" r="0" b="0"/>
                <wp:wrapNone/>
                <wp:docPr id="50" name="Frame4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r>
                                    <w:br w:type="page"/>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5491" w:type="dxa"/>
                        <w:jc w:val="center"/>
                        <w:tblInd w:w="0" w:type="dxa"/>
                        <w:tblLayout w:type="fixed"/>
                        <w:tblCellMar>
                          <w:top w:w="28" w:type="dxa"/>
                          <w:left w:w="28" w:type="dxa"/>
                          <w:bottom w:w="28" w:type="dxa"/>
                          <w:right w:w="28" w:type="dxa"/>
                        </w:tblCellMar>
                      </w:tblPr>
                      <w:tblGrid>
                        <w:gridCol w:w="1846"/>
                        <w:gridCol w:w="1623"/>
                        <w:gridCol w:w="1631"/>
                        <w:gridCol w:w="114"/>
                        <w:gridCol w:w="114"/>
                        <w:gridCol w:w="163"/>
                      </w:tblGrid>
                      <w:tr>
                        <w:trPr/>
                        <w:tc>
                          <w:tcPr>
                            <w:tcW w:w="1846"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6"/>
                              </w:rPr>
                            </w:pPr>
                            <w:r>
                              <w:rPr>
                                <w:rFonts w:ascii="Lato;sans-serif" w:hAnsi="Lato;sans-serif"/>
                                <w:b/>
                                <w:color w:val="000000"/>
                                <w:sz w:val="16"/>
                              </w:rPr>
                              <w:t>INTUITIVE MACHINES, INC | 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0000"/>
                                <w:sz w:val="16"/>
                              </w:rPr>
                            </w:pPr>
                            <w:r>
                              <w:rPr>
                                <w:rFonts w:ascii="Lato;sans-serif" w:hAnsi="Lato;sans-serif"/>
                                <w:b/>
                                <w:color w:val="000000"/>
                                <w:sz w:val="16"/>
                              </w:rPr>
                              <w:t>41</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ato">
    <w:altName w:val="sans-serif"/>
    <w:charset w:val="01"/>
    <w:family w:val="auto"/>
    <w:pitch w:val="default"/>
  </w:font>
  <w:font w:name="Lato Black">
    <w:altName w:val="sans-serif"/>
    <w:charset w:val="01"/>
    <w:family w:val="auto"/>
    <w:pitch w:val="default"/>
  </w:font>
  <w:font w:name="Wingdings 2">
    <w:altName w:val="sans-serif"/>
    <w:charset w:val="02"/>
    <w:family w:val="auto"/>
    <w:pitch w:val="default"/>
  </w:font>
  <w:font w:name="Webdings">
    <w:altName w:val="sans-serif"/>
    <w:charset w:val="02"/>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22404</Words>
  <Characters>121550</Characters>
  <CharactersWithSpaces>143245</CharactersWithSpaces>
  <Paragraphs>1087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