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eading5"/>
        <w:bidi w:val="0"/>
        <w:spacing w:before="120" w:after="60"/>
        <w:jc w:val="left"/>
        <w:rPr/>
      </w:pPr>
      <w:hyperlink w:anchor="toc">
        <w:bookmarkStart w:id="0" w:name="d130878ds3asr.htm"/>
        <w:bookmarkStart w:id="1" w:name="ksd130878ds3asr"/>
        <w:bookmarkEnd w:id="0"/>
        <w:bookmarkEnd w:id="1"/>
        <w:r>
          <w:rPr>
            <w:rStyle w:val="InternetLink"/>
            <w:b/>
            <w:sz w:val="20"/>
          </w:rPr>
          <w:t>Table of Contents</w:t>
        </w:r>
      </w:hyperlink>
    </w:p>
    <w:p>
      <w:pPr>
        <w:pStyle w:val="TextBody"/>
        <w:bidi w:val="0"/>
        <w:spacing w:before="0" w:after="0"/>
        <w:jc w:val="center"/>
        <w:rPr>
          <w:rFonts w:ascii="Times New Roman" w:hAnsi="Times New Roman"/>
          <w:b/>
          <w:sz w:val="18"/>
        </w:rPr>
      </w:pPr>
      <w:r>
        <w:rPr>
          <w:rFonts w:ascii="Times New Roman" w:hAnsi="Times New Roman"/>
          <w:b/>
          <w:sz w:val="18"/>
        </w:rPr>
        <w:t xml:space="preserve">As filed with the Securities and Exchange Commission on June 2, 2026 </w:t>
      </w:r>
    </w:p>
    <w:p>
      <w:pPr>
        <w:pStyle w:val="TextBody"/>
        <w:bidi w:val="0"/>
        <w:spacing w:before="0" w:after="0"/>
        <w:jc w:val="right"/>
        <w:rPr>
          <w:rFonts w:ascii="Times New Roman" w:hAnsi="Times New Roman"/>
          <w:b/>
          <w:sz w:val="18"/>
        </w:rPr>
      </w:pPr>
      <w:r>
        <w:rPr>
          <w:rFonts w:ascii="Times New Roman" w:hAnsi="Times New Roman"/>
          <w:b/>
          <w:sz w:val="18"/>
        </w:rPr>
        <w:t xml:space="preserve">Registration No. 333-     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2"/>
        </w:rPr>
      </w:pPr>
      <w:r>
        <w:rPr>
          <w:rFonts w:ascii="Times New Roman" w:hAnsi="Times New Roman"/>
          <w:b/>
          <w:sz w:val="32"/>
        </w:rPr>
        <w:t xml:space="preserve">UNITED STATES </w:t>
      </w:r>
    </w:p>
    <w:p>
      <w:pPr>
        <w:pStyle w:val="TextBody"/>
        <w:bidi w:val="0"/>
        <w:spacing w:before="0" w:after="0"/>
        <w:jc w:val="center"/>
        <w:rPr>
          <w:rFonts w:ascii="Times New Roman" w:hAnsi="Times New Roman"/>
          <w:b/>
          <w:sz w:val="32"/>
        </w:rPr>
      </w:pPr>
      <w:r>
        <w:rPr>
          <w:rFonts w:ascii="Times New Roman" w:hAnsi="Times New Roman"/>
          <w:b/>
          <w:sz w:val="32"/>
        </w:rPr>
        <w:t xml:space="preserve">SECURITIES AND EXCHANGE COMMISSION </w:t>
      </w:r>
    </w:p>
    <w:p>
      <w:pPr>
        <w:pStyle w:val="TextBody"/>
        <w:bidi w:val="0"/>
        <w:spacing w:before="0" w:after="0"/>
        <w:jc w:val="center"/>
        <w:rPr>
          <w:rFonts w:ascii="Times New Roman" w:hAnsi="Times New Roman"/>
          <w:b/>
          <w:sz w:val="22"/>
        </w:rPr>
      </w:pPr>
      <w:r>
        <w:rPr>
          <w:rFonts w:ascii="Times New Roman" w:hAnsi="Times New Roman"/>
          <w:b/>
          <w:sz w:val="22"/>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2"/>
        </w:rPr>
      </w:pPr>
      <w:r>
        <w:rPr>
          <w:rFonts w:ascii="Times New Roman" w:hAnsi="Times New Roman"/>
          <w:b/>
          <w:sz w:val="32"/>
        </w:rPr>
        <w:t xml:space="preserve">FORM S-3 </w:t>
      </w:r>
    </w:p>
    <w:p>
      <w:pPr>
        <w:pStyle w:val="TextBody"/>
        <w:bidi w:val="0"/>
        <w:spacing w:before="0" w:after="0"/>
        <w:jc w:val="center"/>
        <w:rPr>
          <w:rFonts w:ascii="Times New Roman" w:hAnsi="Times New Roman"/>
          <w:b/>
          <w:sz w:val="32"/>
        </w:rPr>
      </w:pPr>
      <w:r>
        <w:rPr>
          <w:rFonts w:ascii="Times New Roman" w:hAnsi="Times New Roman"/>
          <w:b/>
          <w:sz w:val="32"/>
        </w:rPr>
        <w:t xml:space="preserve">REGISTRATION STATEMENT </w:t>
      </w:r>
    </w:p>
    <w:p>
      <w:pPr>
        <w:pStyle w:val="TextBody"/>
        <w:bidi w:val="0"/>
        <w:spacing w:before="0" w:after="0"/>
        <w:jc w:val="center"/>
        <w:rPr>
          <w:rFonts w:ascii="Times New Roman" w:hAnsi="Times New Roman"/>
          <w:b/>
          <w:i/>
          <w:sz w:val="22"/>
        </w:rPr>
      </w:pPr>
      <w:r>
        <w:rPr>
          <w:rFonts w:ascii="Times New Roman" w:hAnsi="Times New Roman"/>
          <w:b/>
          <w:i/>
          <w:sz w:val="22"/>
        </w:rPr>
        <w:t xml:space="preserve">UNDER </w:t>
      </w:r>
    </w:p>
    <w:p>
      <w:pPr>
        <w:pStyle w:val="TextBody"/>
        <w:bidi w:val="0"/>
        <w:spacing w:before="0" w:after="0"/>
        <w:jc w:val="center"/>
        <w:rPr>
          <w:rFonts w:ascii="Times New Roman" w:hAnsi="Times New Roman"/>
          <w:b/>
          <w:i/>
          <w:sz w:val="22"/>
        </w:rPr>
      </w:pPr>
      <w:r>
        <w:rPr>
          <w:rFonts w:ascii="Times New Roman" w:hAnsi="Times New Roman"/>
          <w:b/>
          <w:i/>
          <w:sz w:val="22"/>
        </w:rPr>
        <w:t xml:space="preserve">THE SECURITIES ACT OF 1933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0"/>
        </w:rPr>
      </w:pPr>
      <w:r>
        <w:rPr>
          <w:rFonts w:ascii="Times New Roman" w:hAnsi="Times New Roman"/>
          <w:b/>
          <w:sz w:val="40"/>
        </w:rPr>
        <w:t xml:space="preserve">INTUITIVE MACHINES, INC. </w:t>
      </w:r>
    </w:p>
    <w:p>
      <w:pPr>
        <w:pStyle w:val="TextBody"/>
        <w:bidi w:val="0"/>
        <w:spacing w:before="0" w:after="0"/>
        <w:jc w:val="center"/>
        <w:rPr>
          <w:rFonts w:ascii="Times New Roman" w:hAnsi="Times New Roman"/>
          <w:b/>
          <w:sz w:val="18"/>
        </w:rPr>
      </w:pPr>
      <w:r>
        <w:rPr>
          <w:rFonts w:ascii="Times New Roman" w:hAnsi="Times New Roman"/>
          <w:b/>
          <w:sz w:val="18"/>
        </w:rPr>
        <w:t xml:space="preserve">(Exact Name of Registrant as Specified in Its Charter)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154"/>
        <w:gridCol w:w="102"/>
        <w:gridCol w:w="4949"/>
      </w:tblGrid>
      <w:tr>
        <w:trPr/>
        <w:tc>
          <w:tcPr>
            <w:tcW w:w="5154" w:type="dxa"/>
            <w:tcBorders/>
            <w:vAlign w:val="center"/>
          </w:tcPr>
          <w:p>
            <w:pPr>
              <w:pStyle w:val="TableContents"/>
              <w:bidi w:val="0"/>
              <w:spacing w:before="0" w:after="283"/>
              <w:jc w:val="left"/>
              <w:rPr>
                <w:sz w:val="4"/>
                <w:szCs w:val="4"/>
              </w:rPr>
            </w:pPr>
            <w:r>
              <w:rPr>
                <w:sz w:val="4"/>
                <w:szCs w:val="4"/>
              </w:rPr>
            </w:r>
          </w:p>
        </w:tc>
        <w:tc>
          <w:tcPr>
            <w:tcW w:w="102" w:type="dxa"/>
            <w:tcBorders/>
            <w:vAlign w:val="bottom"/>
          </w:tcPr>
          <w:p>
            <w:pPr>
              <w:pStyle w:val="TableContents"/>
              <w:bidi w:val="0"/>
              <w:spacing w:before="0" w:after="283"/>
              <w:jc w:val="left"/>
              <w:rPr>
                <w:sz w:val="4"/>
                <w:szCs w:val="4"/>
              </w:rPr>
            </w:pPr>
            <w:r>
              <w:rPr>
                <w:sz w:val="4"/>
                <w:szCs w:val="4"/>
              </w:rPr>
            </w:r>
          </w:p>
        </w:tc>
        <w:tc>
          <w:tcPr>
            <w:tcW w:w="4949" w:type="dxa"/>
            <w:tcBorders/>
            <w:vAlign w:val="center"/>
          </w:tcPr>
          <w:p>
            <w:pPr>
              <w:pStyle w:val="TableContents"/>
              <w:bidi w:val="0"/>
              <w:spacing w:before="0" w:after="283"/>
              <w:jc w:val="left"/>
              <w:rPr>
                <w:sz w:val="4"/>
                <w:szCs w:val="4"/>
              </w:rPr>
            </w:pPr>
            <w:r>
              <w:rPr>
                <w:sz w:val="4"/>
                <w:szCs w:val="4"/>
              </w:rPr>
            </w:r>
          </w:p>
        </w:tc>
      </w:tr>
      <w:tr>
        <w:trPr/>
        <w:tc>
          <w:tcPr>
            <w:tcW w:w="5154" w:type="dxa"/>
            <w:tcBorders/>
          </w:tcPr>
          <w:p>
            <w:pPr>
              <w:pStyle w:val="TableContents"/>
              <w:bidi w:val="0"/>
              <w:spacing w:before="0" w:after="283"/>
              <w:jc w:val="center"/>
              <w:rPr>
                <w:b/>
              </w:rPr>
            </w:pPr>
            <w:r>
              <w:rPr>
                <w:b/>
              </w:rPr>
              <w:t>Delaware</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283"/>
              <w:jc w:val="center"/>
              <w:rPr>
                <w:b/>
              </w:rPr>
            </w:pPr>
            <w:r>
              <w:rPr>
                <w:b/>
              </w:rPr>
              <w:t>36-5056189</w:t>
            </w:r>
          </w:p>
        </w:tc>
      </w:tr>
      <w:tr>
        <w:trPr/>
        <w:tc>
          <w:tcPr>
            <w:tcW w:w="5154" w:type="dxa"/>
            <w:tcBorders/>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 of</w:t>
            </w:r>
          </w:p>
          <w:p>
            <w:pPr>
              <w:pStyle w:val="TableContents"/>
              <w:bidi w:val="0"/>
              <w:spacing w:before="0" w:after="20"/>
              <w:jc w:val="center"/>
              <w:rPr>
                <w:rFonts w:ascii="Times New Roman" w:hAnsi="Times New Roman"/>
                <w:b/>
                <w:sz w:val="16"/>
              </w:rPr>
            </w:pPr>
            <w:r>
              <w:rPr>
                <w:rFonts w:ascii="Times New Roman" w:hAnsi="Times New Roman"/>
                <w:b/>
                <w:sz w:val="16"/>
              </w:rPr>
              <w:t>Incorporation or Organization)</w:t>
            </w:r>
          </w:p>
        </w:tc>
        <w:tc>
          <w:tcPr>
            <w:tcW w:w="102" w:type="dxa"/>
            <w:tcBorders/>
            <w:vAlign w:val="bottom"/>
          </w:tcPr>
          <w:p>
            <w:pPr>
              <w:pStyle w:val="TableContents"/>
              <w:bidi w:val="0"/>
              <w:spacing w:before="0" w:after="283"/>
              <w:jc w:val="left"/>
              <w:rPr/>
            </w:pPr>
            <w:r>
              <w:rPr/>
              <w:t> </w:t>
            </w:r>
          </w:p>
        </w:tc>
        <w:tc>
          <w:tcPr>
            <w:tcW w:w="4949" w:type="dxa"/>
            <w:tcBorders/>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Number)</w:t>
            </w:r>
          </w:p>
        </w:tc>
      </w:tr>
    </w:tbl>
    <w:p>
      <w:pPr>
        <w:pStyle w:val="TextBody"/>
        <w:bidi w:val="0"/>
        <w:spacing w:before="120" w:after="0"/>
        <w:jc w:val="center"/>
        <w:rPr>
          <w:rFonts w:ascii="Times New Roman" w:hAnsi="Times New Roman"/>
          <w:b/>
          <w:sz w:val="18"/>
        </w:rPr>
      </w:pPr>
      <w:r>
        <w:rPr>
          <w:rFonts w:ascii="Times New Roman" w:hAnsi="Times New Roman"/>
          <w:b/>
          <w:sz w:val="18"/>
        </w:rPr>
        <w:t xml:space="preserve">13467 Columbia Shuttle Street </w:t>
      </w:r>
    </w:p>
    <w:p>
      <w:pPr>
        <w:pStyle w:val="TextBody"/>
        <w:bidi w:val="0"/>
        <w:spacing w:before="0" w:after="0"/>
        <w:jc w:val="center"/>
        <w:rPr>
          <w:rFonts w:ascii="Times New Roman" w:hAnsi="Times New Roman"/>
          <w:b/>
          <w:sz w:val="18"/>
        </w:rPr>
      </w:pPr>
      <w:r>
        <w:rPr>
          <w:rFonts w:ascii="Times New Roman" w:hAnsi="Times New Roman"/>
          <w:b/>
          <w:sz w:val="18"/>
        </w:rPr>
        <w:t xml:space="preserve">Houston, TX 77059 </w:t>
      </w:r>
    </w:p>
    <w:p>
      <w:pPr>
        <w:pStyle w:val="TextBody"/>
        <w:bidi w:val="0"/>
        <w:spacing w:before="0" w:after="0"/>
        <w:jc w:val="center"/>
        <w:rPr>
          <w:rFonts w:ascii="Times New Roman" w:hAnsi="Times New Roman"/>
          <w:b/>
          <w:sz w:val="18"/>
        </w:rPr>
      </w:pPr>
      <w:r>
        <w:rPr>
          <w:rFonts w:ascii="Times New Roman" w:hAnsi="Times New Roman"/>
          <w:b/>
          <w:sz w:val="18"/>
        </w:rPr>
        <w:t xml:space="preserve">Telephone: (281) 520-3703 </w:t>
      </w:r>
    </w:p>
    <w:p>
      <w:pPr>
        <w:pStyle w:val="TextBody"/>
        <w:bidi w:val="0"/>
        <w:spacing w:before="0" w:after="0"/>
        <w:jc w:val="center"/>
        <w:rPr>
          <w:rFonts w:ascii="Times New Roman" w:hAnsi="Times New Roman"/>
          <w:b/>
          <w:sz w:val="16"/>
        </w:rPr>
      </w:pPr>
      <w:r>
        <w:rPr>
          <w:rFonts w:ascii="Times New Roman" w:hAnsi="Times New Roman"/>
          <w:b/>
          <w:sz w:val="16"/>
        </w:rPr>
        <w:t xml:space="preserve">(Address, Including Zip Code, and Telephone Number, Including Area Code, of Registrant’s Principal Executive Offices)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8"/>
        </w:rPr>
      </w:pPr>
      <w:r>
        <w:rPr>
          <w:rFonts w:ascii="Times New Roman" w:hAnsi="Times New Roman"/>
          <w:b/>
          <w:sz w:val="18"/>
        </w:rPr>
        <w:t xml:space="preserve">Anna Chiara Jones </w:t>
      </w:r>
    </w:p>
    <w:p>
      <w:pPr>
        <w:pStyle w:val="TextBody"/>
        <w:bidi w:val="0"/>
        <w:spacing w:before="0" w:after="0"/>
        <w:jc w:val="center"/>
        <w:rPr>
          <w:rFonts w:ascii="Times New Roman" w:hAnsi="Times New Roman"/>
          <w:b/>
          <w:sz w:val="18"/>
        </w:rPr>
      </w:pPr>
      <w:r>
        <w:rPr>
          <w:rFonts w:ascii="Times New Roman" w:hAnsi="Times New Roman"/>
          <w:b/>
          <w:sz w:val="18"/>
        </w:rPr>
        <w:t xml:space="preserve">Senior Vice President, Chief Legal Officer, &amp; Corporate Secretary </w:t>
      </w:r>
    </w:p>
    <w:p>
      <w:pPr>
        <w:pStyle w:val="TextBody"/>
        <w:bidi w:val="0"/>
        <w:spacing w:before="0" w:after="0"/>
        <w:jc w:val="center"/>
        <w:rPr>
          <w:rFonts w:ascii="Times New Roman" w:hAnsi="Times New Roman"/>
          <w:b/>
          <w:sz w:val="18"/>
        </w:rPr>
      </w:pPr>
      <w:r>
        <w:rPr>
          <w:rFonts w:ascii="Times New Roman" w:hAnsi="Times New Roman"/>
          <w:b/>
          <w:sz w:val="18"/>
        </w:rPr>
        <w:t xml:space="preserve">13467 Columbia Shuttle Street </w:t>
      </w:r>
    </w:p>
    <w:p>
      <w:pPr>
        <w:pStyle w:val="TextBody"/>
        <w:bidi w:val="0"/>
        <w:spacing w:before="0" w:after="0"/>
        <w:jc w:val="center"/>
        <w:rPr>
          <w:rFonts w:ascii="Times New Roman" w:hAnsi="Times New Roman"/>
          <w:b/>
          <w:sz w:val="18"/>
        </w:rPr>
      </w:pPr>
      <w:r>
        <w:rPr>
          <w:rFonts w:ascii="Times New Roman" w:hAnsi="Times New Roman"/>
          <w:b/>
          <w:sz w:val="18"/>
        </w:rPr>
        <w:t xml:space="preserve">Houston, TX 77059 </w:t>
      </w:r>
    </w:p>
    <w:p>
      <w:pPr>
        <w:pStyle w:val="TextBody"/>
        <w:bidi w:val="0"/>
        <w:spacing w:before="0" w:after="0"/>
        <w:jc w:val="center"/>
        <w:rPr>
          <w:rFonts w:ascii="Times New Roman" w:hAnsi="Times New Roman"/>
          <w:b/>
          <w:sz w:val="18"/>
        </w:rPr>
      </w:pPr>
      <w:r>
        <w:rPr>
          <w:rFonts w:ascii="Times New Roman" w:hAnsi="Times New Roman"/>
          <w:b/>
          <w:sz w:val="18"/>
        </w:rPr>
        <w:t xml:space="preserve">Telephone: (281) 520-3703 </w:t>
      </w:r>
    </w:p>
    <w:p>
      <w:pPr>
        <w:pStyle w:val="TextBody"/>
        <w:bidi w:val="0"/>
        <w:spacing w:before="0" w:after="0"/>
        <w:jc w:val="center"/>
        <w:rPr>
          <w:rFonts w:ascii="Times New Roman" w:hAnsi="Times New Roman"/>
          <w:b/>
          <w:sz w:val="16"/>
        </w:rPr>
      </w:pPr>
      <w:r>
        <w:rPr>
          <w:rFonts w:ascii="Times New Roman" w:hAnsi="Times New Roman"/>
          <w:b/>
          <w:sz w:val="16"/>
        </w:rPr>
        <w:t xml:space="preserve">(Name, Address, Including Zip Code, and Telephone Number, Including Area Code, of Agent For Service)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i/>
          <w:sz w:val="18"/>
        </w:rPr>
      </w:pPr>
      <w:r>
        <w:rPr>
          <w:rFonts w:ascii="Times New Roman" w:hAnsi="Times New Roman"/>
          <w:b/>
          <w:i/>
          <w:sz w:val="18"/>
        </w:rPr>
        <w:t xml:space="preserve">Copies to: </w:t>
      </w:r>
    </w:p>
    <w:p>
      <w:pPr>
        <w:pStyle w:val="TextBody"/>
        <w:bidi w:val="0"/>
        <w:spacing w:before="120" w:after="0"/>
        <w:jc w:val="center"/>
        <w:rPr>
          <w:rFonts w:ascii="Times New Roman" w:hAnsi="Times New Roman"/>
          <w:b/>
          <w:sz w:val="18"/>
        </w:rPr>
      </w:pPr>
      <w:r>
        <w:rPr>
          <w:rFonts w:ascii="Times New Roman" w:hAnsi="Times New Roman"/>
          <w:b/>
          <w:sz w:val="18"/>
        </w:rPr>
        <w:t xml:space="preserve">William R. Golden III </w:t>
      </w:r>
    </w:p>
    <w:p>
      <w:pPr>
        <w:pStyle w:val="TextBody"/>
        <w:bidi w:val="0"/>
        <w:spacing w:before="0" w:after="0"/>
        <w:jc w:val="center"/>
        <w:rPr>
          <w:rFonts w:ascii="Times New Roman" w:hAnsi="Times New Roman"/>
          <w:b/>
          <w:sz w:val="18"/>
        </w:rPr>
      </w:pPr>
      <w:r>
        <w:rPr>
          <w:rFonts w:ascii="Times New Roman" w:hAnsi="Times New Roman"/>
          <w:b/>
          <w:sz w:val="18"/>
        </w:rPr>
        <w:t xml:space="preserve">Simpson Thacher &amp; Bartlett LLP </w:t>
      </w:r>
    </w:p>
    <w:p>
      <w:pPr>
        <w:pStyle w:val="TextBody"/>
        <w:bidi w:val="0"/>
        <w:spacing w:before="0" w:after="0"/>
        <w:jc w:val="center"/>
        <w:rPr>
          <w:rFonts w:ascii="Times New Roman" w:hAnsi="Times New Roman"/>
          <w:b/>
          <w:sz w:val="18"/>
        </w:rPr>
      </w:pPr>
      <w:r>
        <w:rPr>
          <w:rFonts w:ascii="Times New Roman" w:hAnsi="Times New Roman"/>
          <w:b/>
          <w:sz w:val="18"/>
        </w:rPr>
        <w:t xml:space="preserve">900 G Street, N.W. </w:t>
      </w:r>
    </w:p>
    <w:p>
      <w:pPr>
        <w:pStyle w:val="TextBody"/>
        <w:bidi w:val="0"/>
        <w:spacing w:before="0" w:after="0"/>
        <w:jc w:val="center"/>
        <w:rPr>
          <w:rFonts w:ascii="Times New Roman" w:hAnsi="Times New Roman"/>
          <w:b/>
          <w:sz w:val="18"/>
        </w:rPr>
      </w:pPr>
      <w:r>
        <w:rPr>
          <w:rFonts w:ascii="Times New Roman" w:hAnsi="Times New Roman"/>
          <w:b/>
          <w:sz w:val="18"/>
        </w:rPr>
        <w:t xml:space="preserve">Washington, D.C. 20001 </w:t>
      </w:r>
    </w:p>
    <w:p>
      <w:pPr>
        <w:pStyle w:val="TextBody"/>
        <w:bidi w:val="0"/>
        <w:spacing w:before="0" w:after="0"/>
        <w:jc w:val="center"/>
        <w:rPr>
          <w:rFonts w:ascii="Times New Roman" w:hAnsi="Times New Roman"/>
          <w:b/>
          <w:sz w:val="18"/>
        </w:rPr>
      </w:pPr>
      <w:r>
        <w:rPr>
          <w:rFonts w:ascii="Times New Roman" w:hAnsi="Times New Roman"/>
          <w:b/>
          <w:sz w:val="18"/>
        </w:rPr>
        <w:t xml:space="preserve">Telephone: (202) 636-5500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8"/>
        </w:rPr>
      </w:pPr>
      <w:r>
        <w:rPr>
          <w:rFonts w:ascii="Times New Roman" w:hAnsi="Times New Roman"/>
          <w:b/>
          <w:sz w:val="18"/>
        </w:rPr>
        <w:t>Approximate date of commencement of proposed sale to the public</w:t>
      </w:r>
      <w:r>
        <w:rPr>
          <w:rFonts w:ascii="Times New Roman" w:hAnsi="Times New Roman"/>
          <w:sz w:val="18"/>
        </w:rPr>
        <w:t xml:space="preserve">: From time to time after this Registration Statement becomes effective. </w:t>
      </w:r>
    </w:p>
    <w:p>
      <w:pPr>
        <w:pStyle w:val="TextBody"/>
        <w:bidi w:val="0"/>
        <w:spacing w:before="120" w:after="0"/>
        <w:jc w:val="left"/>
        <w:rPr>
          <w:rFonts w:ascii="Times New Roman" w:hAnsi="Times New Roman"/>
          <w:sz w:val="18"/>
        </w:rPr>
      </w:pPr>
      <w:r>
        <w:rPr>
          <w:rFonts w:ascii="Times New Roman" w:hAnsi="Times New Roman"/>
          <w:sz w:val="18"/>
        </w:rPr>
        <w:t xml:space="preserve">If the only securities being registered on this Form are being offered pursuant to dividend or interest reinvestment plans, please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registration statement pursuant to General Instruction I.D. or a post-effective amendment thereto that shall become effective upon filing with the Commission pursuant to Rule 462(e) under the Securities Act,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 </w:t>
      </w:r>
    </w:p>
    <w:p>
      <w:pPr>
        <w:pStyle w:val="TextBody"/>
        <w:bidi w:val="0"/>
        <w:spacing w:before="120" w:after="0"/>
        <w:jc w:val="left"/>
        <w:rPr>
          <w:rFonts w:ascii="Times New Roman" w:hAnsi="Times New Roman"/>
          <w:sz w:val="18"/>
        </w:rPr>
      </w:pPr>
      <w:r>
        <w:rPr>
          <w:rFonts w:ascii="Times New Roman" w:hAnsi="Times New Roman"/>
          <w:sz w:val="18"/>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161"/>
        <w:gridCol w:w="104"/>
        <w:gridCol w:w="4807"/>
        <w:gridCol w:w="133"/>
        <w:gridCol w:w="2629"/>
        <w:gridCol w:w="104"/>
        <w:gridCol w:w="267"/>
      </w:tblGrid>
      <w:tr>
        <w:trPr/>
        <w:tc>
          <w:tcPr>
            <w:tcW w:w="2161"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4807"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2629"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r>
      <w:tr>
        <w:trPr/>
        <w:tc>
          <w:tcPr>
            <w:tcW w:w="2161" w:type="dxa"/>
            <w:tcBorders/>
            <w:vAlign w:val="bottom"/>
          </w:tcPr>
          <w:p>
            <w:pPr>
              <w:pStyle w:val="TableContents"/>
              <w:bidi w:val="0"/>
              <w:spacing w:before="0" w:after="283"/>
              <w:jc w:val="left"/>
              <w:rPr/>
            </w:pPr>
            <w:r>
              <w:rPr/>
              <w:t>Large accelerated filer</w:t>
            </w:r>
          </w:p>
        </w:tc>
        <w:tc>
          <w:tcPr>
            <w:tcW w:w="104" w:type="dxa"/>
            <w:tcBorders/>
            <w:vAlign w:val="bottom"/>
          </w:tcPr>
          <w:p>
            <w:pPr>
              <w:pStyle w:val="TableContents"/>
              <w:bidi w:val="0"/>
              <w:spacing w:before="0" w:after="283"/>
              <w:jc w:val="left"/>
              <w:rPr/>
            </w:pPr>
            <w:r>
              <w:rPr/>
              <w:t> </w:t>
            </w:r>
          </w:p>
        </w:tc>
        <w:tc>
          <w:tcPr>
            <w:tcW w:w="4807" w:type="dxa"/>
            <w:tcBorders/>
            <w:vAlign w:val="bottom"/>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2629" w:type="dxa"/>
            <w:tcBorders/>
            <w:vAlign w:val="bottom"/>
          </w:tcPr>
          <w:p>
            <w:pPr>
              <w:pStyle w:val="TableContents"/>
              <w:bidi w:val="0"/>
              <w:spacing w:before="0" w:after="283"/>
              <w:jc w:val="left"/>
              <w:rPr/>
            </w:pPr>
            <w:r>
              <w:rPr/>
              <w:t>Accelerated filer</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r>
        <w:trPr>
          <w:trHeight w:val="120" w:hRule="atLeast"/>
        </w:trPr>
        <w:tc>
          <w:tcPr>
            <w:tcW w:w="2161"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r>
      <w:tr>
        <w:trPr/>
        <w:tc>
          <w:tcPr>
            <w:tcW w:w="2161" w:type="dxa"/>
            <w:tcBorders/>
            <w:vAlign w:val="bottom"/>
          </w:tcPr>
          <w:p>
            <w:pPr>
              <w:pStyle w:val="TableContents"/>
              <w:bidi w:val="0"/>
              <w:spacing w:before="0" w:after="283"/>
              <w:jc w:val="left"/>
              <w:rPr/>
            </w:pPr>
            <w:r>
              <w:rPr/>
              <w:t>Non-accelerated filer</w:t>
            </w:r>
          </w:p>
        </w:tc>
        <w:tc>
          <w:tcPr>
            <w:tcW w:w="104" w:type="dxa"/>
            <w:tcBorders/>
            <w:vAlign w:val="bottom"/>
          </w:tcPr>
          <w:p>
            <w:pPr>
              <w:pStyle w:val="TableContents"/>
              <w:bidi w:val="0"/>
              <w:spacing w:before="0" w:after="283"/>
              <w:jc w:val="left"/>
              <w:rPr/>
            </w:pPr>
            <w:r>
              <w:rPr/>
              <w:t> </w:t>
            </w:r>
          </w:p>
        </w:tc>
        <w:tc>
          <w:tcPr>
            <w:tcW w:w="4807" w:type="dxa"/>
            <w:tcBorders/>
            <w:vAlign w:val="bottom"/>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2629" w:type="dxa"/>
            <w:tcBorders/>
            <w:vAlign w:val="bottom"/>
          </w:tcPr>
          <w:p>
            <w:pPr>
              <w:pStyle w:val="TableContents"/>
              <w:bidi w:val="0"/>
              <w:spacing w:before="0" w:after="283"/>
              <w:jc w:val="left"/>
              <w:rPr/>
            </w:pPr>
            <w:r>
              <w:rPr/>
              <w:t>Smaller reporting company</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r>
        <w:trPr>
          <w:trHeight w:val="120" w:hRule="atLeast"/>
        </w:trPr>
        <w:tc>
          <w:tcPr>
            <w:tcW w:w="2161" w:type="dxa"/>
            <w:tcBorders/>
            <w:vAlign w:val="center"/>
          </w:tcPr>
          <w:p>
            <w:pPr>
              <w:pStyle w:val="TableContents"/>
              <w:bidi w:val="0"/>
              <w:spacing w:before="0" w:after="283"/>
              <w:jc w:val="left"/>
              <w:rPr>
                <w:sz w:val="4"/>
                <w:szCs w:val="4"/>
              </w:rPr>
            </w:pPr>
            <w:r>
              <w:rPr>
                <w:sz w:val="4"/>
                <w:szCs w:val="4"/>
              </w:rPr>
            </w:r>
          </w:p>
        </w:tc>
        <w:tc>
          <w:tcPr>
            <w:tcW w:w="4911" w:type="dxa"/>
            <w:gridSpan w:val="2"/>
            <w:tcBorders/>
            <w:vAlign w:val="center"/>
          </w:tcPr>
          <w:p>
            <w:pPr>
              <w:pStyle w:val="TableContents"/>
              <w:bidi w:val="0"/>
              <w:spacing w:before="0" w:after="283"/>
              <w:jc w:val="left"/>
              <w:rPr>
                <w:sz w:val="4"/>
                <w:szCs w:val="4"/>
              </w:rPr>
            </w:pPr>
            <w:r>
              <w:rPr>
                <w:sz w:val="4"/>
                <w:szCs w:val="4"/>
              </w:rPr>
            </w:r>
          </w:p>
        </w:tc>
        <w:tc>
          <w:tcPr>
            <w:tcW w:w="2762" w:type="dxa"/>
            <w:gridSpan w:val="2"/>
            <w:tcBorders/>
            <w:vAlign w:val="center"/>
          </w:tcPr>
          <w:p>
            <w:pPr>
              <w:pStyle w:val="TableContents"/>
              <w:bidi w:val="0"/>
              <w:spacing w:before="0" w:after="283"/>
              <w:jc w:val="left"/>
              <w:rPr>
                <w:sz w:val="4"/>
                <w:szCs w:val="4"/>
              </w:rPr>
            </w:pPr>
            <w:r>
              <w:rPr>
                <w:sz w:val="4"/>
                <w:szCs w:val="4"/>
              </w:rPr>
            </w:r>
          </w:p>
        </w:tc>
        <w:tc>
          <w:tcPr>
            <w:tcW w:w="371" w:type="dxa"/>
            <w:gridSpan w:val="2"/>
            <w:tcBorders/>
            <w:vAlign w:val="center"/>
          </w:tcPr>
          <w:p>
            <w:pPr>
              <w:pStyle w:val="TableContents"/>
              <w:bidi w:val="0"/>
              <w:spacing w:before="0" w:after="283"/>
              <w:jc w:val="left"/>
              <w:rPr>
                <w:sz w:val="4"/>
                <w:szCs w:val="4"/>
              </w:rPr>
            </w:pPr>
            <w:r>
              <w:rPr>
                <w:sz w:val="4"/>
                <w:szCs w:val="4"/>
              </w:rPr>
            </w:r>
          </w:p>
        </w:tc>
      </w:tr>
      <w:tr>
        <w:trPr/>
        <w:tc>
          <w:tcPr>
            <w:tcW w:w="2161" w:type="dxa"/>
            <w:tcBorders/>
            <w:vAlign w:val="bottom"/>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pPr>
            <w:r>
              <w:rPr/>
              <w:t> </w:t>
            </w:r>
          </w:p>
        </w:tc>
        <w:tc>
          <w:tcPr>
            <w:tcW w:w="4807" w:type="dxa"/>
            <w:tcBorders/>
            <w:vAlign w:val="bottom"/>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pPr>
            <w:r>
              <w:rPr/>
              <w:t>  </w:t>
            </w:r>
          </w:p>
        </w:tc>
        <w:tc>
          <w:tcPr>
            <w:tcW w:w="2629" w:type="dxa"/>
            <w:tcBorders/>
            <w:vAlign w:val="bottom"/>
          </w:tcPr>
          <w:p>
            <w:pPr>
              <w:pStyle w:val="TableContents"/>
              <w:bidi w:val="0"/>
              <w:spacing w:before="0" w:after="283"/>
              <w:jc w:val="left"/>
              <w:rPr/>
            </w:pPr>
            <w:r>
              <w:rPr/>
              <w:t>Emerging growth company</w:t>
            </w:r>
          </w:p>
        </w:tc>
        <w:tc>
          <w:tcPr>
            <w:tcW w:w="104" w:type="dxa"/>
            <w:tcBorders/>
            <w:vAlign w:val="bottom"/>
          </w:tcPr>
          <w:p>
            <w:pPr>
              <w:pStyle w:val="TableContents"/>
              <w:bidi w:val="0"/>
              <w:spacing w:before="0" w:after="283"/>
              <w:jc w:val="left"/>
              <w:rPr/>
            </w:pPr>
            <w:r>
              <w:rPr/>
              <w:t> </w:t>
            </w:r>
          </w:p>
        </w:tc>
        <w:tc>
          <w:tcPr>
            <w:tcW w:w="267" w:type="dxa"/>
            <w:tcBorders/>
            <w:vAlign w:val="bottom"/>
          </w:tcPr>
          <w:p>
            <w:pPr>
              <w:pStyle w:val="TableContents"/>
              <w:bidi w:val="0"/>
              <w:spacing w:before="0" w:after="283"/>
              <w:jc w:val="left"/>
              <w:rPr/>
            </w:pPr>
            <w:r>
              <w:rPr/>
              <w:t>☒</w:t>
            </w:r>
          </w:p>
        </w:tc>
      </w:tr>
    </w:tbl>
    <w:p>
      <w:pPr>
        <w:pStyle w:val="TextBody"/>
        <w:bidi w:val="0"/>
        <w:spacing w:before="120" w:after="0"/>
        <w:jc w:val="left"/>
        <w:rPr>
          <w:rFonts w:ascii="Times New Roman" w:hAnsi="Times New Roman"/>
          <w:sz w:val="18"/>
        </w:rPr>
      </w:pPr>
      <w:r>
        <w:rPr>
          <w:rFonts w:ascii="Times New Roman" w:hAnsi="Times New Roman"/>
          <w:sz w:val="18"/>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PROSPECTUS </w:t>
      </w:r>
    </w:p>
    <w:p>
      <w:pPr>
        <w:pStyle w:val="TextBody"/>
        <w:bidi w:val="0"/>
        <w:spacing w:before="240" w:after="0"/>
        <w:jc w:val="center"/>
        <w:rPr>
          <w:rFonts w:ascii="Times New Roman" w:hAnsi="Times New Roman"/>
          <w:b/>
          <w:sz w:val="28"/>
        </w:rPr>
      </w:pPr>
      <w:r>
        <w:rPr>
          <w:rFonts w:ascii="Times New Roman" w:hAnsi="Times New Roman"/>
          <w:b/>
          <w:sz w:val="28"/>
        </w:rPr>
        <w:t xml:space="preserve">Class A Common Stock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jc w:val="center"/>
        <w:rPr/>
      </w:pPr>
      <w:r>
        <w:rPr/>
        <w:drawing>
          <wp:inline distT="0" distB="0" distL="0" distR="0">
            <wp:extent cx="2583815" cy="74041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83815" cy="74041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We may offer, from time to time, and in amounts, at prices and on terms to be set forth in one or more supplements to this prospectus, shares of our Class A common stock, par value $0.0001 per share (“Class A Common Stock” or “securities”). This prospectus describes some of the general terms and conditions that may apply to an offering of these securities. The specific terms and conditions of an offering will be provided in the applicable prospectus supplement to this prospectus. You should read this prospectus and the applicable prospectus supplement carefully before you invest. </w:t>
      </w:r>
    </w:p>
    <w:p>
      <w:pPr>
        <w:pStyle w:val="TextBody"/>
        <w:bidi w:val="0"/>
        <w:spacing w:before="240" w:after="0"/>
        <w:jc w:val="left"/>
        <w:rPr>
          <w:rFonts w:ascii="Times New Roman" w:hAnsi="Times New Roman"/>
          <w:sz w:val="20"/>
        </w:rPr>
      </w:pPr>
      <w:r>
        <w:rPr>
          <w:rFonts w:ascii="Times New Roman" w:hAnsi="Times New Roman"/>
          <w:sz w:val="20"/>
        </w:rPr>
        <w:t xml:space="preserve">Our Class A Common Stock is listed on the Nasdaq Global Market (“Nasdaq”) under the symbol “LUNR.” On June 1, 2026, the closing price of our Class A Common Stock on Nasdaq was $38.21 per share. </w:t>
      </w:r>
    </w:p>
    <w:p>
      <w:pPr>
        <w:pStyle w:val="TextBody"/>
        <w:bidi w:val="0"/>
        <w:spacing w:before="240" w:after="0"/>
        <w:jc w:val="left"/>
        <w:rPr>
          <w:rFonts w:ascii="Times New Roman" w:hAnsi="Times New Roman"/>
          <w:b/>
          <w:sz w:val="20"/>
        </w:rPr>
      </w:pPr>
      <w:r>
        <w:rPr>
          <w:rFonts w:ascii="Times New Roman" w:hAnsi="Times New Roman"/>
          <w:b/>
          <w:sz w:val="20"/>
        </w:rPr>
        <w:t xml:space="preserve">We currently qualify as an “emerging growth company” as defined under the U.S. federal securities laws, and may continue to qualify until December 31, 2026, and, as such, have elected to comply with certain reduced public company reporting requirements. See the documents that are incorporated by reference into this prospectus for additional information. </w:t>
      </w:r>
    </w:p>
    <w:p>
      <w:pPr>
        <w:pStyle w:val="TextBody"/>
        <w:bidi w:val="0"/>
        <w:spacing w:before="240" w:after="0"/>
        <w:jc w:val="left"/>
        <w:rPr/>
      </w:pPr>
      <w:r>
        <w:rPr>
          <w:rFonts w:ascii="Times New Roman" w:hAnsi="Times New Roman"/>
          <w:b/>
          <w:sz w:val="20"/>
        </w:rPr>
        <w:t>Investing in our securities involves a high degree of risk. See the section entitled “</w:t>
      </w:r>
      <w:hyperlink w:anchor="toc130878_4">
        <w:r>
          <w:rPr>
            <w:rStyle w:val="InternetLink"/>
            <w:rFonts w:ascii="Times New Roman" w:hAnsi="Times New Roman"/>
            <w:b/>
            <w:sz w:val="20"/>
          </w:rPr>
          <w:t>Risk Factors</w:t>
        </w:r>
      </w:hyperlink>
      <w:r>
        <w:rPr>
          <w:rFonts w:ascii="Times New Roman" w:hAnsi="Times New Roman"/>
          <w:b/>
          <w:sz w:val="20"/>
        </w:rPr>
        <w:t xml:space="preserve">” contained in this prospectus beginning on page 6 and any applicable prospectus supplement, and under similar headings in the other documents that are incorporated by reference into this prospectus.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Securities and Exchange Commission nor any regulatory body has approved or disapproved of these securities or passed upon the accuracy or adequacy of this prospectus. Any representation to the contrary is a criminal offense. </w:t>
      </w:r>
    </w:p>
    <w:p>
      <w:pPr>
        <w:pStyle w:val="TextBody"/>
        <w:bidi w:val="0"/>
        <w:spacing w:before="480" w:after="0"/>
        <w:jc w:val="center"/>
        <w:rPr>
          <w:rFonts w:ascii="Times New Roman" w:hAnsi="Times New Roman"/>
          <w:b/>
          <w:sz w:val="20"/>
        </w:rPr>
      </w:pPr>
      <w:r>
        <w:rPr>
          <w:rFonts w:ascii="Times New Roman" w:hAnsi="Times New Roman"/>
          <w:b/>
          <w:sz w:val="20"/>
        </w:rPr>
        <w:t xml:space="preserve">The date of this prospectus is June 2, 2026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2" w:name="toc"/>
      <w:bookmarkEnd w:id="2"/>
      <w:r>
        <w:rPr>
          <w:rFonts w:ascii="Times New Roman" w:hAnsi="Times New Roman"/>
          <w:b/>
          <w:sz w:val="20"/>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274"/>
        <w:gridCol w:w="352"/>
        <w:gridCol w:w="96"/>
        <w:gridCol w:w="420"/>
        <w:gridCol w:w="63"/>
      </w:tblGrid>
      <w:tr>
        <w:trPr/>
        <w:tc>
          <w:tcPr>
            <w:tcW w:w="9274" w:type="dxa"/>
            <w:tcBorders/>
            <w:vAlign w:val="center"/>
          </w:tcPr>
          <w:p>
            <w:pPr>
              <w:pStyle w:val="TableContents"/>
              <w:bidi w:val="0"/>
              <w:spacing w:before="0" w:after="283"/>
              <w:jc w:val="left"/>
              <w:rPr>
                <w:sz w:val="4"/>
                <w:szCs w:val="4"/>
              </w:rPr>
            </w:pPr>
            <w:r>
              <w:rPr>
                <w:sz w:val="4"/>
                <w:szCs w:val="4"/>
              </w:rPr>
            </w:r>
          </w:p>
        </w:tc>
        <w:tc>
          <w:tcPr>
            <w:tcW w:w="352"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9274" w:type="dxa"/>
            <w:tcBorders/>
            <w:vAlign w:val="bottom"/>
          </w:tcPr>
          <w:p>
            <w:pPr>
              <w:pStyle w:val="TableContents"/>
              <w:bidi w:val="0"/>
              <w:spacing w:before="0" w:after="283"/>
              <w:jc w:val="left"/>
              <w:rPr/>
            </w:pPr>
            <w:r>
              <w:rPr/>
              <w:t> </w:t>
            </w:r>
          </w:p>
        </w:tc>
        <w:tc>
          <w:tcPr>
            <w:tcW w:w="352" w:type="dxa"/>
            <w:tcBorders/>
            <w:vAlign w:val="bottom"/>
          </w:tcPr>
          <w:p>
            <w:pPr>
              <w:pStyle w:val="TableContents"/>
              <w:bidi w:val="0"/>
              <w:spacing w:before="0" w:after="283"/>
              <w:jc w:val="left"/>
              <w:rPr/>
            </w:pPr>
            <w:r>
              <w:rPr/>
              <w:t>  </w:t>
            </w:r>
          </w:p>
        </w:tc>
        <w:tc>
          <w:tcPr>
            <w:tcW w:w="516"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30878_1">
              <w:r>
                <w:rPr>
                  <w:rStyle w:val="InternetLink"/>
                  <w:rFonts w:ascii="Times New Roman" w:hAnsi="Times New Roman"/>
                  <w:sz w:val="20"/>
                </w:rPr>
                <w:t>About This Prospectus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30878_2">
              <w:r>
                <w:rPr>
                  <w:rStyle w:val="InternetLink"/>
                  <w:rFonts w:ascii="Times New Roman" w:hAnsi="Times New Roman"/>
                  <w:sz w:val="20"/>
                </w:rPr>
                <w:t>Cautionary Note Regarding Forward-Looking Statements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30878_3">
              <w:r>
                <w:rPr>
                  <w:rStyle w:val="InternetLink"/>
                  <w:rFonts w:ascii="Times New Roman" w:hAnsi="Times New Roman"/>
                  <w:sz w:val="20"/>
                </w:rPr>
                <w:t>The Company</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30878_4">
              <w:r>
                <w:rPr>
                  <w:rStyle w:val="InternetLink"/>
                  <w:rFonts w:ascii="Times New Roman" w:hAnsi="Times New Roman"/>
                  <w:sz w:val="20"/>
                </w:rPr>
                <w:t>Risk Factors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30878_5">
              <w:r>
                <w:rPr>
                  <w:rStyle w:val="InternetLink"/>
                  <w:rFonts w:ascii="Times New Roman" w:hAnsi="Times New Roman"/>
                  <w:sz w:val="20"/>
                </w:rPr>
                <w:t>Use of Proceeds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7</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30878_6">
              <w:r>
                <w:rPr>
                  <w:rStyle w:val="InternetLink"/>
                  <w:rFonts w:ascii="Times New Roman" w:hAnsi="Times New Roman"/>
                  <w:sz w:val="20"/>
                </w:rPr>
                <w:t>Description of Securities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30878_7">
              <w:r>
                <w:rPr>
                  <w:rStyle w:val="InternetLink"/>
                  <w:rFonts w:ascii="Times New Roman" w:hAnsi="Times New Roman"/>
                  <w:sz w:val="20"/>
                </w:rPr>
                <w:t>Material U.S. Federal Income Tax Consequences for Holders of Class  A Common Stock</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30878_8">
              <w:r>
                <w:rPr>
                  <w:rStyle w:val="InternetLink"/>
                  <w:rFonts w:ascii="Times New Roman" w:hAnsi="Times New Roman"/>
                  <w:sz w:val="20"/>
                </w:rPr>
                <w:t>Plan of Distribution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22</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30878_9">
              <w:r>
                <w:rPr>
                  <w:rStyle w:val="InternetLink"/>
                  <w:rFonts w:ascii="Times New Roman" w:hAnsi="Times New Roman"/>
                  <w:sz w:val="20"/>
                </w:rPr>
                <w:t>Legal Matters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30878_10">
              <w:r>
                <w:rPr>
                  <w:rStyle w:val="InternetLink"/>
                  <w:rFonts w:ascii="Times New Roman" w:hAnsi="Times New Roman"/>
                  <w:sz w:val="20"/>
                </w:rPr>
                <w:t>Experts</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30878_11">
              <w:r>
                <w:rPr>
                  <w:rStyle w:val="InternetLink"/>
                  <w:rFonts w:ascii="Times New Roman" w:hAnsi="Times New Roman"/>
                  <w:sz w:val="20"/>
                </w:rPr>
                <w:t>Where You Can Find More Information</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9274" w:type="dxa"/>
            <w:tcBorders/>
            <w:vAlign w:val="bottom"/>
          </w:tcPr>
          <w:p>
            <w:pPr>
              <w:pStyle w:val="TableContents"/>
              <w:bidi w:val="0"/>
              <w:spacing w:before="0" w:after="0"/>
              <w:jc w:val="left"/>
              <w:rPr/>
            </w:pPr>
            <w:hyperlink w:anchor="toc130878_12">
              <w:r>
                <w:rPr>
                  <w:rStyle w:val="InternetLink"/>
                  <w:rFonts w:ascii="Times New Roman" w:hAnsi="Times New Roman"/>
                  <w:sz w:val="20"/>
                </w:rPr>
                <w:t>Incorporation by Reference</w:t>
              </w:r>
            </w:hyperlink>
          </w:p>
        </w:tc>
        <w:tc>
          <w:tcPr>
            <w:tcW w:w="352"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20" w:type="dxa"/>
            <w:tcBorders/>
            <w:vAlign w:val="bottom"/>
          </w:tcPr>
          <w:p>
            <w:pPr>
              <w:pStyle w:val="TableContents"/>
              <w:bidi w:val="0"/>
              <w:spacing w:before="0" w:after="283"/>
              <w:jc w:val="right"/>
              <w:rPr/>
            </w:pPr>
            <w:r>
              <w:rPr/>
              <w:t>26</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3" w:name="toc130878_1"/>
      <w:bookmarkEnd w:id="3"/>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on Form S-3 that we filed with the Securities and Exchange Commission (the “SEC”) using the “shelf” registration process. Under this shelf registration process, we may, from time to time, sell the securities described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any information or to make any representations other than those contained in this prospectus or any applicable prospectus supplement or any free writing prospectuses prepared by or on behalf of us or to which we have referred you. We do not take responsibility for, and can provide no assurance as to the reliability of, any other information that others may give you. We will not make an offer to sell these securities in any jurisdiction where the offer or sale is not permitted. </w:t>
      </w:r>
    </w:p>
    <w:p>
      <w:pPr>
        <w:pStyle w:val="TextBody"/>
        <w:bidi w:val="0"/>
        <w:spacing w:before="240" w:after="0"/>
        <w:jc w:val="left"/>
        <w:rPr>
          <w:rFonts w:ascii="Times New Roman" w:hAnsi="Times New Roman"/>
          <w:sz w:val="20"/>
        </w:rPr>
      </w:pPr>
      <w:r>
        <w:rPr>
          <w:rFonts w:ascii="Times New Roman" w:hAnsi="Times New Roman"/>
          <w:sz w:val="20"/>
        </w:rPr>
        <w:t xml:space="preserve">We may also provide a prospectus supplement or post-effective amendment to the registration statement to add information to, or update or change information contained in, this prospectus. Any statement contained in this prospectus will be deemed to be modified or superseded for purposes of this prospectus to the extent that a statement contained in such prospectus supplement modifies or supersedes such statement. Any statement so modified will be deemed to constitute a part of this prospectus only as so modified, and any statement so superseded will be deemed not to constitute a part of this prospectus. You should rely only on the information contained in this prospectus, any applicable prospectus supplement and any related free writing prospectus together with the additional information to which we refer you to in the sections of this prospectus entitled “Where You Can Find More Information” and “Incorporation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Unless the context otherwise requires, all references in this prospectus to “we,” “us,” “our,” “Intuitive Machines,” or the “Company” refer to Intuitive Machines, Inc. and its consolidated subsidiaries.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4" w:name="toc130878_2"/>
      <w:bookmarkEnd w:id="4"/>
      <w:r>
        <w:rPr>
          <w:rFonts w:ascii="Times New Roman" w:hAnsi="Times New Roman"/>
          <w:b/>
          <w:sz w:val="20"/>
        </w:rPr>
        <w:t xml:space="preserve">CAUTIONARY NOTE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any prospectus supplement and the documents incorporated by reference herein each contain “forward-looking statements” within the meaning of the Private Securities Litigation Reform Act of 1995, as amended.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prospectus, any prospectus supplement and the documents incorporated by reference herein are forward-looking statements. Such statements can be identified by the fact that they do not relate strictly to historical or current facts. When used in this prospectus, any prospectus supplement and the documents incorporated by reference herein, words such as “anticipate,” “believe,” “continue,” “could,” “estimate,” “expect,” “intend,” “may,” “might,” “plan,” “possible,” “potential,” “predict,” “project,” “should,” “strive,” “would,” “strategy,” “outlook,” the negative of these words or other similar expressions may identify forward-looking statements, but the absence of these words does not mean that a statement is not forward-looking. These forward-looking statements include, but are not limited to, statements regarding the timing and manner of sale by us, our expectations and plans relating to our missions to the Moon and other projects, including the expected timing thereof and our progress and preparation thereof; our expectations with respect to, among other things, demand for our product portfolio, our submission of bids for contracts; our expectations regarding protests of government contracts awarded to us; our operations, our financial performance and our industry; our business strategy, business plan, and plans to drive long term sustainable shareholder value; and our expectations on revenue and cash generation. Our actual results, performance or achievements may differ materially from those expressed or implied by the forward-looking statements, and you are cautioned not to place undue reliance on these forward-looking statements. The following important factors and uncertainties, among others, could cause actual outcomes or results to differ materially from those indicated by the forward-looking statements in this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upon the efforts of our key personnel and Board of Directors (the “Board”) to be successful;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as part of growing our business, we have made and may continue to make acquisitions and any acquisitions, partnerships or joint ventures into which we enter are subject to integration risks and could disrupt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manage our growth effectively and failure to win new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generate a sustainable order rate for our satellite and space operations and develop new technologies to meet the needs of our customers or potential new customers;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customer concentration;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limited operating history;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competition from existing or new companies;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disruptions in U.S. government operations and funding, including government shutdowns;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unsatisfactory safety performance of our spaceflight systems or security incidents at our facilities;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of the market for commercial spaceflight to achieve the growth potential we expect;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delayed launches, launch failures, failure of landers to conduct all mission milestones, failure of our satellites to reach their planned orbital locations, failure of lunar landers to reach their planned locations, significant increases in the costs related to the launches of satellites and lunar landers, and insufficient capacity available from satellite developers and launch service providers;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commercial spaceflight, including any accident on launch or during the journey into space;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risks associated with the handling, production and disposition of potentially explosive and ignitable energetic materials and other dangerous chemicals in our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reliance on a limited number of suppliers for certain materials and supplied components, including a single launch service provider for our lunar missions;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of our products to operate in the expected manner or defects in our sub-systems;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counterparty risks on customer contracts and failure of our prime contractors to maintain their relationships with their counterparties and fulfill their contractual obligations;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successfully defend protest from other bidders for government contracts;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failure to comply with various laws and regulations relating to various aspects of our business, uncertainty in the regulatory environment and any changes in the funding levels of various governmental entities with which we do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protect the confidentiality of our trade secrets and unpatented know-how;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comply with the terms of third-party open source software our systems utilize;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maintain an effective system of internal control over financial reporting, and to address and remediate any material weaknesses in our internal control over financial reporting;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we may use artificial intelligence (“AI”) in our business or systems, and challenges with properly managing its use could result in competitive and reputational harm;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fact that the U.S. government’s budget deficit and the national debt, as well as any inability of the U.S. government to complete its budget process for any government fiscal year that may result in government shutdowns or extended continuing resolution and our dependence on U.S. government contracts and the available funding or changing funding priorities by the U.S. government;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2"/>
        <w:gridCol w:w="9288"/>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failure to comply with U.S. export and import control laws and regulations and U.S. economic sanctions and trade control laws and regulations;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uncertain macro-economic and political conditions and elevated inflation and interest rates;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history of losses and failure to achieve profitability in the future or failure of our business to generate sufficient funds to continue operations;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cost and potential outcomes of pending and any future litigation;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public securities’ potential liquidity and trading;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sufficiency and anticipated use of our existing capital resources to fund our future operating expenses and capital expenditure requirements and needs for additional financing in light of our recent acquisitions.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These forward-looking statements are based on information available as of the date they are made and current expectations, forecasts, and assumptions, and involve a number of judgments, risks, and uncertainties. Accordingly, forward-looking statements should not be relied upon as representing our views as of any subsequent date, and we do not undertake any obligation to update forward-looking statements to reflect events or circumstances after the date they were made, whether as a result of new information, future events, or otherwise, except as may be required under applicable securities laws. </w:t>
      </w:r>
    </w:p>
    <w:p>
      <w:pPr>
        <w:pStyle w:val="TextBody"/>
        <w:bidi w:val="0"/>
        <w:spacing w:before="240" w:after="0"/>
        <w:jc w:val="left"/>
        <w:rPr>
          <w:rFonts w:ascii="Times New Roman" w:hAnsi="Times New Roman"/>
          <w:sz w:val="20"/>
        </w:rPr>
      </w:pPr>
      <w:r>
        <w:rPr>
          <w:rFonts w:ascii="Times New Roman" w:hAnsi="Times New Roman"/>
          <w:sz w:val="20"/>
        </w:rPr>
        <w:t>As a result of a number of known and unknown risks and uncertainties, our actual results or performance may be materially different from those expressed or implied by these forward-looking statements. You should not place undue reliance on these forward-looking statements. There may be events in the future that the Company is not able to predict accurately or over which it has no control. See “</w:t>
      </w:r>
      <w:r>
        <w:rPr>
          <w:rFonts w:ascii="Times New Roman" w:hAnsi="Times New Roman"/>
          <w:i/>
          <w:sz w:val="20"/>
        </w:rPr>
        <w:t>Risk Factors</w:t>
      </w:r>
      <w:r>
        <w:rPr>
          <w:rFonts w:ascii="Times New Roman" w:hAnsi="Times New Roman"/>
          <w:sz w:val="20"/>
        </w:rPr>
        <w:t xml:space="preser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pPr>
      <w:r>
        <w:rPr/>
        <w:t>“</w:t>
      </w:r>
      <w:r>
        <w:rPr>
          <w:rFonts w:ascii="Times New Roman" w:hAnsi="Times New Roman"/>
          <w:i/>
          <w:sz w:val="20"/>
        </w:rPr>
        <w:t>Management’s Discussion and Analysis of Financial Condition and Results of Operations</w:t>
      </w:r>
      <w:r>
        <w:rPr>
          <w:rFonts w:ascii="Times New Roman" w:hAnsi="Times New Roman"/>
          <w:sz w:val="20"/>
        </w:rPr>
        <w:t xml:space="preserve">” in our Annual Report on Form 10-K for the year ended December 31, 2025 (the “2025 Annual Report”), and the other cautionary language discussed in this prospectus, any prospectus supplement and the documents incorporated herein for examples of risks, uncertainties and events that may cause actual results to differ materially from the expectations described by the Company in such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5" w:name="toc130878_3"/>
      <w:bookmarkEnd w:id="5"/>
      <w:r>
        <w:rPr>
          <w:rFonts w:ascii="Times New Roman" w:hAnsi="Times New Roman"/>
          <w:b/>
          <w:sz w:val="20"/>
        </w:rPr>
        <w:t xml:space="preserve">THE COMPANY </w:t>
      </w:r>
    </w:p>
    <w:p>
      <w:pPr>
        <w:pStyle w:val="TextBody"/>
        <w:bidi w:val="0"/>
        <w:spacing w:before="240" w:after="0"/>
        <w:jc w:val="left"/>
        <w:rPr>
          <w:rFonts w:ascii="Times New Roman" w:hAnsi="Times New Roman"/>
          <w:sz w:val="20"/>
        </w:rPr>
      </w:pPr>
      <w:r>
        <w:rPr>
          <w:rFonts w:ascii="Times New Roman" w:hAnsi="Times New Roman"/>
          <w:sz w:val="20"/>
        </w:rPr>
        <w:t xml:space="preserve">We are a space infrastructure and services company founded in 2013 and focused on enabling sustained infrastructure and human activity beyond Earth. We believe the United States is transitioning from episodic space missions to long-duration operations and persistent presence, and we are building the systems and services required to support this evolution across civil, national security, and commercial markets. </w:t>
      </w:r>
    </w:p>
    <w:p>
      <w:pPr>
        <w:pStyle w:val="TextBody"/>
        <w:bidi w:val="0"/>
        <w:spacing w:before="240" w:after="0"/>
        <w:jc w:val="left"/>
        <w:rPr>
          <w:rFonts w:ascii="Times New Roman" w:hAnsi="Times New Roman"/>
          <w:sz w:val="20"/>
        </w:rPr>
      </w:pPr>
      <w:r>
        <w:rPr>
          <w:rFonts w:ascii="Times New Roman" w:hAnsi="Times New Roman"/>
          <w:sz w:val="20"/>
        </w:rPr>
        <w:t xml:space="preserve">We build spacecraft, connect space-based networks, and operate infrastructure as-a-service that support operations across low Earth orbit (“LEO”), geostationary orbit (“GEO”), cislunar space, and deep-space. Our strategy is to evolve space activity from single-mission execution toward continuously operating infrastructure by combining spacecraft delivery with network connectivity and long-term operations. We believe this approach positions us to support enduring government requirements while enabling the development of a commercial space economy. </w:t>
      </w:r>
    </w:p>
    <w:p>
      <w:pPr>
        <w:pStyle w:val="TextBody"/>
        <w:bidi w:val="0"/>
        <w:spacing w:before="240" w:after="0"/>
        <w:jc w:val="left"/>
        <w:rPr>
          <w:rFonts w:ascii="Times New Roman" w:hAnsi="Times New Roman"/>
          <w:sz w:val="20"/>
        </w:rPr>
      </w:pPr>
      <w:r>
        <w:rPr>
          <w:rFonts w:ascii="Times New Roman" w:hAnsi="Times New Roman"/>
          <w:sz w:val="20"/>
        </w:rPr>
        <w:t xml:space="preserve">For a description of our business, financial condition, results of operations and other important information regarding the Company, we refer you to our filings with the SEC incorporated by reference in this prospectus. See “Where You Can Find More Information” and “Incorporation by Reference.” </w:t>
      </w:r>
    </w:p>
    <w:p>
      <w:pPr>
        <w:pStyle w:val="TextBody"/>
        <w:bidi w:val="0"/>
        <w:spacing w:before="360" w:after="0"/>
        <w:jc w:val="left"/>
        <w:rPr>
          <w:rFonts w:ascii="Times New Roman" w:hAnsi="Times New Roman"/>
          <w:b/>
          <w:sz w:val="20"/>
        </w:rPr>
      </w:pPr>
      <w:r>
        <w:rPr>
          <w:rFonts w:ascii="Times New Roman" w:hAnsi="Times New Roman"/>
          <w:b/>
          <w:sz w:val="20"/>
        </w:rPr>
        <w:t xml:space="preserve">Corporate Information </w:t>
      </w:r>
    </w:p>
    <w:p>
      <w:pPr>
        <w:pStyle w:val="TextBody"/>
        <w:bidi w:val="0"/>
        <w:spacing w:before="120" w:after="0"/>
        <w:jc w:val="left"/>
        <w:rPr>
          <w:rFonts w:ascii="Times New Roman" w:hAnsi="Times New Roman"/>
          <w:sz w:val="20"/>
        </w:rPr>
      </w:pPr>
      <w:r>
        <w:rPr>
          <w:rFonts w:ascii="Times New Roman" w:hAnsi="Times New Roman"/>
          <w:sz w:val="20"/>
        </w:rPr>
        <w:t xml:space="preserve">IPAX was a blank check company incorporated on January 27, 2021 as a Cayman Islands exempted company for the purpose of effecting a merger, share exchange, asset acquisition, share purchase, reorganization, or similar business combination with one or more businesses. On February 10, 2023, IPAX domesticated into a Delaware corporation and changed its name to “Intuitive Machines, Inc.” and Intuitive Machines, Inc. became a holding company whose principal assets are the Common Units (“OpCo Common Units”) of Intuitive Machines, LLC (“Operating Company”). The Nasdaq ticker symbol for our Class A Common Stock is “LUNR.” </w:t>
      </w:r>
    </w:p>
    <w:p>
      <w:pPr>
        <w:pStyle w:val="TextBody"/>
        <w:bidi w:val="0"/>
        <w:spacing w:before="240" w:after="0"/>
        <w:jc w:val="left"/>
        <w:rPr>
          <w:rFonts w:ascii="Times New Roman" w:hAnsi="Times New Roman"/>
          <w:sz w:val="20"/>
        </w:rPr>
      </w:pPr>
      <w:r>
        <w:rPr>
          <w:rFonts w:ascii="Times New Roman" w:hAnsi="Times New Roman"/>
          <w:sz w:val="20"/>
        </w:rPr>
        <w:t xml:space="preserve">Our principal executive office is located at 13467 Columbia Shuttle Street, Houston, TX 77059. Our telephone number is (281) 520-3703. Our website address is www.intuitivemachines.com. We do not incorporate the information on or accessible through our website into this prospectus, and you should not consider any information on, or that can be accessed through, our website as part of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6" w:name="toc130878_4"/>
      <w:bookmarkEnd w:id="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 xml:space="preserve">An investment in our securities involves a high degree of risk. Before investing in our securities, you should carefully consider the risk factors incorporated by reference into this prospectus, including the risks, uncertainties and assumptions discussed under the heading “Part I-Item 1A. Risk Factors” in our 2025 Annual Report, which may be amended, supplemented or superseded from time to time by the other reports we file with the SEC in the future or by information in the applicable prospectus supplement and any applicable free writing prospectus we file with the SEC. Please see “Where You Can Find More Information” and “Incorporation by Reference.” Additional risks and uncertainties not currently known to us or that we currently view as immaterial may also materially and adversely affect our business, financial condition or results of operations. The market price of our securities could decline if one or more of these risks or uncertainties actually occur, causing you to lose all or part of your investment in our securities. Please see “Cautionary Note Regarding Forward-Looking Statements.”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7" w:name="toc130878_5"/>
      <w:bookmarkEnd w:id="7"/>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Except as otherwise set forth in the applicable prospectus supplement, we intend to use the net proceeds from sales of the securities in an offering to purchase a number of OpCo Common Units from the Operating Company equivalent to the number of the securities sold in such offering. The Operating Company will in turn use such proceeds for general corporate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8" w:name="toc130878_6"/>
      <w:bookmarkEnd w:id="8"/>
      <w:r>
        <w:rPr>
          <w:rFonts w:ascii="Times New Roman" w:hAnsi="Times New Roman"/>
          <w:b/>
          <w:sz w:val="20"/>
        </w:rPr>
        <w:t xml:space="preserve">DESCRIPTION OF SECURITIES </w:t>
      </w:r>
    </w:p>
    <w:p>
      <w:pPr>
        <w:pStyle w:val="TextBody"/>
        <w:bidi w:val="0"/>
        <w:spacing w:before="240" w:after="0"/>
        <w:jc w:val="left"/>
        <w:rPr>
          <w:rFonts w:ascii="Times New Roman" w:hAnsi="Times New Roman"/>
          <w:i/>
          <w:sz w:val="20"/>
        </w:rPr>
      </w:pPr>
      <w:r>
        <w:rPr>
          <w:rFonts w:ascii="Times New Roman" w:hAnsi="Times New Roman"/>
          <w:i/>
          <w:sz w:val="20"/>
        </w:rPr>
        <w:t xml:space="preserve">The following description of our Class A Common Stock and Class B Common Stock, Class C Common Stock, preferred stock and warrants (as these securities relate to the Class A Common Stock), is a summary. This summary is subject to the General Corporation Law of the State of Delaware (the “DGCL”) and the complete text of our Certificate of Incorporation (the “Certificate of Incorporation”) and Bylaws, each of which is attached as an exhibit to the registration statement to which this prospectus relates. We encourage you to read that law and those documents carefully. </w:t>
      </w:r>
    </w:p>
    <w:p>
      <w:pPr>
        <w:pStyle w:val="TextBody"/>
        <w:bidi w:val="0"/>
        <w:spacing w:before="360" w:after="0"/>
        <w:jc w:val="left"/>
        <w:rPr>
          <w:rFonts w:ascii="Times New Roman" w:hAnsi="Times New Roman"/>
          <w:b/>
          <w:sz w:val="20"/>
        </w:rPr>
      </w:pPr>
      <w:r>
        <w:rPr>
          <w:rFonts w:ascii="Times New Roman" w:hAnsi="Times New Roman"/>
          <w:b/>
          <w:sz w:val="20"/>
        </w:rPr>
        <w:t xml:space="preserve">Authorized Capital Stock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authorizes the issuance of 725,000,000 shares, consisting of: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500,000,000 shares of Class A Common Stock, par value $0.0001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100,000,000 shares of Class B Common Stock, par value $0.0001 per share;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100,000,000 shares of Class C Common Stock, par value $0.0001 per share (together with the Class A Common Stock and Class B Common Stock, the “Common Stock”);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25,000,000 shares of preferred stock, par value $0.0001 per share (the “Preferred Stock”). </w:t>
            </w:r>
          </w:p>
        </w:tc>
      </w:tr>
    </w:tbl>
    <w:p>
      <w:pPr>
        <w:pStyle w:val="TextBody"/>
        <w:bidi w:val="0"/>
        <w:spacing w:before="240" w:after="0"/>
        <w:jc w:val="left"/>
        <w:rPr>
          <w:rFonts w:ascii="Times New Roman" w:hAnsi="Times New Roman"/>
          <w:sz w:val="20"/>
        </w:rPr>
      </w:pPr>
      <w:r>
        <w:rPr>
          <w:rFonts w:ascii="Times New Roman" w:hAnsi="Times New Roman"/>
          <w:sz w:val="20"/>
        </w:rPr>
        <w:t xml:space="preserve">Except as otherwise required by the Certificate of Incorporation, the holders of shares of Class A Common Stock, Class B Common Stock and Class C Common Stock shall vote together as a single class (or, if any holders of shares of Preferred Stock are entitled to vote together with the holders of Class A Common Stock, Class B Common Stock and Class C Common Stock, as a single class with such holders of Preferred Stock) on all matters submitted to a vote of our stockholders. </w:t>
      </w:r>
    </w:p>
    <w:p>
      <w:pPr>
        <w:pStyle w:val="TextBody"/>
        <w:bidi w:val="0"/>
        <w:spacing w:before="240" w:after="0"/>
        <w:jc w:val="left"/>
        <w:rPr>
          <w:rFonts w:ascii="Times New Roman" w:hAnsi="Times New Roman"/>
          <w:sz w:val="20"/>
        </w:rPr>
      </w:pPr>
      <w:r>
        <w:rPr>
          <w:rFonts w:ascii="Times New Roman" w:hAnsi="Times New Roman"/>
          <w:sz w:val="20"/>
        </w:rPr>
        <w:t xml:space="preserve">Certain provisions of the Certificate of Incorporation and Bylaws may be deemed to have an anti-takeover effect and may delay or prevent a tender offer or takeover attempt that a stockholder might consider in its best interest, including those attempts that might result in a premium over the market price for the shares of Common Stock. </w:t>
      </w:r>
    </w:p>
    <w:p>
      <w:pPr>
        <w:pStyle w:val="TextBody"/>
        <w:bidi w:val="0"/>
        <w:spacing w:before="360" w:after="0"/>
        <w:jc w:val="left"/>
        <w:rPr>
          <w:rFonts w:ascii="Times New Roman" w:hAnsi="Times New Roman"/>
          <w:b/>
          <w:sz w:val="20"/>
        </w:rPr>
      </w:pPr>
      <w:r>
        <w:rPr>
          <w:rFonts w:ascii="Times New Roman" w:hAnsi="Times New Roman"/>
          <w:b/>
          <w:sz w:val="20"/>
        </w:rPr>
        <w:t xml:space="preserve">Common Stock </w:t>
      </w:r>
    </w:p>
    <w:p>
      <w:pPr>
        <w:pStyle w:val="TextBody"/>
        <w:bidi w:val="0"/>
        <w:spacing w:before="120" w:after="0"/>
        <w:jc w:val="left"/>
        <w:rPr>
          <w:rFonts w:ascii="Times New Roman" w:hAnsi="Times New Roman"/>
          <w:b/>
          <w:i/>
          <w:sz w:val="20"/>
        </w:rPr>
      </w:pPr>
      <w:r>
        <w:rPr>
          <w:rFonts w:ascii="Times New Roman" w:hAnsi="Times New Roman"/>
          <w:b/>
          <w:i/>
          <w:sz w:val="20"/>
        </w:rPr>
        <w:t xml:space="preserve">Class A Common Stock </w:t>
      </w:r>
    </w:p>
    <w:p>
      <w:pPr>
        <w:pStyle w:val="TextBody"/>
        <w:bidi w:val="0"/>
        <w:spacing w:before="120" w:after="0"/>
        <w:jc w:val="left"/>
        <w:rPr>
          <w:rFonts w:ascii="Times New Roman" w:hAnsi="Times New Roman"/>
          <w:sz w:val="20"/>
        </w:rPr>
      </w:pPr>
      <w:r>
        <w:rPr>
          <w:rFonts w:ascii="Times New Roman" w:hAnsi="Times New Roman"/>
          <w:b/>
          <w:i/>
          <w:sz w:val="20"/>
        </w:rPr>
        <w:t xml:space="preserve">Voting rights. </w:t>
      </w:r>
      <w:r>
        <w:rPr>
          <w:rFonts w:ascii="Times New Roman" w:hAnsi="Times New Roman"/>
          <w:sz w:val="20"/>
        </w:rPr>
        <w:t xml:space="preserve">Each holder of Class A Common Stock is entitled to one vote for each share of Class A Common Stock held of record in person or by proxy on all matters submitted to a vote of the holders of Class A Common Stock, whether voting separately as a class or otherwise. </w:t>
      </w:r>
    </w:p>
    <w:p>
      <w:pPr>
        <w:pStyle w:val="TextBody"/>
        <w:bidi w:val="0"/>
        <w:spacing w:before="240" w:after="0"/>
        <w:jc w:val="left"/>
        <w:rPr>
          <w:rFonts w:ascii="Times New Roman" w:hAnsi="Times New Roman"/>
          <w:sz w:val="20"/>
        </w:rPr>
      </w:pPr>
      <w:r>
        <w:rPr>
          <w:rFonts w:ascii="Times New Roman" w:hAnsi="Times New Roman"/>
          <w:b/>
          <w:i/>
          <w:sz w:val="20"/>
        </w:rPr>
        <w:t xml:space="preserve">Dividend rights. </w:t>
      </w:r>
      <w:r>
        <w:rPr>
          <w:rFonts w:ascii="Times New Roman" w:hAnsi="Times New Roman"/>
          <w:sz w:val="20"/>
        </w:rPr>
        <w:t xml:space="preserve">Subject to applicable law and the rights and preferences of any holders of any outstanding series of Preferred Stock or any class or series of stock having a preference over or the right to participate with the Class A Common Stock with respect to the payment of dividends, holders of Class A Common Stock, as such, shall be entitled to the payment of dividends on the Class A Common Stock when, as and if declared by the Board in accordance with applicable law. </w:t>
      </w:r>
    </w:p>
    <w:p>
      <w:pPr>
        <w:pStyle w:val="TextBody"/>
        <w:bidi w:val="0"/>
        <w:spacing w:before="240" w:after="0"/>
        <w:jc w:val="left"/>
        <w:rPr>
          <w:rFonts w:ascii="Times New Roman" w:hAnsi="Times New Roman"/>
          <w:sz w:val="20"/>
        </w:rPr>
      </w:pPr>
      <w:r>
        <w:rPr>
          <w:rFonts w:ascii="Times New Roman" w:hAnsi="Times New Roman"/>
          <w:sz w:val="20"/>
        </w:rPr>
        <w:t xml:space="preserve">The payment of future dividends on the shares of Class A Common Stock will depend on our financial condition, and subject to the discretion of the Board. There can be no guarantee that cash dividends will be declared. Our ability to declare dividends may be limited by the terms and conditions of other financing and other agreements entered into by us or any of our subsidiaries from time to time. </w:t>
      </w:r>
    </w:p>
    <w:p>
      <w:pPr>
        <w:pStyle w:val="TextBody"/>
        <w:bidi w:val="0"/>
        <w:spacing w:before="240" w:after="0"/>
        <w:jc w:val="left"/>
        <w:rPr>
          <w:rFonts w:ascii="Times New Roman" w:hAnsi="Times New Roman"/>
          <w:sz w:val="20"/>
        </w:rPr>
      </w:pPr>
      <w:r>
        <w:rPr>
          <w:rFonts w:ascii="Times New Roman" w:hAnsi="Times New Roman"/>
          <w:b/>
          <w:i/>
          <w:sz w:val="20"/>
        </w:rPr>
        <w:t xml:space="preserve">Rights upon liquidation. </w:t>
      </w:r>
      <w:r>
        <w:rPr>
          <w:rFonts w:ascii="Times New Roman" w:hAnsi="Times New Roman"/>
          <w:sz w:val="20"/>
        </w:rPr>
        <w:t xml:space="preserve">In the event of liquidation, dissolution or winding up of the affairs of Intuitive Machines, whether voluntary or involuntary, after payment or provision for payment of the debts and other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liabilities of Intuitive Machines and after making provisions for preferential and other amounts, if any, to which the holders of Preferred Stock or any class or series of stock having a preference over or the right to participate with the Class A Common Stock with respect to payments in liquidation shall be entitled, the remaining assets and funds of Intuitive Machines available for distribution shall be divided among and paid ratably to the holders of all outstanding shares of our Class A Common Stock in proportion to the number of shares held by each such stockholder. </w:t>
      </w:r>
    </w:p>
    <w:p>
      <w:pPr>
        <w:pStyle w:val="TextBody"/>
        <w:bidi w:val="0"/>
        <w:spacing w:before="240" w:after="0"/>
        <w:jc w:val="left"/>
        <w:rPr>
          <w:rFonts w:ascii="Times New Roman" w:hAnsi="Times New Roman"/>
          <w:sz w:val="20"/>
        </w:rPr>
      </w:pPr>
      <w:r>
        <w:rPr>
          <w:rFonts w:ascii="Times New Roman" w:hAnsi="Times New Roman"/>
          <w:b/>
          <w:i/>
          <w:sz w:val="20"/>
        </w:rPr>
        <w:t xml:space="preserve">Other rights. </w:t>
      </w:r>
      <w:r>
        <w:rPr>
          <w:rFonts w:ascii="Times New Roman" w:hAnsi="Times New Roman"/>
          <w:sz w:val="20"/>
        </w:rPr>
        <w:t xml:space="preserve">The holders of Class A Common Stock have no pre-emptive or conversion rights or other subscription rights. There are no redemption or sinking fund provisions applicable to the Class A Common Stock. The rights, preferences and privileges of holders of the Class A Common Stock are subject to those of the holders of any shares of the Preferred Stock that we may issue in the future.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 B Common Stock </w:t>
      </w:r>
    </w:p>
    <w:p>
      <w:pPr>
        <w:pStyle w:val="TextBody"/>
        <w:bidi w:val="0"/>
        <w:spacing w:before="120" w:after="0"/>
        <w:jc w:val="left"/>
        <w:rPr>
          <w:rFonts w:ascii="Times New Roman" w:hAnsi="Times New Roman"/>
          <w:sz w:val="20"/>
        </w:rPr>
      </w:pPr>
      <w:r>
        <w:rPr>
          <w:rFonts w:ascii="Times New Roman" w:hAnsi="Times New Roman"/>
          <w:b/>
          <w:i/>
          <w:sz w:val="20"/>
        </w:rPr>
        <w:t xml:space="preserve">Voting rights. </w:t>
      </w:r>
      <w:r>
        <w:rPr>
          <w:rFonts w:ascii="Times New Roman" w:hAnsi="Times New Roman"/>
          <w:sz w:val="20"/>
        </w:rPr>
        <w:t xml:space="preserve">Each holder of Class B Common Stock is entitled to one vote for each share of Class B Common Stock held of record in person or by proxy on all matters submitted to a vote of the holders of Class B Common Stock, whether voting separately as a class or otherwise. </w:t>
      </w:r>
    </w:p>
    <w:p>
      <w:pPr>
        <w:pStyle w:val="TextBody"/>
        <w:bidi w:val="0"/>
        <w:spacing w:before="240" w:after="0"/>
        <w:jc w:val="left"/>
        <w:rPr>
          <w:rFonts w:ascii="Times New Roman" w:hAnsi="Times New Roman"/>
          <w:sz w:val="20"/>
        </w:rPr>
      </w:pPr>
      <w:r>
        <w:rPr>
          <w:rFonts w:ascii="Times New Roman" w:hAnsi="Times New Roman"/>
          <w:b/>
          <w:i/>
          <w:sz w:val="20"/>
        </w:rPr>
        <w:t xml:space="preserve">Dividend rights. </w:t>
      </w:r>
      <w:r>
        <w:rPr>
          <w:rFonts w:ascii="Times New Roman" w:hAnsi="Times New Roman"/>
          <w:sz w:val="20"/>
        </w:rPr>
        <w:t xml:space="preserve">Other than in connection with a dividend declared by the Board in connection with a “poison pill” or similar stockholder rights plan, dividends shall not be declared or paid on the Class B Common Stock and the holders of shares of Class B Common Stock shall have no right to receive dividends in respect of such shares of Class B Common Stock. </w:t>
      </w:r>
    </w:p>
    <w:p>
      <w:pPr>
        <w:pStyle w:val="TextBody"/>
        <w:bidi w:val="0"/>
        <w:spacing w:before="240" w:after="0"/>
        <w:jc w:val="left"/>
        <w:rPr>
          <w:rFonts w:ascii="Times New Roman" w:hAnsi="Times New Roman"/>
          <w:sz w:val="20"/>
        </w:rPr>
      </w:pPr>
      <w:r>
        <w:rPr>
          <w:rFonts w:ascii="Times New Roman" w:hAnsi="Times New Roman"/>
          <w:b/>
          <w:i/>
          <w:sz w:val="20"/>
        </w:rPr>
        <w:t xml:space="preserve">Rights upon liquidation. </w:t>
      </w:r>
      <w:r>
        <w:rPr>
          <w:rFonts w:ascii="Times New Roman" w:hAnsi="Times New Roman"/>
          <w:sz w:val="20"/>
        </w:rPr>
        <w:t xml:space="preserve">Each holder of shares of Class B Common Stock shall be entitled to receive $0.0001 per share of Class B Common Stock owned of record by such holder on the record date for such distribution, and upon receiving such amount, the holders of shares of Class B Common Stock, in their capacity as such, shall not be entitled to receive any other assets or funds of ours. </w:t>
      </w:r>
    </w:p>
    <w:p>
      <w:pPr>
        <w:pStyle w:val="TextBody"/>
        <w:bidi w:val="0"/>
        <w:spacing w:before="240" w:after="0"/>
        <w:jc w:val="left"/>
        <w:rPr>
          <w:rFonts w:ascii="Times New Roman" w:hAnsi="Times New Roman"/>
          <w:sz w:val="20"/>
        </w:rPr>
      </w:pPr>
      <w:r>
        <w:rPr>
          <w:rFonts w:ascii="Times New Roman" w:hAnsi="Times New Roman"/>
          <w:b/>
          <w:i/>
          <w:sz w:val="20"/>
        </w:rPr>
        <w:t xml:space="preserve">Permitted Ownership. </w:t>
      </w:r>
      <w:r>
        <w:rPr>
          <w:rFonts w:ascii="Times New Roman" w:hAnsi="Times New Roman"/>
          <w:sz w:val="20"/>
        </w:rPr>
        <w:t xml:space="preserve">Shares of Class B Common Stock may be issued only to, and registered only in the name of, the Intuitive Machines Members, their respective successors and assigns and their respective permitted transferees (the Intuitive Machines Members, together with all such subsequent successors, assigns and permitted transferees, collectively, the “Permitted Class B Owners”), and the aggregate number of shares of Class B Common Stock at any time registered in the name of each such Permitted Class B Owner must be equal to the aggregate number of OpCo Common Units held of record at such time by such Permitted Class B Owner under the Second Amended and Restated Operating Agreement of Intuitive Machines, LLC (“A&amp;R Operating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Class C Common Stock </w:t>
      </w:r>
    </w:p>
    <w:p>
      <w:pPr>
        <w:pStyle w:val="TextBody"/>
        <w:bidi w:val="0"/>
        <w:spacing w:before="120" w:after="0"/>
        <w:jc w:val="left"/>
        <w:rPr>
          <w:rFonts w:ascii="Times New Roman" w:hAnsi="Times New Roman"/>
          <w:sz w:val="20"/>
        </w:rPr>
      </w:pPr>
      <w:r>
        <w:rPr>
          <w:rFonts w:ascii="Times New Roman" w:hAnsi="Times New Roman"/>
          <w:b/>
          <w:i/>
          <w:sz w:val="20"/>
        </w:rPr>
        <w:t xml:space="preserve">Voting rights. </w:t>
      </w:r>
      <w:r>
        <w:rPr>
          <w:rFonts w:ascii="Times New Roman" w:hAnsi="Times New Roman"/>
          <w:sz w:val="20"/>
        </w:rPr>
        <w:t xml:space="preserve">Each holder of Class C Common Stock is entitled to three votes for each share of Class C Common Stock held of record in person or by proxy on all matters submitted to a vote of the holders of Class C Common Stock, whether voting separately as a class or otherwise. </w:t>
      </w:r>
    </w:p>
    <w:p>
      <w:pPr>
        <w:pStyle w:val="TextBody"/>
        <w:bidi w:val="0"/>
        <w:spacing w:before="240" w:after="0"/>
        <w:jc w:val="left"/>
        <w:rPr>
          <w:rFonts w:ascii="Times New Roman" w:hAnsi="Times New Roman"/>
          <w:sz w:val="20"/>
        </w:rPr>
      </w:pPr>
      <w:r>
        <w:rPr>
          <w:rFonts w:ascii="Times New Roman" w:hAnsi="Times New Roman"/>
          <w:b/>
          <w:i/>
          <w:sz w:val="20"/>
        </w:rPr>
        <w:t xml:space="preserve">Dividend rights. </w:t>
      </w:r>
      <w:r>
        <w:rPr>
          <w:rFonts w:ascii="Times New Roman" w:hAnsi="Times New Roman"/>
          <w:sz w:val="20"/>
        </w:rPr>
        <w:t xml:space="preserve">Other than in connection with a dividend declared by the Board in connection with a “poison pill” or similar stockholder rights plan, dividends shall not be declared or paid on the Class C Common Stock and the holders of shares of Class C Common Stock shall have no right to receive dividends in respect of such shares of Class C Common Stock. </w:t>
      </w:r>
    </w:p>
    <w:p>
      <w:pPr>
        <w:pStyle w:val="TextBody"/>
        <w:bidi w:val="0"/>
        <w:spacing w:before="240" w:after="0"/>
        <w:jc w:val="left"/>
        <w:rPr>
          <w:rFonts w:ascii="Times New Roman" w:hAnsi="Times New Roman"/>
          <w:sz w:val="20"/>
        </w:rPr>
      </w:pPr>
      <w:r>
        <w:rPr>
          <w:rFonts w:ascii="Times New Roman" w:hAnsi="Times New Roman"/>
          <w:b/>
          <w:i/>
          <w:sz w:val="20"/>
        </w:rPr>
        <w:t xml:space="preserve">Rights upon liquidation. </w:t>
      </w:r>
      <w:r>
        <w:rPr>
          <w:rFonts w:ascii="Times New Roman" w:hAnsi="Times New Roman"/>
          <w:sz w:val="20"/>
        </w:rPr>
        <w:t xml:space="preserve">Each holder of shares of Class C Common Stock shall be entitled to receive $0.0001 per share of Class C Common Stock owned of record by such holder on the record date for such distribution, and upon receiving such amount, the holders of shares of Class C Common Stock, in their capacity as such, shall not be entitled to receive any other assets or funds of ours.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b/>
          <w:i/>
          <w:sz w:val="20"/>
        </w:rPr>
        <w:t xml:space="preserve">Permitted Ownership. </w:t>
      </w:r>
      <w:r>
        <w:rPr>
          <w:rFonts w:ascii="Times New Roman" w:hAnsi="Times New Roman"/>
          <w:sz w:val="20"/>
        </w:rPr>
        <w:t xml:space="preserve">Shares of Class C Common Stock may be issued only to, and registered only in the name of, our founders, their respective successors and assigns and their respective permitted transferees (our founders, together with all such subsequent successors, assigns and permitted transferees, collectively, the “Permitted Class C Owners”), and the aggregate number of shares of Class C Common Stock at any time registered in the name of each such Permitted Class C Owner must be equal to the aggregate number of OpCo Common Units held of record at such time by such Permitted Class C Owner under the A&amp;R Operating Agreement.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Conversion of Class B Common Stock and Class C Common Stock </w:t>
      </w:r>
    </w:p>
    <w:p>
      <w:pPr>
        <w:pStyle w:val="TextBody"/>
        <w:bidi w:val="0"/>
        <w:spacing w:before="120" w:after="0"/>
        <w:jc w:val="left"/>
        <w:rPr>
          <w:rFonts w:ascii="Times New Roman" w:hAnsi="Times New Roman"/>
          <w:sz w:val="20"/>
        </w:rPr>
      </w:pPr>
      <w:r>
        <w:rPr>
          <w:rFonts w:ascii="Times New Roman" w:hAnsi="Times New Roman"/>
          <w:b/>
          <w:i/>
          <w:sz w:val="20"/>
        </w:rPr>
        <w:t xml:space="preserve">Conversion upon transfer. </w:t>
      </w:r>
      <w:r>
        <w:rPr>
          <w:rFonts w:ascii="Times New Roman" w:hAnsi="Times New Roman"/>
          <w:sz w:val="20"/>
        </w:rPr>
        <w:t xml:space="preserve">A holder of Class B Common Stock or Class C Common Stock may surrender shares of Class B Common Stock or Class C Common Stock to us for cancellation for no consideration at any time. Following the surrender or other acquisition of any shares of Class B Common Stock or Class C Common Stock to or by us, we will take all actions necessary to cancel and retire such shares and such shares shall not be re-issued by us. </w:t>
      </w:r>
    </w:p>
    <w:p>
      <w:pPr>
        <w:pStyle w:val="TextBody"/>
        <w:bidi w:val="0"/>
        <w:spacing w:before="240" w:after="0"/>
        <w:jc w:val="left"/>
        <w:rPr>
          <w:rFonts w:ascii="Times New Roman" w:hAnsi="Times New Roman"/>
          <w:sz w:val="20"/>
        </w:rPr>
      </w:pPr>
      <w:r>
        <w:rPr>
          <w:rFonts w:ascii="Times New Roman" w:hAnsi="Times New Roman"/>
          <w:sz w:val="20"/>
        </w:rPr>
        <w:t xml:space="preserve">A holder of Class B Common Stock or Class C Common Stock may transfer or assign shares of Class B Common Stock or Class C Common Stock (or any legal or beneficial interest in such shares) (directly or indirectly, including by operation of law) only to a permitted transferee of such holder or to a non-permitted transferee with our approval in advance and in writing, and only if such holder also simultaneously transfers, in each case, an equal number of such holder’s OpCo Common Units to such permitted transferee or such non-permitted transferee, as applicable, in compliance with the A&amp;R Operating Agreement. </w:t>
      </w:r>
    </w:p>
    <w:p>
      <w:pPr>
        <w:pStyle w:val="TextBody"/>
        <w:bidi w:val="0"/>
        <w:spacing w:before="240" w:after="0"/>
        <w:jc w:val="left"/>
        <w:rPr>
          <w:rFonts w:ascii="Times New Roman" w:hAnsi="Times New Roman"/>
          <w:sz w:val="20"/>
        </w:rPr>
      </w:pPr>
      <w:r>
        <w:rPr>
          <w:rFonts w:ascii="Times New Roman" w:hAnsi="Times New Roman"/>
          <w:sz w:val="20"/>
        </w:rPr>
        <w:t xml:space="preserve">The Board (including a majority of the directors who are disinterested with respect to the relevant transaction serving on the Board at such time) may, to the extent permitted by law, from time to time establish, modify, amend or rescind, by bylaw or otherwise, regulations and procedures not inconsistent with the provisions described herein for determining whether any transfer or acquisition of shares of Class B Common Stock or Class C Common Stock would violate the restrictions described herein and for the orderly application, administration and implementation of the provisions of the Certificate of Incorporation. </w:t>
      </w:r>
    </w:p>
    <w:p>
      <w:pPr>
        <w:pStyle w:val="TextBody"/>
        <w:bidi w:val="0"/>
        <w:spacing w:before="240" w:after="0"/>
        <w:jc w:val="left"/>
        <w:rPr>
          <w:rFonts w:ascii="Times New Roman" w:hAnsi="Times New Roman"/>
          <w:sz w:val="20"/>
        </w:rPr>
      </w:pPr>
      <w:r>
        <w:rPr>
          <w:rFonts w:ascii="Times New Roman" w:hAnsi="Times New Roman"/>
          <w:b/>
          <w:i/>
          <w:sz w:val="20"/>
        </w:rPr>
        <w:t xml:space="preserve">Voluntary Conversion. </w:t>
      </w:r>
      <w:r>
        <w:rPr>
          <w:rFonts w:ascii="Times New Roman" w:hAnsi="Times New Roman"/>
          <w:sz w:val="20"/>
        </w:rPr>
        <w:t xml:space="preserve">Each one share of Class C Common Stock shall be convertible into one share of Class B Common Stock at the option of the holder thereof at any time upon written notice to our transfer agent. Shares of Class C Common Stock that are converted into shares of Class B Common Stock as provided in the Certificate of Incorporation shall be retired and may not be reissued. </w:t>
      </w:r>
    </w:p>
    <w:p>
      <w:pPr>
        <w:pStyle w:val="TextBody"/>
        <w:bidi w:val="0"/>
        <w:spacing w:before="240" w:after="0"/>
        <w:jc w:val="left"/>
        <w:rPr>
          <w:rFonts w:ascii="Times New Roman" w:hAnsi="Times New Roman"/>
          <w:sz w:val="20"/>
        </w:rPr>
      </w:pPr>
      <w:r>
        <w:rPr>
          <w:rFonts w:ascii="Times New Roman" w:hAnsi="Times New Roman"/>
          <w:b/>
          <w:i/>
          <w:sz w:val="20"/>
        </w:rPr>
        <w:t xml:space="preserve">Automatic Conversion. </w:t>
      </w:r>
      <w:r>
        <w:rPr>
          <w:rFonts w:ascii="Times New Roman" w:hAnsi="Times New Roman"/>
          <w:sz w:val="20"/>
        </w:rPr>
        <w:t xml:space="preserve">On the earliest to occur of: (i) the date that is seven (7) years from the date of the Certificate of Incorporation and (ii) the first date on which the Permitted Class C Owners cease to own, in the aggregate, at least 33.0% of the number of shares of Class C Common Stock issued and held by the Permitted Class C Owners immediately following the closing of the Transactions (adjusted as appropriate to reflect any stock splits, reverse stock splits, stock dividends (including any dividend or distribution of securities convertible into Common Stock), reorganization, recapitalization, reclassification, combination, exchange of shares or other like change or transaction) (such date, the “Automatic Conversion Date”), each outstanding share of Class C Common Stock shall automatically, without any further action by us or any stockholder, convert into one fully paid and nonassessable share of Class B Common Stock. Following such conversion, the reissuance of such shares of Class C Common Stock shall be prohibited, and such shares of Class C Common Stock shall be retired and cancelled in accordance with the applicable provisions of the applicable law. </w:t>
      </w:r>
    </w:p>
    <w:p>
      <w:pPr>
        <w:pStyle w:val="TextBody"/>
        <w:bidi w:val="0"/>
        <w:spacing w:before="240" w:after="0"/>
        <w:jc w:val="left"/>
        <w:rPr>
          <w:rFonts w:ascii="Times New Roman" w:hAnsi="Times New Roman"/>
          <w:sz w:val="20"/>
        </w:rPr>
      </w:pPr>
      <w:r>
        <w:rPr>
          <w:rFonts w:ascii="Times New Roman" w:hAnsi="Times New Roman"/>
          <w:b/>
          <w:i/>
          <w:sz w:val="20"/>
        </w:rPr>
        <w:t>Conversion to Class</w:t>
      </w:r>
      <w:r>
        <w:rPr>
          <w:rFonts w:ascii="Times New Roman" w:hAnsi="Times New Roman"/>
          <w:sz w:val="20"/>
        </w:rPr>
        <w:t> </w:t>
      </w:r>
      <w:r>
        <w:rPr>
          <w:rFonts w:ascii="Times New Roman" w:hAnsi="Times New Roman"/>
          <w:b/>
          <w:i/>
          <w:sz w:val="20"/>
        </w:rPr>
        <w:t xml:space="preserve">A Common Stock. </w:t>
      </w:r>
      <w:r>
        <w:rPr>
          <w:rFonts w:ascii="Times New Roman" w:hAnsi="Times New Roman"/>
          <w:sz w:val="20"/>
        </w:rPr>
        <w:t xml:space="preserve">After the expiration of the Lock-Up Period, holders of certain OpCo Common Units will be permitted to exchange such OpCo Common Units (along with the cancellation of the paired share of Class B Common Stock or share of Class C Common Stock) for shares of Class A Common Stock on a one-for-one basis pursuant to the A&amp;R Operating Agreement (subject to customary conversion rate adjustments for stock splits, stock dividends and reclassifications) or, at our election (determined by a majority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our directors who are disinterested with respect to such determination), cash from a substantially concurrent public offering or private sale in an amount equal to the net amount, on a per share basis, of cash received as a result of such public offering or private sale.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Preferred Stock </w:t>
      </w:r>
    </w:p>
    <w:p>
      <w:pPr>
        <w:pStyle w:val="TextBody"/>
        <w:bidi w:val="0"/>
        <w:spacing w:before="120" w:after="0"/>
        <w:jc w:val="left"/>
        <w:rPr>
          <w:rFonts w:ascii="Times New Roman" w:hAnsi="Times New Roman"/>
          <w:sz w:val="20"/>
        </w:rPr>
      </w:pPr>
      <w:r>
        <w:rPr>
          <w:rFonts w:ascii="Times New Roman" w:hAnsi="Times New Roman"/>
          <w:sz w:val="20"/>
        </w:rPr>
        <w:t xml:space="preserve">The total of our authorized shares of Preferred Stock is 25,000,000 shares. We currently have 5,000 shares of Series A Preferred Stock issued and outstanding.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authorizes the Board to establish one or more series of Preferred Stock. Unless required by law or any stock exchange, the authorized shares of Preferred Stock are available for issuance without further action by the holders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Our Board has the discretion to determine the powers, preferences and relative, participating, optional and other special rights, including voting rights, dividend rights, conversion rights, redemption privileges and liquidation preferences, of each series of Preferred Stock. The issuance of Preferred Stock may have the effect of delaying, deferring or preventing a change in control of Intuitive Machines without further action by the stockholders. Additionally, the issuance of Preferred Stock may adversely affect the holders of our Common Stock by restricting dividends on the Common Stock, diluting the voting power of the Common Stock or subordinating the liquidation rights of the Common Stock. As a result of these or other factors, the issuance of Preferred Stock could have an adverse impact on the market price of our Common Stock. </w:t>
      </w:r>
    </w:p>
    <w:p>
      <w:pPr>
        <w:pStyle w:val="TextBody"/>
        <w:bidi w:val="0"/>
        <w:spacing w:before="240" w:after="0"/>
        <w:jc w:val="left"/>
        <w:rPr>
          <w:rFonts w:ascii="Times New Roman" w:hAnsi="Times New Roman"/>
          <w:sz w:val="20"/>
        </w:rPr>
      </w:pPr>
      <w:r>
        <w:rPr>
          <w:rFonts w:ascii="Times New Roman" w:hAnsi="Times New Roman"/>
          <w:b/>
          <w:i/>
          <w:sz w:val="20"/>
        </w:rPr>
        <w:t xml:space="preserve">Dividends: </w:t>
      </w:r>
      <w:r>
        <w:rPr>
          <w:rFonts w:ascii="Times New Roman" w:hAnsi="Times New Roman"/>
          <w:sz w:val="20"/>
        </w:rPr>
        <w:t xml:space="preserve">The Series A Preferred Stock pays dividends, semi-annually at the rate of 10% of the original price per share, plus the amount of previously accrued, but unpaid dividends, compounded semi-annually, and participates with our Common Stock on all other dividends. Accrued dividends may be paid (i) in cash, (ii) subject to satisfaction of certain equity conditions, in shares of Class A Common Stock or (iii) accumulated, compounded and added to the liquidation preference described below. </w:t>
      </w:r>
    </w:p>
    <w:p>
      <w:pPr>
        <w:pStyle w:val="TextBody"/>
        <w:bidi w:val="0"/>
        <w:spacing w:before="240" w:after="0"/>
        <w:jc w:val="left"/>
        <w:rPr>
          <w:rFonts w:ascii="Times New Roman" w:hAnsi="Times New Roman"/>
          <w:sz w:val="20"/>
        </w:rPr>
      </w:pPr>
      <w:r>
        <w:rPr>
          <w:rFonts w:ascii="Times New Roman" w:hAnsi="Times New Roman"/>
          <w:b/>
          <w:i/>
          <w:sz w:val="20"/>
        </w:rPr>
        <w:t xml:space="preserve">Liquidation Preference: </w:t>
      </w:r>
      <w:r>
        <w:rPr>
          <w:rFonts w:ascii="Times New Roman" w:hAnsi="Times New Roman"/>
          <w:sz w:val="20"/>
        </w:rPr>
        <w:t xml:space="preserve">Upon any liquidation or deemed liquidation event, the holders of Series A Preferred Stock will be entitled to receive out of the available proceeds, before any distribution is made to holders of common stock or any other junior securities, an amount per share equal to the greater of (i) 100% of the Accrued Value (as defined in the Certificate of Designation) or (ii) such amount per share as would have been payable had all shares of Series A Preferred Stock been converted into Class A Common Stock immediately prior to the liquidation event. </w:t>
      </w:r>
    </w:p>
    <w:p>
      <w:pPr>
        <w:pStyle w:val="TextBody"/>
        <w:bidi w:val="0"/>
        <w:spacing w:before="240" w:after="0"/>
        <w:jc w:val="left"/>
        <w:rPr>
          <w:rFonts w:ascii="Times New Roman" w:hAnsi="Times New Roman"/>
          <w:sz w:val="20"/>
        </w:rPr>
      </w:pPr>
      <w:r>
        <w:rPr>
          <w:rFonts w:ascii="Times New Roman" w:hAnsi="Times New Roman"/>
          <w:b/>
          <w:i/>
          <w:sz w:val="20"/>
        </w:rPr>
        <w:t xml:space="preserve">Voting: </w:t>
      </w:r>
      <w:r>
        <w:rPr>
          <w:rFonts w:ascii="Times New Roman" w:hAnsi="Times New Roman"/>
          <w:sz w:val="20"/>
        </w:rPr>
        <w:t>The Series A Preferred Stock votes together with our Common Stock on an as-converted basis, except as required by law and (ii) as noted below under “</w:t>
      </w:r>
      <w:r>
        <w:rPr>
          <w:rFonts w:ascii="Times New Roman" w:hAnsi="Times New Roman"/>
          <w:i/>
          <w:sz w:val="20"/>
        </w:rPr>
        <w:t>Protective Provisions</w:t>
      </w:r>
      <w:r>
        <w:rPr>
          <w:rFonts w:ascii="Times New Roman" w:hAnsi="Times New Roman"/>
          <w:sz w:val="20"/>
        </w:rPr>
        <w:t xml:space="preserve">.” Each holder of Series A Preferred Stock shall be entitled to cast the number of votes equal to the number of whole shares of Class A Common Stock into which the shares of Series A Preferred Stock held by such holder are convertible as of the record date for determining stockholders entitled to vote on such matter. </w:t>
      </w:r>
    </w:p>
    <w:p>
      <w:pPr>
        <w:pStyle w:val="TextBody"/>
        <w:bidi w:val="0"/>
        <w:spacing w:before="240" w:after="0"/>
        <w:jc w:val="left"/>
        <w:rPr>
          <w:rFonts w:ascii="Times New Roman" w:hAnsi="Times New Roman"/>
          <w:sz w:val="20"/>
        </w:rPr>
      </w:pPr>
      <w:r>
        <w:rPr>
          <w:rFonts w:ascii="Times New Roman" w:hAnsi="Times New Roman"/>
          <w:b/>
          <w:i/>
          <w:sz w:val="20"/>
        </w:rPr>
        <w:t xml:space="preserve">Protective Provisions: </w:t>
      </w:r>
      <w:r>
        <w:rPr>
          <w:rFonts w:ascii="Times New Roman" w:hAnsi="Times New Roman"/>
          <w:sz w:val="20"/>
        </w:rPr>
        <w:t xml:space="preserve">For as long as 25% of the shares of Series A Preferred Stock issued as of the Closing are outstanding, we shall not, without the affirmative vote or action by written consent of holders of more than 50% of the issued and outstanding shares of Series A Preferred Stock (the “Requisite Holders”), take any of the following actions: (i) liquidate, dissolve or wind up the affairs of Intuitive Machines; (ii) amend, alter, or repeal any provision of the Certificate of Incorporation, Bylaws or any similar document of Intuitive Machines in a manner adverse to the Series A Preferred Stock; (iii) create or authorize the creation of or issue any other security convertible into or exercisable for any equity security unless such security ranks junior to the Series A Preferred Stock with respect to its rights, preferences and privileges, or increase the authorized number of shares of Series A Preferred Stock; provided, that Intuitive Machines shall be permitted to issue up to $50.0 million in equity securities without the consent of the Requisite Holders; (iv) purchase or redeem or pay any cash dividend on any capital stock prior to the Series A Preferred Stock, other than stock repurchased at cost from former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and consultants in connection with the cessation of their service; or (v) incur or guarantee any indebtedness, if the aggregate indebtedness of Intuitive Machines and its subsidiaries for borrowed money following such action would exceed $100,000,000; provided, however, that the Series A Preferred Stock shall not be considered indebtedness for purposes of this calculation (irrespective of the accounting treatment that the Series A Preferred Stock receives under Intuitive Machines’ financial statements). </w:t>
      </w:r>
    </w:p>
    <w:p>
      <w:pPr>
        <w:pStyle w:val="TextBody"/>
        <w:bidi w:val="0"/>
        <w:spacing w:before="240" w:after="0"/>
        <w:jc w:val="left"/>
        <w:rPr>
          <w:rFonts w:ascii="Times New Roman" w:hAnsi="Times New Roman"/>
          <w:sz w:val="20"/>
        </w:rPr>
      </w:pPr>
      <w:r>
        <w:rPr>
          <w:rFonts w:ascii="Times New Roman" w:hAnsi="Times New Roman"/>
          <w:b/>
          <w:i/>
          <w:sz w:val="20"/>
        </w:rPr>
        <w:t xml:space="preserve">Conversion: </w:t>
      </w:r>
      <w:r>
        <w:rPr>
          <w:rFonts w:ascii="Times New Roman" w:hAnsi="Times New Roman"/>
          <w:sz w:val="20"/>
        </w:rPr>
        <w:t xml:space="preserve">Each share of Series A Preferred Stock will be convertible at the holder’s option into shares of Class A Common Stock at an initial conversion ratio determined by dividing the Accrued Value (as defined in the Certificate of Designation) of such shares of Series A Preferred Stock by the conversion price of $12.00 per share subject to adjustment in accordance with the terms of the Certificate of Designation. </w:t>
      </w:r>
    </w:p>
    <w:p>
      <w:pPr>
        <w:pStyle w:val="TextBody"/>
        <w:bidi w:val="0"/>
        <w:spacing w:before="240" w:after="0"/>
        <w:jc w:val="left"/>
        <w:rPr>
          <w:rFonts w:ascii="Times New Roman" w:hAnsi="Times New Roman"/>
          <w:sz w:val="20"/>
        </w:rPr>
      </w:pPr>
      <w:r>
        <w:rPr>
          <w:rFonts w:ascii="Times New Roman" w:hAnsi="Times New Roman"/>
          <w:b/>
          <w:i/>
          <w:sz w:val="20"/>
        </w:rPr>
        <w:t xml:space="preserve">Put Rights: </w:t>
      </w:r>
      <w:r>
        <w:rPr>
          <w:rFonts w:ascii="Times New Roman" w:hAnsi="Times New Roman"/>
          <w:sz w:val="20"/>
        </w:rPr>
        <w:t xml:space="preserve">Unless prohibited by applicable law governing distributions to stockholders, the Series A Preferred Stock shall be redeemable at the option of the Requisite Holders commencing any time after the 5th year anniversary of the Closing at a price equal to the 100% of the sum of (i) original purchase price plus (ii) all accrued/declared but unpaid dividends. </w:t>
      </w:r>
    </w:p>
    <w:p>
      <w:pPr>
        <w:pStyle w:val="TextBody"/>
        <w:bidi w:val="0"/>
        <w:spacing w:before="240" w:after="0"/>
        <w:jc w:val="left"/>
        <w:rPr>
          <w:rFonts w:ascii="Times New Roman" w:hAnsi="Times New Roman"/>
          <w:sz w:val="20"/>
        </w:rPr>
      </w:pPr>
      <w:r>
        <w:rPr>
          <w:rFonts w:ascii="Times New Roman" w:hAnsi="Times New Roman"/>
          <w:b/>
          <w:i/>
          <w:sz w:val="20"/>
        </w:rPr>
        <w:t xml:space="preserve">Call Rights: </w:t>
      </w:r>
      <w:r>
        <w:rPr>
          <w:rFonts w:ascii="Times New Roman" w:hAnsi="Times New Roman"/>
          <w:sz w:val="20"/>
        </w:rPr>
        <w:t xml:space="preserve">Unless prohibited by applicable law governing distributions to stockholders, the Series A Preferred Stock shall be redeemable at our option commencing any time (A) after the 3rd year anniversary of the Closing at a price equal to the 115% of the Accrued Value, (B) after the 4th anniversary of the Closing at a price equal to the 110% of the Accrued Value and (C) after the 5th anniversary of the Closing at a price equal to the 100% of the Accrued Value. </w:t>
      </w:r>
    </w:p>
    <w:p>
      <w:pPr>
        <w:pStyle w:val="TextBody"/>
        <w:bidi w:val="0"/>
        <w:spacing w:before="360" w:after="0"/>
        <w:jc w:val="left"/>
        <w:rPr>
          <w:rFonts w:ascii="Times New Roman" w:hAnsi="Times New Roman"/>
          <w:b/>
          <w:i/>
          <w:sz w:val="20"/>
        </w:rPr>
      </w:pPr>
      <w:r>
        <w:rPr>
          <w:rFonts w:ascii="Times New Roman" w:hAnsi="Times New Roman"/>
          <w:b/>
          <w:i/>
          <w:sz w:val="20"/>
        </w:rPr>
        <w:t xml:space="preserve">Preferred Investor Warrants </w:t>
      </w:r>
    </w:p>
    <w:p>
      <w:pPr>
        <w:pStyle w:val="TextBody"/>
        <w:bidi w:val="0"/>
        <w:spacing w:before="120" w:after="0"/>
        <w:jc w:val="left"/>
        <w:rPr>
          <w:rFonts w:ascii="Times New Roman" w:hAnsi="Times New Roman"/>
          <w:sz w:val="20"/>
        </w:rPr>
      </w:pPr>
      <w:r>
        <w:rPr>
          <w:rFonts w:ascii="Times New Roman" w:hAnsi="Times New Roman"/>
          <w:sz w:val="20"/>
        </w:rPr>
        <w:t xml:space="preserve">The Preferred Investor Warrants were immediately exercisable upon issuance at the consummation of the Transactions and expire on February 13, 2028 at 5:00 p.m., New York City time (the “PIW Termination Date”). The Preferred Investor Warrants include customary cash and cashless exercise provisions. Each Preferred Investor Warrant is initially exercisable at $15.00 per share of Class A Common Stock, subject to certain adjustments including those resulting from (i) stock dividends and splits, (ii) subsequent rights offerings, (iii) pro-rata distributions, (iv) fundamental transactions, (v) certain voluntary adjustments and (vi) issuances or deemed issuances of shares of Class A Common Stock at a price below the exercise price then in effect, subject in the case of adjustments described in this clause (vi), to an exercise price floor of $11.50, in each case, in accordance with the terms of the Preferred Investor Warrants. </w:t>
      </w:r>
    </w:p>
    <w:p>
      <w:pPr>
        <w:pStyle w:val="TextBody"/>
        <w:bidi w:val="0"/>
        <w:spacing w:before="240" w:after="0"/>
        <w:jc w:val="left"/>
        <w:rPr>
          <w:rFonts w:ascii="Times New Roman" w:hAnsi="Times New Roman"/>
          <w:sz w:val="20"/>
        </w:rPr>
      </w:pPr>
      <w:r>
        <w:rPr>
          <w:rFonts w:ascii="Times New Roman" w:hAnsi="Times New Roman"/>
          <w:sz w:val="20"/>
        </w:rPr>
        <w:t xml:space="preserve">The Preferred Investor Warrants do not include any redemption features. The Preferred Investor Warrants may be exercised on a cashless basis if, at any time after the six-month anniversary of the Closing Date, there is not an effective registration statement with respect to the shares of Class A Common Stock issuable upon the exercise of the Preferred Investor Warrants. On the PIW Termination Date, the Preferred Investor Warrants will be automatically exercised on a cashless basis. To exercise on a cashless basis, the holder of the Preferred Investor Warrant would pay the exercise price by surrendering the Preferred Investor Warrant (or part thereof) for that number of shares of Class A Common Stock equal to the quotient obtained by dividing (x) the product of the number of shares of Class A Common Stock underlying the Preferred Investor Warrant, multiplied by the excess of the daily volume weighted average price of the Class A Common Stock on the date specified by the Preferred Investor Warrant less the exercise price of such Preferred Investor Warrant by (y) the daily volume weighted average price of the Class A Common Stock on the date specified by the Preferred Investor Warrant. </w:t>
      </w:r>
    </w:p>
    <w:p>
      <w:pPr>
        <w:pStyle w:val="TextBody"/>
        <w:bidi w:val="0"/>
        <w:spacing w:before="240" w:after="0"/>
        <w:jc w:val="left"/>
        <w:rPr>
          <w:rFonts w:ascii="Times New Roman" w:hAnsi="Times New Roman"/>
          <w:sz w:val="20"/>
        </w:rPr>
      </w:pPr>
      <w:r>
        <w:rPr>
          <w:rFonts w:ascii="Times New Roman" w:hAnsi="Times New Roman"/>
          <w:sz w:val="20"/>
        </w:rPr>
        <w:t xml:space="preserve">The holders of Preferred Investor Warrants do not have the rights or privileges of holders of shares of Class A Common Stock or any voting rights in respect of the Preferred Investor Warrants or underlying shares of Class A Common Stock until they exercise their Preferred Investor Warrants and receive shares of Class A Common Stock. After the issuance of shares of Class A Common Stock upon exercise of the Preferred Investor Warrants, each holder will be entitled to one vote for each share of Class A Common Stock held of record on all matters to be voted on by stockholders.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i/>
          <w:sz w:val="20"/>
        </w:rPr>
      </w:pPr>
      <w:r>
        <w:rPr>
          <w:rFonts w:ascii="Times New Roman" w:hAnsi="Times New Roman"/>
          <w:b/>
          <w:i/>
          <w:sz w:val="20"/>
        </w:rPr>
        <w:t xml:space="preserve">The Conversion Series A Warrant - January 28, 2024 </w:t>
      </w:r>
    </w:p>
    <w:p>
      <w:pPr>
        <w:pStyle w:val="TextBody"/>
        <w:bidi w:val="0"/>
        <w:spacing w:before="120" w:after="0"/>
        <w:jc w:val="left"/>
        <w:rPr>
          <w:rFonts w:ascii="Times New Roman" w:hAnsi="Times New Roman"/>
          <w:sz w:val="20"/>
        </w:rPr>
      </w:pPr>
      <w:r>
        <w:rPr>
          <w:rFonts w:ascii="Times New Roman" w:hAnsi="Times New Roman"/>
          <w:sz w:val="20"/>
        </w:rPr>
        <w:t xml:space="preserve">The Conversion Series A Warrant was immediately exercisable upon issuance and expires on January 29, 2029. The Conversion Series A Warrant contains customary cash exercise provisions. The Conversion Series A Warrant is exercisable for up to 4,150,780 shares of Class A Common Stock, at the holder’s election, at an exercise price of $2.57 per share, subject to standard adjustments to the exercise price including for (i) stock dividends and splits, (ii) subsequent rights offerings, (iii) pro rata distributions and (iv) fundamental transactions. </w:t>
      </w:r>
    </w:p>
    <w:p>
      <w:pPr>
        <w:pStyle w:val="TextBody"/>
        <w:bidi w:val="0"/>
        <w:spacing w:before="240" w:after="0"/>
        <w:jc w:val="left"/>
        <w:rPr>
          <w:rFonts w:ascii="Times New Roman" w:hAnsi="Times New Roman"/>
          <w:sz w:val="20"/>
        </w:rPr>
      </w:pPr>
      <w:r>
        <w:rPr>
          <w:rFonts w:ascii="Times New Roman" w:hAnsi="Times New Roman"/>
          <w:sz w:val="20"/>
        </w:rPr>
        <w:t xml:space="preserve">The Conversion Series A Warrant does not include any redemption features and have a 5 years term. On the Conversion Series A Warrant Termination Date, the Conversion Series A Warrant will be automatically exercised on a cashless basis. To exercise on a cashless basis, the holder of the Conversion Series A Warrant would pay the exercise price by surrendering the Conversion Series A Warrant (or part thereof) for that number of shares of Class A Common Stock equal to the quotient obtained by dividing (x) the product of the number of shares of Class A Common Stock underlying the Conversion Series A Warrant, multiplied by the excess of the daily volume weighted average price of the Class A Common Stock on the date specified by the Conversion Series A Warrant less the exercise price of such Conversion Series A Warrant by (y) the daily volume weighted average price of the Class A Common Stock on the date specified by the Conversion Series A Warrant. </w:t>
      </w:r>
    </w:p>
    <w:p>
      <w:pPr>
        <w:pStyle w:val="TextBody"/>
        <w:bidi w:val="0"/>
        <w:spacing w:before="240" w:after="0"/>
        <w:jc w:val="left"/>
        <w:rPr>
          <w:rFonts w:ascii="Times New Roman" w:hAnsi="Times New Roman"/>
          <w:sz w:val="20"/>
        </w:rPr>
      </w:pPr>
      <w:r>
        <w:rPr>
          <w:rFonts w:ascii="Times New Roman" w:hAnsi="Times New Roman"/>
          <w:sz w:val="20"/>
        </w:rPr>
        <w:t xml:space="preserve">The holder of the Conversion Series A Warrant does not have the rights or privileges of holders of shares of Class A Common Stock or any voting rights in respect of the Conversion Series A Warrant or underlying shares of Class A Common Stock until it exercises the Conversion Series A Warrant and receives shares of Class A Common Stock. After the issuance of shares of Class A Common Stock upon exercise of the Conversion Series A Warrant, the holder will be entitled to one vote for each share of Class A Common Stock held of record on all matters to be voted on by stockholders. </w:t>
      </w:r>
    </w:p>
    <w:p>
      <w:pPr>
        <w:pStyle w:val="TextBody"/>
        <w:bidi w:val="0"/>
        <w:spacing w:before="360" w:after="0"/>
        <w:jc w:val="left"/>
        <w:rPr>
          <w:rFonts w:ascii="Times New Roman" w:hAnsi="Times New Roman"/>
          <w:b/>
          <w:sz w:val="20"/>
        </w:rPr>
      </w:pPr>
      <w:r>
        <w:rPr>
          <w:rFonts w:ascii="Times New Roman" w:hAnsi="Times New Roman"/>
          <w:b/>
          <w:sz w:val="20"/>
        </w:rPr>
        <w:t xml:space="preserve">Anti-Takeover Effects of the Certificate of Incorporation, the Bylaws and Certain Provisions of Delaware Law </w:t>
      </w:r>
    </w:p>
    <w:p>
      <w:pPr>
        <w:pStyle w:val="TextBody"/>
        <w:bidi w:val="0"/>
        <w:spacing w:before="120" w:after="0"/>
        <w:jc w:val="left"/>
        <w:rPr>
          <w:rFonts w:ascii="Times New Roman" w:hAnsi="Times New Roman"/>
          <w:sz w:val="20"/>
        </w:rPr>
      </w:pPr>
      <w:r>
        <w:rPr>
          <w:rFonts w:ascii="Times New Roman" w:hAnsi="Times New Roman"/>
          <w:sz w:val="20"/>
        </w:rPr>
        <w:t xml:space="preserve">The provisions of the Certificate of Incorporation, the Bylaws and the DGCL summarized below may have an anti-takeover effect and may delay, defer or prevent a tender offer or takeover attempt that you might consider in your best interest, including an attempt that might result in your receipt of a premium over the market price for your shares of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Certificate of Incorporation and Bylaws contain certain provisions that are intended to enhance the likelihood of continuity and stability in the composition of the Board and that may have the effect of delaying, deferring or preventing a future takeover or change in control of us unless such takeover or change in control is approved by such board of directors. </w:t>
      </w:r>
    </w:p>
    <w:p>
      <w:pPr>
        <w:pStyle w:val="TextBody"/>
        <w:bidi w:val="0"/>
        <w:spacing w:before="240" w:after="0"/>
        <w:jc w:val="left"/>
        <w:rPr>
          <w:rFonts w:ascii="Times New Roman" w:hAnsi="Times New Roman"/>
          <w:sz w:val="20"/>
        </w:rPr>
      </w:pPr>
      <w:r>
        <w:rPr>
          <w:rFonts w:ascii="Times New Roman" w:hAnsi="Times New Roman"/>
          <w:sz w:val="20"/>
        </w:rPr>
        <w:t xml:space="preserve">These provisions include: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i/>
                <w:sz w:val="20"/>
              </w:rPr>
              <w:t>Authorized but Unissued Capital Stock</w:t>
            </w:r>
            <w:r>
              <w:rPr>
                <w:rFonts w:ascii="Times New Roman" w:hAnsi="Times New Roman"/>
                <w:sz w:val="20"/>
              </w:rPr>
              <w:t xml:space="preserve">. Our authorized but unissued shares of Common Stock and Preferred Stock are available for future issuance without stockholder approval. These additional shares may be utilized for a variety of corporate purposes, including future public offerings to raise additional capital, corporate acquisitions and employee benefit plans. The existence of authorized but unissued shares of Common Stock and Preferred Stock could render more difficult or discourage an attempt to obtain control of a majority of Common Stock by means of a proxy contest, tender offer, merger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Classified Board</w:t>
            </w:r>
            <w:r>
              <w:rPr>
                <w:rFonts w:ascii="Times New Roman" w:hAnsi="Times New Roman"/>
                <w:sz w:val="20"/>
              </w:rPr>
              <w:t xml:space="preserve">. Pursuant to the Certificate of Incorporation, our directors are divided into three classes, with each class serving staggered three year terms. The existence of a classified board of directors could discourage a third party from making a tender offer or otherwise attempting to obtain control of us as it is more difficult and time consuming for stockholders to replace a majority of the directors on a classified board of directors.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No Cumulative Voting for Directors</w:t>
            </w:r>
            <w:r>
              <w:rPr>
                <w:rFonts w:ascii="Times New Roman" w:hAnsi="Times New Roman"/>
                <w:sz w:val="20"/>
              </w:rPr>
              <w:t xml:space="preserve">. The DGCL provides that stockholders are not entitled to cumulate votes in the election of directors unless a corporation’s certificate of incorporation provides otherwise. The Certificate of Incorporation does not provide for cumulative voting. As a result, the holders of shares of Common Stock representing a majority of the voting power of all of the outstanding shares of our capital stock of are able to elect all of the directors then standing for election.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Quorum</w:t>
            </w:r>
            <w:r>
              <w:rPr>
                <w:rFonts w:ascii="Times New Roman" w:hAnsi="Times New Roman"/>
                <w:sz w:val="20"/>
              </w:rPr>
              <w:t xml:space="preserve">. The Bylaws provide that at any meeting of the Board, a majority of the total number of directors then in office constitutes a quorum for the transaction of business.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Action by Written Consent</w:t>
            </w:r>
            <w:r>
              <w:rPr>
                <w:rFonts w:ascii="Times New Roman" w:hAnsi="Times New Roman"/>
                <w:sz w:val="20"/>
              </w:rPr>
              <w:t xml:space="preserve">. The Certificate of Incorporation provides that, for so long as we qualify as a controlled company (as defined in Nasdaq Listing Rule 5615(c)(1)), any action required or permitted to be taken by our stockholders may be effected by the consent in writing of the holders of our outstanding capital stock having not less than the minimum number of votes that would be necessary to authorize or take such action at a meeting at which all shares entitled to vote thereon were present and voted. Because we no longer qualify as a controlled company, any action required or permitted to be taken by our stockholders must be effected at a duly called annual or special meeting of our stockholders (and may not be taken by consent of the stockholders in lieu of a meeting). In addition to the foregoing, any action required or permitted to be taken by the holders of any series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 if a consent or consents in writing, setting forth the action so taken, shall be signed by the holders of outstanding shares of the relevant series of Preferred Stock having not less than the minimum number of votes that would be necessary to authorize or take such action at a meeting at which all shares entitled to vote thereon were present and voted and shall be delivered to us in accordance with the applicable provisions of the DGCL.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Special Meetings of Stockholders</w:t>
            </w:r>
            <w:r>
              <w:rPr>
                <w:rFonts w:ascii="Times New Roman" w:hAnsi="Times New Roman"/>
                <w:sz w:val="20"/>
              </w:rPr>
              <w:t xml:space="preserve">. Subject to the special rights of the holders of one or more series of Preferred Stock, special meetings of our stockholders may be called, for any purpose or purposes, at any time only by or at the direction of (i) the Board, the chairperson of the Board, the chief executive officer or president, and (ii) for so long as we are a controlled company (as defined above), by our secretary at the request of any holder of record of at least 25% of the voting power of the issued and outstanding shares of our capital stock. Subject to the special rights of the holders of one or more series of Preferred Stock, because we no longer qualify as a controlled company, special meetings of our stockholders may not be called by our stockholders or any other person.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i/>
                <w:sz w:val="20"/>
              </w:rPr>
              <w:t>Advance Notice Procedures</w:t>
            </w:r>
            <w:r>
              <w:rPr>
                <w:rFonts w:ascii="Times New Roman" w:hAnsi="Times New Roman"/>
                <w:sz w:val="20"/>
              </w:rPr>
              <w:t xml:space="preserve">. The Bylaws establish an advance notice procedure for stockholder proposals to be brought before an annual meeting of our stockholders, and for stockholder nominations of persons for election to our board of directors to be brought before an annual or special meeting of stockholders. Stockholders at an annual meeting will only be able to consider proposals or nominations specified in the notice of meeting or brought before the meeting by or at the direction of our board of directors or by a stockholder who was a stockholder of record on the record date for the meeting, who is entitled to vote at the meeting and who has given our secretary timely written notice, in proper form, of the stockholder’s intention to bring that business or nomination before the meeting. Although the Bylaws do not give the board of directors the power to approve or disapprove stockholder nominations of candidates or proposals regarding other business to be conducted at a special or annual meeting, as applicable, the Bylaws may have the effect of precluding the conduct of certain business at a meeting if the proper procedures are not followed or may discourage or deter a potential acquirer from conducting a solicitation of proxies to elect its own slate of directors or otherwise attempting to obtain control of us.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Limitations on Liability and Indemnification of Officers and Directors </w:t>
      </w:r>
    </w:p>
    <w:p>
      <w:pPr>
        <w:pStyle w:val="TextBody"/>
        <w:bidi w:val="0"/>
        <w:spacing w:before="120" w:after="0"/>
        <w:jc w:val="left"/>
        <w:rPr>
          <w:rFonts w:ascii="Times New Roman" w:hAnsi="Times New Roman"/>
          <w:sz w:val="20"/>
        </w:rPr>
      </w:pPr>
      <w:r>
        <w:rPr>
          <w:rFonts w:ascii="Times New Roman" w:hAnsi="Times New Roman"/>
          <w:sz w:val="20"/>
        </w:rPr>
        <w:t xml:space="preserve">The DGCL authorizes corporations to limit or eliminate the personal liability of directors to corporations and their stockholders for monetary damages for breaches of directors’ fiduciary duties, subject to certain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exceptions. The Certificate of Incorporation includes a provision that eliminates the personal liability of directors for monetary damages for any breach of fiduciary duty as a director, except to the extent such exemption from liability or limitation thereof is not permitted under the DGCL. The effect of these provisions is to eliminate our rights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acted in bad faith, knowingly or intentionally violated the law, authorized illegal dividends or redemptions or derived an improper benefit from his or her actions as a director. </w:t>
      </w:r>
    </w:p>
    <w:p>
      <w:pPr>
        <w:pStyle w:val="TextBody"/>
        <w:bidi w:val="0"/>
        <w:spacing w:before="240" w:after="0"/>
        <w:jc w:val="left"/>
        <w:rPr>
          <w:rFonts w:ascii="Times New Roman" w:hAnsi="Times New Roman"/>
          <w:sz w:val="20"/>
        </w:rPr>
      </w:pPr>
      <w:r>
        <w:rPr>
          <w:rFonts w:ascii="Times New Roman" w:hAnsi="Times New Roman"/>
          <w:sz w:val="20"/>
        </w:rPr>
        <w:t xml:space="preserve">The Bylaws provide that we must indemnify and advance expenses to directors and officers to the fullest extent authorized by the DGCL. We are also expressly authorized to carry directors’ and officers’ liability insurance providing indemnification for directors, officers and certain employees for some liabilities. We believe that these indemnification and advancement provisions and insurance are useful to attract and retain qualified directors and executive officers. </w:t>
      </w:r>
    </w:p>
    <w:p>
      <w:pPr>
        <w:pStyle w:val="TextBody"/>
        <w:bidi w:val="0"/>
        <w:spacing w:before="240" w:after="0"/>
        <w:jc w:val="left"/>
        <w:rPr>
          <w:rFonts w:ascii="Times New Roman" w:hAnsi="Times New Roman"/>
          <w:sz w:val="20"/>
        </w:rPr>
      </w:pPr>
      <w:r>
        <w:rPr>
          <w:rFonts w:ascii="Times New Roman" w:hAnsi="Times New Roman"/>
          <w:sz w:val="20"/>
        </w:rPr>
        <w:t xml:space="preserve">The limitation of liability, indemnification and advancement provisions in the Certificate of Incorporation and the Bylaws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 We believe that these provisions, liability insurance and any indemnity agreements that may be entered into are necessary to attract and retain talented and experienced directors and officers. </w:t>
      </w:r>
    </w:p>
    <w:p>
      <w:pPr>
        <w:pStyle w:val="TextBody"/>
        <w:bidi w:val="0"/>
        <w:spacing w:before="240" w:after="0"/>
        <w:jc w:val="left"/>
        <w:rPr>
          <w:rFonts w:ascii="Times New Roman" w:hAnsi="Times New Roman"/>
          <w:sz w:val="20"/>
        </w:rPr>
      </w:pPr>
      <w:r>
        <w:rPr>
          <w:rFonts w:ascii="Times New Roman" w:hAnsi="Times New Roman"/>
          <w:sz w:val="20"/>
        </w:rPr>
        <w:t xml:space="preserve">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w:t>
      </w:r>
    </w:p>
    <w:p>
      <w:pPr>
        <w:pStyle w:val="TextBody"/>
        <w:bidi w:val="0"/>
        <w:spacing w:before="240" w:after="0"/>
        <w:jc w:val="left"/>
        <w:rPr>
          <w:rFonts w:ascii="Times New Roman" w:hAnsi="Times New Roman"/>
          <w:sz w:val="20"/>
        </w:rPr>
      </w:pPr>
      <w:r>
        <w:rPr>
          <w:rFonts w:ascii="Times New Roman" w:hAnsi="Times New Roman"/>
          <w:sz w:val="20"/>
        </w:rPr>
        <w:t xml:space="preserve">There is currently no pending material litigation or proceeding involving our respective directors, officers or employees for which indemnification is sought. </w:t>
      </w:r>
    </w:p>
    <w:p>
      <w:pPr>
        <w:pStyle w:val="TextBody"/>
        <w:bidi w:val="0"/>
        <w:spacing w:before="360" w:after="0"/>
        <w:jc w:val="left"/>
        <w:rPr>
          <w:rFonts w:ascii="Times New Roman" w:hAnsi="Times New Roman"/>
          <w:b/>
          <w:i/>
          <w:sz w:val="20"/>
        </w:rPr>
      </w:pPr>
      <w:r>
        <w:rPr>
          <w:rFonts w:ascii="Times New Roman" w:hAnsi="Times New Roman"/>
          <w:b/>
          <w:i/>
          <w:sz w:val="20"/>
        </w:rPr>
        <w:t xml:space="preserve">Dissenters’ Rights of Appraisal and Payment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with certain exceptions, our stockholders have appraisal rights in connection with a merger or consolidation of Intuitive Machines. Pursuant to Section 262 of the DGCL, stockholders who properly demand and perfect appraisal rights in connection with such merger or consolidation will have the right to receive payment of the fair value of their shares as determined by the Court of Chancery of the State of Delaware (the “Delaware Court of Chancery”). </w:t>
      </w:r>
    </w:p>
    <w:p>
      <w:pPr>
        <w:pStyle w:val="TextBody"/>
        <w:bidi w:val="0"/>
        <w:spacing w:before="360" w:after="0"/>
        <w:jc w:val="left"/>
        <w:rPr>
          <w:rFonts w:ascii="Times New Roman" w:hAnsi="Times New Roman"/>
          <w:b/>
          <w:i/>
          <w:sz w:val="20"/>
        </w:rPr>
      </w:pPr>
      <w:r>
        <w:rPr>
          <w:rFonts w:ascii="Times New Roman" w:hAnsi="Times New Roman"/>
          <w:b/>
          <w:i/>
          <w:sz w:val="20"/>
        </w:rPr>
        <w:t xml:space="preserve">Stockholders’ Derivative Actions </w:t>
      </w:r>
    </w:p>
    <w:p>
      <w:pPr>
        <w:pStyle w:val="TextBody"/>
        <w:bidi w:val="0"/>
        <w:spacing w:before="120" w:after="0"/>
        <w:jc w:val="left"/>
        <w:rPr>
          <w:rFonts w:ascii="Times New Roman" w:hAnsi="Times New Roman"/>
          <w:sz w:val="20"/>
        </w:rPr>
      </w:pPr>
      <w:r>
        <w:rPr>
          <w:rFonts w:ascii="Times New Roman" w:hAnsi="Times New Roman"/>
          <w:sz w:val="20"/>
        </w:rPr>
        <w:t xml:space="preserve">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w:t>
      </w:r>
    </w:p>
    <w:p>
      <w:pPr>
        <w:pStyle w:val="TextBody"/>
        <w:bidi w:val="0"/>
        <w:spacing w:before="360" w:after="0"/>
        <w:jc w:val="left"/>
        <w:rPr>
          <w:rFonts w:ascii="Times New Roman" w:hAnsi="Times New Roman"/>
          <w:b/>
          <w:i/>
          <w:sz w:val="20"/>
        </w:rPr>
      </w:pPr>
      <w:r>
        <w:rPr>
          <w:rFonts w:ascii="Times New Roman" w:hAnsi="Times New Roman"/>
          <w:b/>
          <w:i/>
          <w:sz w:val="20"/>
        </w:rPr>
        <w:t xml:space="preserve">Forum Selection </w:t>
      </w:r>
    </w:p>
    <w:p>
      <w:pPr>
        <w:pStyle w:val="TextBody"/>
        <w:bidi w:val="0"/>
        <w:spacing w:before="120" w:after="0"/>
        <w:jc w:val="left"/>
        <w:rPr>
          <w:rFonts w:ascii="Times New Roman" w:hAnsi="Times New Roman"/>
          <w:sz w:val="20"/>
        </w:rPr>
      </w:pPr>
      <w:r>
        <w:rPr>
          <w:rFonts w:ascii="Times New Roman" w:hAnsi="Times New Roman"/>
          <w:sz w:val="20"/>
        </w:rPr>
        <w:t xml:space="preserve">Our Certificate of Incorporation provides that unless we consent in writing to the selection of an alternative forum, the Delaware Court of Chancery is, to the fullest extent permitted by applicable law, the sole and exclusive forum for: (i) any derivative action brought by a stockholder on behalf of the Company, (ii) any claim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breach of a fiduciary duty owed by any of our directors, officers, stockholders or employees, (iii) any claim against us arising under our Certificate of Incorporation, Bylaws or the DGCL or (iv) any claim against us governed by the internal affairs doctrine. Our Certificate of Incorporation designates the federal district courts of the United States as the exclusive forum for the resolution of any complaint asserting a cause of action arising under the Securities Act.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Transfer Agent and Registrar </w:t>
      </w:r>
    </w:p>
    <w:p>
      <w:pPr>
        <w:pStyle w:val="TextBody"/>
        <w:bidi w:val="0"/>
        <w:spacing w:before="120" w:after="0"/>
        <w:jc w:val="left"/>
        <w:rPr>
          <w:rFonts w:ascii="Times New Roman" w:hAnsi="Times New Roman"/>
          <w:sz w:val="20"/>
        </w:rPr>
      </w:pPr>
      <w:r>
        <w:rPr>
          <w:rFonts w:ascii="Times New Roman" w:hAnsi="Times New Roman"/>
          <w:sz w:val="20"/>
        </w:rPr>
        <w:t xml:space="preserve">The Transfer Agent and registrar for our shares of Class A Common Stock is Continental Stock Transfer &amp; Trust Company. </w:t>
      </w:r>
    </w:p>
    <w:p>
      <w:pPr>
        <w:pStyle w:val="TextBody"/>
        <w:bidi w:val="0"/>
        <w:spacing w:before="360" w:after="0"/>
        <w:jc w:val="left"/>
        <w:rPr>
          <w:rFonts w:ascii="Times New Roman" w:hAnsi="Times New Roman"/>
          <w:b/>
          <w:i/>
          <w:sz w:val="20"/>
        </w:rPr>
      </w:pPr>
      <w:r>
        <w:rPr>
          <w:rFonts w:ascii="Times New Roman" w:hAnsi="Times New Roman"/>
          <w:b/>
          <w:i/>
          <w:sz w:val="20"/>
        </w:rPr>
        <w:t xml:space="preserve">Trading Symbol and Market </w:t>
      </w:r>
    </w:p>
    <w:p>
      <w:pPr>
        <w:pStyle w:val="TextBody"/>
        <w:bidi w:val="0"/>
        <w:spacing w:before="120" w:after="0"/>
        <w:jc w:val="left"/>
        <w:rPr>
          <w:rFonts w:ascii="Times New Roman" w:hAnsi="Times New Roman"/>
          <w:sz w:val="20"/>
        </w:rPr>
      </w:pPr>
      <w:r>
        <w:rPr>
          <w:rFonts w:ascii="Times New Roman" w:hAnsi="Times New Roman"/>
          <w:sz w:val="20"/>
        </w:rPr>
        <w:t xml:space="preserve">Our Class A Common Stock is listed on Nasdaq under the symbol “LUNR.”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9" w:name="toc130878_7"/>
      <w:bookmarkEnd w:id="9"/>
      <w:r>
        <w:rPr>
          <w:rFonts w:ascii="Times New Roman" w:hAnsi="Times New Roman"/>
          <w:b/>
          <w:sz w:val="20"/>
        </w:rPr>
        <w:t xml:space="preserve">MATERIAL U.S. FEDERAL INCOME TAX CONSEQUENCES FOR HOLDERS </w:t>
      </w:r>
    </w:p>
    <w:p>
      <w:pPr>
        <w:pStyle w:val="TextBody"/>
        <w:bidi w:val="0"/>
        <w:spacing w:before="0" w:after="0"/>
        <w:jc w:val="center"/>
        <w:rPr>
          <w:rFonts w:ascii="Times New Roman" w:hAnsi="Times New Roman"/>
          <w:b/>
          <w:sz w:val="20"/>
        </w:rPr>
      </w:pPr>
      <w:r>
        <w:rPr>
          <w:rFonts w:ascii="Times New Roman" w:hAnsi="Times New Roman"/>
          <w:b/>
          <w:sz w:val="20"/>
        </w:rPr>
        <w:t xml:space="preserve">OF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summary of the material U.S. federal income tax consequences to U.S. Holders and Non-U.S. Holders (each as defined below) relating to the purchase, ownership, and disposition of our Class A Common Stock but does not purport to be a complete analysis of all potential tax effects. The effects of other U.S. federal tax laws, such as estate and gift tax laws, and any applicable state, local, or non-U.S. tax laws are not discussed. This discussion is based on the Internal Revenue Code of 1986, as amended (the “Code”), Treasury Regulations promulgated thereunder, judicial decisions, and published rulings and administrative pronouncements of the Internal Revenue Service (“IRS”), in each case in effect as of the date hereof. These authorities may change or be subject to differing interpretations. Any such change or differing interpretation may be applied retroactively in a manner that could adversely affect a holder of our Class A Common Stock. We have not sought and will not seek any rulings from the IRS regarding the matters discussed below. There can be no assurance the IRS or a court will not take a contrary position to that discussed below regarding the tax consequences of the purchase, ownership, and disposition of our Class A Common Stock.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is limited to holders who hold our Class A Common Stock as a “capital asset” within the meaning of Section 1221 of the Code (generally, property held for investment). This discussion does not address all U.S. federal income tax consequences relevant to a holder’s particular circumstances, including the impact of the Medicare contribution tax on net investment income and the alternative minimum tax. In addition, it does not address consequences relevant to holders subject to special rules, including, without limitation: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U.S. expatriates and former citizens or long-term residents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holding our Class A Common Stock as part of a hedge, straddle, or other risk reduction strategy or as part of a conversion transaction or other integrated investment;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banks, insurance companies, and other financial institutions;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brokers, dealers, or traders in securities;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6"/>
        <w:gridCol w:w="101"/>
        <w:gridCol w:w="9288"/>
      </w:tblGrid>
      <w:tr>
        <w:trPr/>
        <w:tc>
          <w:tcPr>
            <w:tcW w:w="510"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controlled foreign corporations,” “passive foreign investment companies,” and corporations that accumulate earnings to avoid U.S. federal income tax;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partnerships or other entities or arrangements treated as partnerships for U.S. federal income tax purposes (and investors therein);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tax-exempt organizations or governmental organizations;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deemed to sell our Class A Common Stock under the constructive sale provisions of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subject to the special tax accounting rules of as a result of any item of gross income with respect to our Class A Common Stock being taken into account in an “applicable financial statement” (as defined in the Code);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persons who hold or receive our Class A Common Stock pursuant to the exercise of any employee stock option or otherwise as compensation;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tax-qualified retirement plans;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pPr>
            <w:r>
              <w:rPr/>
              <w:t>“</w:t>
            </w:r>
            <w:r>
              <w:rPr>
                <w:rFonts w:ascii="Times New Roman" w:hAnsi="Times New Roman"/>
                <w:sz w:val="20"/>
              </w:rPr>
              <w:t xml:space="preserve">qualified foreign pension funds” as defined in Section 897(l)(2) of the Code and entities all of the interests of which are held by qualified foreign pension funds.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an entity (or other arrangement) treated as a partnership for U.S. federal income tax purposes holds our Class A Common Stock, the tax treatment of a partner in the partnership will depend on the status of the partner, the activities of the partnership, and certain determinations made at the partner level. Accordingly, partnerships holding our Class A Common Stock and the partners in such partnerships should consult their tax advisors regarding the U.S. federal income tax consequences to them.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THIS DISCUSSION IS FOR INFORMATIONAL PURPOSES ONLY AND IS NOT TAX ADVICE. PROSPECTIVE PURCHASERS SHOULD CONSULT THEIR TAX ADVISORS WITH RESPECT TO THE APPLICATION OF THE U.S. FEDERAL INCOME TAX LAWS TO THEIR PARTICULAR SITUATIONS AS WELL AS ANY TAX CONSEQUENCES OF THE PURCHASE, OWNERSHIP, AND DISPOSITION OF OUR CLASS A COMMON STOCK ARISING UNDER THE U.S. FEDERAL ESTATE OR GIFT TAX LAWS OR UNDER THE LAWS OF ANY STATE, LOCAL, OR NON-U.S. TAXING JURISDICTION OR UNDER ANY APPLICABLE INCOME TAX TREATY. </w:t>
      </w:r>
    </w:p>
    <w:p>
      <w:pPr>
        <w:pStyle w:val="TextBody"/>
        <w:bidi w:val="0"/>
        <w:spacing w:before="360" w:after="0"/>
        <w:jc w:val="left"/>
        <w:rPr>
          <w:rFonts w:ascii="Times New Roman" w:hAnsi="Times New Roman"/>
          <w:b/>
          <w:sz w:val="20"/>
        </w:rPr>
      </w:pPr>
      <w:r>
        <w:rPr>
          <w:rFonts w:ascii="Times New Roman" w:hAnsi="Times New Roman"/>
          <w:b/>
          <w:sz w:val="20"/>
        </w:rPr>
        <w:t xml:space="preserve">U.S. Holders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“U.S. Holder” is any beneficial owner of our Class A Common Stock that is for U.S. federal income tax purposes: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taxable as a corporation) created or organized under the laws of the United States, any state thereof, or the District of Columbia;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 trust that (1) is subject to the primary supervision of a U.S. court and the control of one or more “United States persons” (within the meaning of Section 7701(a)(30) of the Code), or (2) has a valid election in effect to be treated as a United States person for U.S. federal income tax purposes. </w:t>
            </w:r>
          </w:p>
        </w:tc>
      </w:tr>
    </w:tbl>
    <w:p>
      <w:pPr>
        <w:pStyle w:val="TextBody"/>
        <w:bidi w:val="0"/>
        <w:spacing w:before="360" w:after="0"/>
        <w:jc w:val="left"/>
        <w:rPr>
          <w:rFonts w:ascii="Times New Roman" w:hAnsi="Times New Roman"/>
          <w:i/>
          <w:sz w:val="20"/>
        </w:rPr>
      </w:pPr>
      <w:r>
        <w:rPr>
          <w:rFonts w:ascii="Times New Roman" w:hAnsi="Times New Roman"/>
          <w:i/>
          <w:sz w:val="20"/>
        </w:rPr>
        <w:t xml:space="preserve">Taxation of Distributions. </w:t>
      </w:r>
    </w:p>
    <w:p>
      <w:pPr>
        <w:pStyle w:val="TextBody"/>
        <w:bidi w:val="0"/>
        <w:spacing w:before="120" w:after="0"/>
        <w:jc w:val="left"/>
        <w:rPr>
          <w:rFonts w:ascii="Times New Roman" w:hAnsi="Times New Roman"/>
          <w:sz w:val="20"/>
        </w:rPr>
      </w:pPr>
      <w:r>
        <w:rPr>
          <w:rFonts w:ascii="Times New Roman" w:hAnsi="Times New Roman"/>
          <w:sz w:val="20"/>
        </w:rPr>
        <w:t xml:space="preserve">If we make distributions, the gross amount of distributions made with respect to the Class A Common Stock generally will be includible in a U.S. Holder’s gross income, in accordance with such U.S. Holder’s method of accounting for U.S. federal income tax purposes, as dividend income, but only to the extent that such distributions are paid out of our current or accumulated earnings and profits as determined under U.S. federal income tax principles. The dividends will be taxable to a corporate U.S. Holder at regular corporate tax rates and will generally be eligible for the dividends received deduction if the requisite holding period is satisfied. Distributions in excess of such earnings and profits generally will be applied against and reduce the U.S. Holder’s basis in its Class A Common Stock (but not below zero), and to the extent in excess of such basis, will be treated as gain from the sale or exchange of such Class A Common Stock, as described under “- Gain or Loss on Sale, Taxable Exchange, or Other Taxable Disposition of Our Class A Common Stock” below.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non-corporate U.S. Holders and with certain exceptions, dividends may be “qualified dividend income,” which is taxed at the lower applicable long-term capital gain rate provided that the U.S. Holder satisfies certain holding period requirements and the U.S. Holder is not under an obligation to make related payments with respect to positions in substantially similar or related property. If the holding period requirements are not satisfied, corporate U.S. Holders may not be able to qualify for the dividends received deduction and would have taxable income equal to the entire dividend amount, and non-corporate U.S. Holders may be subject to tax on such dividends at regular ordinary income tax rates instead of the preferential rate that applies to qualified dividend income. </w:t>
      </w:r>
    </w:p>
    <w:p>
      <w:pPr>
        <w:pStyle w:val="TextBody"/>
        <w:bidi w:val="0"/>
        <w:spacing w:before="360" w:after="0"/>
        <w:jc w:val="left"/>
        <w:rPr>
          <w:rFonts w:ascii="Times New Roman" w:hAnsi="Times New Roman"/>
          <w:i/>
          <w:sz w:val="20"/>
        </w:rPr>
      </w:pPr>
      <w:r>
        <w:rPr>
          <w:rFonts w:ascii="Times New Roman" w:hAnsi="Times New Roman"/>
          <w:i/>
          <w:sz w:val="20"/>
        </w:rPr>
        <w:t xml:space="preserve">Gain or Loss on Sale, Taxable Exchange, or Other Taxable Disposition of Our 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Upon a sale or other taxable disposition of our Class A Common Stock, a U.S. Holder generally will recognize capital gain or loss. Generally, the amount of gain or loss recognized by a U.S. Holder is an amount equal to the difference between (i) the sum of the amount of cash and the fair market value of any property received in such disposition and (ii) the U.S. Holder’s adjusted tax basis in its Class A Common Stock so disposed of. A U.S. Holder’s adjusted tax basis in its Class A Common Stock generally will equal the U.S. Holder’s adjusted cost less any prior distributions treated as a return of capital.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such capital gain or loss generally will be long-term capital gain or loss if the U.S. Holder’s holding period for the Class A Common Stock so disposed of exceeds one year. If the holding period requirements are not satisfied, any gain on a sale or taxable disposition of the Class A Common Stock would be subject to short-term capital gain treatment and would be taxed at regular ordinary income tax rates. Long-term capital gains recognized by non-corporate U.S. Holders will be eligible to be taxed at reduced rates. The deductibility of capital losses is subject to limitations. </w:t>
      </w:r>
    </w:p>
    <w:p>
      <w:pPr>
        <w:pStyle w:val="TextBody"/>
        <w:bidi w:val="0"/>
        <w:spacing w:before="360" w:after="0"/>
        <w:jc w:val="left"/>
        <w:rPr>
          <w:rFonts w:ascii="Times New Roman" w:hAnsi="Times New Roman"/>
          <w:i/>
          <w:sz w:val="20"/>
        </w:rPr>
      </w:pPr>
      <w:r>
        <w:rPr>
          <w:rFonts w:ascii="Times New Roman" w:hAnsi="Times New Roman"/>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Distributions with respect to our Class A Common Stock to a U.S. Holder, regardless of whether such distributions constitute dividends, and proceeds from the sale, exchange or redemption of our Class A Common Stock by a U.S. Holder generally are subject to information reporting to the IRS and possible U.S. backup withholding, unless the U.S. Holder is an exempt recipient. Backup withholding may apply to such payments if a U.S. Holder fails to furnish a correct taxpayer identification number, a certification of exempt status or has been notified by the IRS that it is subject to backup withholding (and such notification has not been withdrawn).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Amounts withheld as backup withholding may be credited against a U.S. Holder’s U.S. federal income tax liability, and such holder may obtain a refund of any excess amounts withheld under the backup withholding rules by timely filing the appropriate claim for refund with the IRS and furnishing any required information. </w:t>
      </w:r>
    </w:p>
    <w:p>
      <w:pPr>
        <w:pStyle w:val="TextBody"/>
        <w:bidi w:val="0"/>
        <w:spacing w:before="360" w:after="0"/>
        <w:jc w:val="left"/>
        <w:rPr>
          <w:rFonts w:ascii="Times New Roman" w:hAnsi="Times New Roman"/>
          <w:b/>
          <w:sz w:val="20"/>
        </w:rPr>
      </w:pPr>
      <w:r>
        <w:rPr>
          <w:rFonts w:ascii="Times New Roman" w:hAnsi="Times New Roman"/>
          <w:b/>
          <w:sz w:val="20"/>
        </w:rPr>
        <w:t xml:space="preserve">Non-U.S. Holders </w:t>
      </w:r>
    </w:p>
    <w:p>
      <w:pPr>
        <w:pStyle w:val="TextBody"/>
        <w:bidi w:val="0"/>
        <w:spacing w:before="120" w:after="0"/>
        <w:jc w:val="left"/>
        <w:rPr>
          <w:rFonts w:ascii="Times New Roman" w:hAnsi="Times New Roman"/>
          <w:sz w:val="20"/>
        </w:rPr>
      </w:pPr>
      <w:r>
        <w:rPr>
          <w:rFonts w:ascii="Times New Roman" w:hAnsi="Times New Roman"/>
          <w:sz w:val="20"/>
        </w:rPr>
        <w:t xml:space="preserve">For purposes of this discussion, a “Non-U.S. Holder” is any beneficial owner of our Class A Common Stock that is not a U.S. Holder. </w:t>
      </w:r>
    </w:p>
    <w:p>
      <w:pPr>
        <w:pStyle w:val="TextBody"/>
        <w:bidi w:val="0"/>
        <w:spacing w:before="360" w:after="0"/>
        <w:jc w:val="left"/>
        <w:rPr>
          <w:rFonts w:ascii="Times New Roman" w:hAnsi="Times New Roman"/>
          <w:i/>
          <w:sz w:val="20"/>
        </w:rPr>
      </w:pPr>
      <w:r>
        <w:rPr>
          <w:rFonts w:ascii="Times New Roman" w:hAnsi="Times New Roman"/>
          <w:i/>
          <w:sz w:val="20"/>
        </w:rPr>
        <w:t xml:space="preserve">Taxation of Distributions. </w:t>
      </w:r>
    </w:p>
    <w:p>
      <w:pPr>
        <w:pStyle w:val="TextBody"/>
        <w:bidi w:val="0"/>
        <w:spacing w:before="120" w:after="0"/>
        <w:jc w:val="left"/>
        <w:rPr>
          <w:rFonts w:ascii="Times New Roman" w:hAnsi="Times New Roman"/>
          <w:sz w:val="20"/>
        </w:rPr>
      </w:pPr>
      <w:r>
        <w:rPr>
          <w:rFonts w:ascii="Times New Roman" w:hAnsi="Times New Roman"/>
          <w:sz w:val="20"/>
        </w:rPr>
        <w:t>If we do make distributions of cash or property on our Class A Common Stock, such distributions will constitute dividends for U.S. federal income tax purposes to the extent paid from our current or accumulated earnings and profits, as determined under U.S. federal income tax principles. Amounts not treated as dividends for U.S. federal income tax purposes will constitute a return of capital and first be applied against and reduce a Non-U.S. Holder’s adjusted tax basis in its Class A Common Stock, but not below zero. Any excess will be treated as capital gain and will be treated as described below under “</w:t>
      </w:r>
      <w:r>
        <w:rPr>
          <w:rFonts w:ascii="Times New Roman" w:hAnsi="Times New Roman"/>
          <w:i/>
          <w:sz w:val="20"/>
        </w:rPr>
        <w:t>- Gain or Loss on Sale, Taxable Exchange, or Other Taxable Disposition of Class</w:t>
      </w:r>
      <w:r>
        <w:rPr>
          <w:rFonts w:ascii="Times New Roman" w:hAnsi="Times New Roman"/>
          <w:sz w:val="20"/>
        </w:rPr>
        <w:t> </w:t>
      </w:r>
      <w:r>
        <w:rPr>
          <w:rFonts w:ascii="Times New Roman" w:hAnsi="Times New Roman"/>
          <w:i/>
          <w:sz w:val="20"/>
        </w:rPr>
        <w:t>A Common Stock</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 below on effectively connected income, dividends paid to a Non-U.S. Holder will be subject to U.S. federal withholding tax at a rate of 30% of the gross amount of the dividends (or such lower rate specified by an applicable income tax treaty, provided the Non-U.S. Holder furnishes a valid IRS Form W-8BEN or W-8BEN-E (or other applicable documentation) certifying qualification for the lower treaty rate). A Non-U.S. Holder that does not timely furnish the required documentation, but that qualifies for a reduced treaty rate, may obtain a refund of any excess amounts withheld by timely filing an appropriate claim for refund with the IRS. Non-U.S. Holders should consult their tax advisors regarding their entitlement to benefits under any applicable income tax treaty. </w:t>
      </w:r>
    </w:p>
    <w:p>
      <w:pPr>
        <w:pStyle w:val="TextBody"/>
        <w:bidi w:val="0"/>
        <w:spacing w:before="240" w:after="0"/>
        <w:jc w:val="left"/>
        <w:rPr>
          <w:rFonts w:ascii="Times New Roman" w:hAnsi="Times New Roman"/>
          <w:sz w:val="20"/>
        </w:rPr>
      </w:pPr>
      <w:r>
        <w:rPr>
          <w:rFonts w:ascii="Times New Roman" w:hAnsi="Times New Roman"/>
          <w:sz w:val="20"/>
        </w:rPr>
        <w:t xml:space="preserve">If dividends paid to a Non-U.S. Holder are effectively connected with the Non-U.S. Holder’s conduct of a trade or business within the United States (and, if required by an applicable income tax treaty, the Non-U.S. Holder maintains a permanent establishment in the United States to which such dividends are attributable), the Non-U.S. Holder will be exempt from the U.S. federal withholding tax described above. To claim the exemption, the Non-U.S. Holder must furnish to the applicable withholding agent a valid IRS Form W-8ECI, certifying that the dividends are effectively connected with the Non-U.S. Holder’s conduct of a trade or business within the United States.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Any such effectively connected dividends will be subject to U.S. federal income tax on a net income basis at the regular rates. A Non-U.S. Holder that is a corporation also may be subject to a branch profits tax at a rate of 30% (or such lower rate specified by an applicable income tax treaty) on such effectively connected dividends, as adjusted for certain items. Non-U.S. Holders should consult their tax advisors regarding any applicable tax treaties that may provide for different rules. </w:t>
      </w:r>
    </w:p>
    <w:p>
      <w:pPr>
        <w:pStyle w:val="TextBody"/>
        <w:bidi w:val="0"/>
        <w:spacing w:before="360" w:after="0"/>
        <w:jc w:val="left"/>
        <w:rPr>
          <w:rFonts w:ascii="Times New Roman" w:hAnsi="Times New Roman"/>
          <w:i/>
          <w:sz w:val="20"/>
        </w:rPr>
      </w:pPr>
      <w:r>
        <w:rPr>
          <w:rFonts w:ascii="Times New Roman" w:hAnsi="Times New Roman"/>
          <w:i/>
          <w:sz w:val="20"/>
        </w:rPr>
        <w:t xml:space="preserve">Gain or Loss on Sale, Taxable Exchange, or other Taxable Disposition of Our Class A Common Stock. </w:t>
      </w:r>
    </w:p>
    <w:p>
      <w:pPr>
        <w:pStyle w:val="TextBody"/>
        <w:bidi w:val="0"/>
        <w:spacing w:before="120" w:after="0"/>
        <w:jc w:val="left"/>
        <w:rPr>
          <w:rFonts w:ascii="Times New Roman" w:hAnsi="Times New Roman"/>
          <w:sz w:val="20"/>
        </w:rPr>
      </w:pPr>
      <w:r>
        <w:rPr>
          <w:rFonts w:ascii="Times New Roman" w:hAnsi="Times New Roman"/>
          <w:sz w:val="20"/>
        </w:rPr>
        <w:t xml:space="preserve">A Non-U.S. Holder will not be subject to U.S. federal income tax on any gain realized upon the sale or other taxable disposition of our Class A Common Stock unless: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gain is effectively connected with the Non-U.S. Holder’s conduct of a trade or business within the United States (and, if required by an applicable income tax treaty, the Non-U.S. Holder maintains a permanent establishment in the United States to which such gain is attributable);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Non-U.S. Holder is a nonresident alien individual present in the United States for 183 days or more during the taxable year of the disposition and certain other requirements are met;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1"/>
        <w:gridCol w:w="9289"/>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our Class A Common Stock constitutes a U.S. real property interest (“USRPI”) by reason of our status as a U.S. real property holding corporation (“USRPHC”) for U.S. federal income tax purposes.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Gain described in the first bullet point above generally will be subject to U.S. federal income tax on a net income basis at the regular rates. A Non-U.S. Holder that is a corporation also may be subject to a branch profits tax at a rate of 30% (or such lower rate specified by an applicable income tax treaty) on such effectively connected gain, as adjusted for certain items. </w:t>
      </w:r>
    </w:p>
    <w:p>
      <w:pPr>
        <w:pStyle w:val="TextBody"/>
        <w:bidi w:val="0"/>
        <w:spacing w:before="240" w:after="0"/>
        <w:jc w:val="left"/>
        <w:rPr>
          <w:rFonts w:ascii="Times New Roman" w:hAnsi="Times New Roman"/>
          <w:sz w:val="20"/>
        </w:rPr>
      </w:pPr>
      <w:r>
        <w:rPr>
          <w:rFonts w:ascii="Times New Roman" w:hAnsi="Times New Roman"/>
          <w:sz w:val="20"/>
        </w:rPr>
        <w:t xml:space="preserve">A Non-U.S. Holder described in the second bullet point above will be subject to U.S. federal income tax at a rate of 30% (or such lower rate specified by an applicable income tax treaty) on gain realized upon the sale or other taxable disposition of our Class A Common Stock, which may be offset by U.S. source capital losses of the Non-U.S. Holder (even though the individual is not considered a resident of the United States), provided the Non-U.S. Holder has timely filed U.S. federal income tax returns with respect to such losses.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the third bullet point above, we believe we currently are not, and do not anticipate becoming, a USRPHC. Because the determination of whether we are a USRPHC depends, however, on the fair market value of our USRPIs relative to the fair market value of our non-U.S. real property interests and our other business assets, there can be no assurance we currently are not a USRPHC or will not become one in the future. </w:t>
      </w:r>
    </w:p>
    <w:p>
      <w:pPr>
        <w:pStyle w:val="TextBody"/>
        <w:bidi w:val="0"/>
        <w:spacing w:before="240" w:after="0"/>
        <w:jc w:val="left"/>
        <w:rPr>
          <w:rFonts w:ascii="Times New Roman" w:hAnsi="Times New Roman"/>
          <w:sz w:val="20"/>
        </w:rPr>
      </w:pPr>
      <w:r>
        <w:rPr>
          <w:rFonts w:ascii="Times New Roman" w:hAnsi="Times New Roman"/>
          <w:sz w:val="20"/>
        </w:rPr>
        <w:t xml:space="preserve">Non-U.S. Holders should consult their tax advisors regarding potentially applicable income tax treaties that may provide for different rules. </w:t>
      </w:r>
    </w:p>
    <w:p>
      <w:pPr>
        <w:pStyle w:val="TextBody"/>
        <w:bidi w:val="0"/>
        <w:spacing w:before="360" w:after="0"/>
        <w:jc w:val="left"/>
        <w:rPr>
          <w:rFonts w:ascii="Times New Roman" w:hAnsi="Times New Roman"/>
          <w:i/>
          <w:sz w:val="20"/>
        </w:rPr>
      </w:pPr>
      <w:r>
        <w:rPr>
          <w:rFonts w:ascii="Times New Roman" w:hAnsi="Times New Roman"/>
          <w:i/>
          <w:sz w:val="20"/>
        </w:rPr>
        <w:t xml:space="preserve">Information Reporting and Backup Withholding. </w:t>
      </w:r>
    </w:p>
    <w:p>
      <w:pPr>
        <w:pStyle w:val="TextBody"/>
        <w:bidi w:val="0"/>
        <w:spacing w:before="120" w:after="0"/>
        <w:jc w:val="left"/>
        <w:rPr>
          <w:rFonts w:ascii="Times New Roman" w:hAnsi="Times New Roman"/>
          <w:sz w:val="20"/>
        </w:rPr>
      </w:pPr>
      <w:r>
        <w:rPr>
          <w:rFonts w:ascii="Times New Roman" w:hAnsi="Times New Roman"/>
          <w:sz w:val="20"/>
        </w:rPr>
        <w:t xml:space="preserve">Payments of dividends on our Class A Common Stock will not be subject to backup withholding, provided the applicable withholding agent does not have actual knowledge or reason to know the holder is a United States person and the holder either certifies its non-U.S. status, such as by furnishing a valid IRS Form W-8BEN, W-8BEN-E, or W-8ECI, or otherwise establishes an exemption. However, information returns are required to be filed with the IRS in connection with any distributions on our Class A Common Stock paid to the Non-U.S. Holder, regardless of whether such distributions constitute dividends or whether any tax was actually withheld. In addition, proceeds of the sale or other taxable disposition of our Class A Common Stock within the United States or conducted through certain U.S.-related brokers generally will not be subject to backup withholding or information reporting if the applicable withholding agent receives the certification described above and does not have actual knowledge or reason to know that such holder is a United States person or the holder otherwise establishes an exemption. Proceeds of a disposition of our Class A Common Stock conducted through a non-U.S.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office of a non-U.S. broker generally will not be subject to backup withholding or information reporting. Copies of information returns that are filed with the IRS may also be made available under the provisions of an applicable treaty or agreement to the tax authorities of the country in which the Non-U.S. Holder resides or is established. </w:t>
      </w:r>
    </w:p>
    <w:p>
      <w:pPr>
        <w:pStyle w:val="TextBody"/>
        <w:bidi w:val="0"/>
        <w:spacing w:before="240" w:after="0"/>
        <w:jc w:val="left"/>
        <w:rPr>
          <w:rFonts w:ascii="Times New Roman" w:hAnsi="Times New Roman"/>
          <w:sz w:val="20"/>
        </w:rPr>
      </w:pPr>
      <w:r>
        <w:rPr>
          <w:rFonts w:ascii="Times New Roman" w:hAnsi="Times New Roman"/>
          <w:sz w:val="20"/>
        </w:rPr>
        <w:t xml:space="preserve">Backup withholding is not an additional tax. Any amounts withheld under the backup withholding rules may be allowed as a refund or a credit against a Non-U.S. Holder’s U.S. federal income tax liability, provided the required information is timely furnished to the IRS. </w:t>
      </w:r>
    </w:p>
    <w:p>
      <w:pPr>
        <w:pStyle w:val="TextBody"/>
        <w:bidi w:val="0"/>
        <w:spacing w:before="360" w:after="0"/>
        <w:jc w:val="left"/>
        <w:rPr>
          <w:rFonts w:ascii="Times New Roman" w:hAnsi="Times New Roman"/>
          <w:i/>
          <w:sz w:val="20"/>
        </w:rPr>
      </w:pPr>
      <w:r>
        <w:rPr>
          <w:rFonts w:ascii="Times New Roman" w:hAnsi="Times New Roman"/>
          <w:i/>
          <w:sz w:val="20"/>
        </w:rPr>
        <w:t xml:space="preserve">Additional Withholding Tax on Payments Made to Foreign Accounts. </w:t>
      </w:r>
    </w:p>
    <w:p>
      <w:pPr>
        <w:pStyle w:val="TextBody"/>
        <w:bidi w:val="0"/>
        <w:spacing w:before="120" w:after="0"/>
        <w:jc w:val="left"/>
        <w:rPr>
          <w:rFonts w:ascii="Times New Roman" w:hAnsi="Times New Roman"/>
          <w:sz w:val="20"/>
        </w:rPr>
      </w:pPr>
      <w:r>
        <w:rPr>
          <w:rFonts w:ascii="Times New Roman" w:hAnsi="Times New Roman"/>
          <w:sz w:val="20"/>
        </w:rPr>
        <w:t xml:space="preserve">Withholding taxes may be imposed under Sections 1471 to 1474 of the Code (such Sections commonly referred to as the Foreign Account Tax Compliance Act, or (“FATCA”)) on certain types of payments made to non-U.S. financial institutions and certain other non-U.S. entities. Specifically, a 30% withholding tax may be imposed on (i) dividends on our Class A Common Stock, and (ii) subject to the proposed Treasury Regulations discussed below) gross proceeds from the sale or other disposition of our Class A Common Stock paid to a “foreign financial institution” or a “non-financial foreign entity” (each as defined in the Code), unless (1) the foreign financial institution undertakes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on certain payments to non-compliant foreign financial institutions and certain other account holders. Foreign financial institutions located in jurisdictions that have an intergovernmental agreement with the United States governing FATCA may be subject to different rules. </w:t>
      </w:r>
    </w:p>
    <w:p>
      <w:pPr>
        <w:pStyle w:val="TextBody"/>
        <w:bidi w:val="0"/>
        <w:spacing w:before="240" w:after="0"/>
        <w:jc w:val="left"/>
        <w:rPr>
          <w:rFonts w:ascii="Times New Roman" w:hAnsi="Times New Roman"/>
          <w:sz w:val="20"/>
        </w:rPr>
      </w:pPr>
      <w:r>
        <w:rPr>
          <w:rFonts w:ascii="Times New Roman" w:hAnsi="Times New Roman"/>
          <w:sz w:val="20"/>
        </w:rPr>
        <w:t xml:space="preserve">Under the applicable Treasury Regulations and administrative guidance, withholding under FATCA generally applies to payments of dividends on our Class A Common Stock. While withholding under FATCA would have applied also to payments of gross proceeds from the sale or other disposition of our Class A Common Stock, proposed Treasury Regulations eliminate FATCA withholding on payments of gross proceeds entirely. Taxpayers generally may rely on these proposed Treasury Regulations until final Treasury Regulations are issued. </w:t>
      </w:r>
    </w:p>
    <w:p>
      <w:pPr>
        <w:pStyle w:val="TextBody"/>
        <w:bidi w:val="0"/>
        <w:spacing w:before="240" w:after="0"/>
        <w:jc w:val="left"/>
        <w:rPr>
          <w:rFonts w:ascii="Times New Roman" w:hAnsi="Times New Roman"/>
          <w:sz w:val="20"/>
        </w:rPr>
      </w:pPr>
      <w:r>
        <w:rPr>
          <w:rFonts w:ascii="Times New Roman" w:hAnsi="Times New Roman"/>
          <w:sz w:val="20"/>
        </w:rPr>
        <w:t xml:space="preserve">Prospective purchasers should consult their tax advisors regarding the potential application of withholding under FATCA to their purchase of our securities. </w:t>
      </w:r>
    </w:p>
    <w:p>
      <w:pPr>
        <w:pStyle w:val="TextBody"/>
        <w:bidi w:val="0"/>
        <w:spacing w:before="240" w:after="0"/>
        <w:jc w:val="left"/>
        <w:rPr>
          <w:rFonts w:ascii="Times New Roman" w:hAnsi="Times New Roman"/>
          <w:b/>
          <w:sz w:val="20"/>
        </w:rPr>
      </w:pPr>
      <w:r>
        <w:rPr>
          <w:rFonts w:ascii="Times New Roman" w:hAnsi="Times New Roman"/>
          <w:b/>
          <w:sz w:val="20"/>
        </w:rPr>
        <w:t xml:space="preserve">THE DISCUSSION ABOVE IS A GENERAL SUMMARY. IT DOES NOT COVER ALL TAX MATTERS THAT MAY BE IMPORTANT TO YOU. EACH PROSPECTIVE PURCHASER SHOULD CONSULT ITS TAX ADVISOR ABOUT THE TAX CONSEQUENCES OF AN INVESTMENT IN OUR CLASS A COMMON STOCK BASED ON THE INVESTOR’S CIRCUMSTANCES.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0" w:name="toc130878_8"/>
      <w:bookmarkEnd w:id="10"/>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described in this prospectus from time to time, at market prices prevailing at the time of sale, at prices related to market prices, at a fixed price or prices subject to change or at negotiated prices, by a variety of methods including the following: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purchases by a broker-dealer as principal and resale by such broker-dealer for its own account;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ordinary brokerage transactions and transactions in which the broker solicits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block trades in which the broker-dealer so engaged will attempt to sell the shares as agent but may position and resell a portion of the block as principal to facilitate the transaction;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8"/>
        <w:gridCol w:w="306"/>
        <w:gridCol w:w="101"/>
        <w:gridCol w:w="9290"/>
      </w:tblGrid>
      <w:tr>
        <w:trPr/>
        <w:tc>
          <w:tcPr>
            <w:tcW w:w="508"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 exchange distribution in accordance with the rules of Nasdaq or any other applicable exchange;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distributions to employees, members, partners or shareholders;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settlement of short sales entered into after the date of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agreements with broker-dealers to sell a specified number of the securities at a stipulated price per share or warrant;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market transactions, including transactions on a national securities exchange, inter-dealer system of a registered national securities association, quotations service or over-the-counter market;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5"/>
        <w:gridCol w:w="101"/>
        <w:gridCol w:w="9289"/>
      </w:tblGrid>
      <w:tr>
        <w:trPr/>
        <w:tc>
          <w:tcPr>
            <w:tcW w:w="510"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privately negotiated transactions;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options transactions or the writing or settlement of options or other hedging transactions, whether through an options exchange or otherwise;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delayed delivery requirements;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 one or more underwritten offerings;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directly to one or more purchasers;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by pledge to secure debts and other obligations or any transfer upon the foreclosure under such pledge;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2"/>
        <w:gridCol w:w="9289"/>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or through agents;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2"/>
        <w:gridCol w:w="9288"/>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28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through a combination of any of the above methods of sale; or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method permitted pursuant to applicable law.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There can be no assurance that we will sell all or any of the securities offered by this prospectus. In addition, any shares that qualify for sale pursuant to Rule 144 may be sold under Rule 144 rather than pursuant to this prospectus, subject to additional restrictions due to the Company’s former shell company status. We have the sole and absolute discretion not to accept any purchase offer or make any sale of securities if we deem the purchase price to be unsatisfactory at any particular time. </w:t>
      </w:r>
    </w:p>
    <w:p>
      <w:pPr>
        <w:pStyle w:val="TextBody"/>
        <w:bidi w:val="0"/>
        <w:spacing w:before="240" w:after="0"/>
        <w:jc w:val="left"/>
        <w:rPr>
          <w:rFonts w:ascii="Times New Roman" w:hAnsi="Times New Roman"/>
          <w:sz w:val="20"/>
        </w:rPr>
      </w:pPr>
      <w:r>
        <w:rPr>
          <w:rFonts w:ascii="Times New Roman" w:hAnsi="Times New Roman"/>
          <w:sz w:val="20"/>
        </w:rPr>
        <w:t xml:space="preserve">With respect to a particular offering of the securities covered by this prospectus, to the extent required, an accompanying prospectus supplement or, if appropriate, a post-effective amendment to the registration statement of which this prospectus is part, will be prepared and will set forth the following information: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specific securities to be offered and sold;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respective purchase prices and public offering prices, the proceeds to be received from the sale, if any, and other material terms of the offering;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settlement of short sales entered into after the date of this prospectus;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names of any participating agents or broker-dealers, if not already named herein;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0"/>
        <w:gridCol w:w="9291"/>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applicable commissions, discounts, concessions and other items constituting compensation from the participating agents or broker-dealers.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connection with distributions of the shares or otherwise, we may enter into hedging transactions with broker-dealers or other financial institutions. In connection with such transactions, broker-dealers or other financial institutions may engage in short sales of shares of Class A Common Stock in the course of hedging transactions, and broker-dealers or other financial institutions may engage in short sales of shares of Class A Common Stock in the course of hedging the positions they assume with us. We may also sell shares of Class A Common Stock short and redeliver the shares to close out such short positions. We may also enter into option or other transactions with broker-dealers or other financial institutions which require the delivery to such broker-dealer or other financial institution of shares offered by this prospectus, which shares such broker-dealer or other financial institution may resell pursuant to this prospectus (as supplemented or amended to reflect such transaction). We may also pledge shares to a broker-dealer or other financial institution, and, upon a default, such broker-dealer or other financial institution, may effect sales of the pledged shares pursuant to this prospectus (as supplemented or amended to reflect such transaction). </w:t>
      </w:r>
    </w:p>
    <w:p>
      <w:pPr>
        <w:pStyle w:val="TextBody"/>
        <w:bidi w:val="0"/>
        <w:spacing w:before="240" w:after="0"/>
        <w:jc w:val="left"/>
        <w:rPr>
          <w:rFonts w:ascii="Times New Roman" w:hAnsi="Times New Roman"/>
          <w:sz w:val="20"/>
        </w:rPr>
      </w:pPr>
      <w:r>
        <w:rPr>
          <w:rFonts w:ascii="Times New Roman" w:hAnsi="Times New Roman"/>
          <w:sz w:val="20"/>
        </w:rPr>
        <w:t xml:space="preserve">In order to facilitate the offering of the securities, any underwriters or agents, as the case may be, involved in the offering of such securities may engage in transactions that stabilize, maintain or otherwise affect the price of our securities. Specifically, the underwriters or agents, as the case may be, may overallot in connection with the offering, creating a short position in our securities for their own account. In addition, to cover overallotments or to stabilize the price of our securities, the underwriters or agents, as the case may be, may bid for, and purchase, such securities in the open market. Finally, in any offering of securities through a syndicate of underwriters, the underwriting syndicate may reclaim selling concessions allotted to an underwriter or a broker-dealer for distributing such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The underwriters or agents, as the case may be, are not required to engage in these activities, and may end any of these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We may solicit offers to purchase the securities directly from, and may sell such securities directly to, institutional investors or others. In this case, no underwriters or agents would be involved. The terms of any of those sales, including the terms of any bidding or auction process, if utilized,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It is possible that one or more underwriters may make a market in our securities, but such underwriters will not be obligated to do so and may discontinue any market making at any time without notice. We cannot give any assurance as to the liquidity of the trading market for our securities. Our shares of Class A Common Stock are currently listed on The Nasdaq Stock Market LLC under “LUNR.” </w:t>
      </w:r>
    </w:p>
    <w:p>
      <w:pPr>
        <w:pStyle w:val="TextBody"/>
        <w:bidi w:val="0"/>
        <w:spacing w:before="240" w:after="0"/>
        <w:jc w:val="left"/>
        <w:rPr>
          <w:rFonts w:ascii="Times New Roman" w:hAnsi="Times New Roman"/>
          <w:sz w:val="20"/>
        </w:rPr>
      </w:pPr>
      <w:r>
        <w:rPr>
          <w:rFonts w:ascii="Times New Roman" w:hAnsi="Times New Roman"/>
          <w:sz w:val="20"/>
        </w:rPr>
        <w:t xml:space="preserve">We may authorize underwriters, broker-dealers or agents to solicit offers by certain purchasers to purchase the securities at the public offering price set forth in the prospectus supplement pursuant to delayed delivery contracts providing for payment and delivery on a specified date in the future. The contracts will be subject only to those conditions set forth in the prospectus supplement, and the prospectus supplement will set forth any commissions we pay for solicitation of these contracts. </w:t>
      </w:r>
    </w:p>
    <w:p>
      <w:pPr>
        <w:pStyle w:val="TextBody"/>
        <w:bidi w:val="0"/>
        <w:spacing w:before="240" w:after="0"/>
        <w:jc w:val="left"/>
        <w:rPr>
          <w:rFonts w:ascii="Times New Roman" w:hAnsi="Times New Roman"/>
          <w:sz w:val="20"/>
        </w:rPr>
      </w:pPr>
      <w:r>
        <w:rPr>
          <w:rFonts w:ascii="Times New Roman" w:hAnsi="Times New Roman"/>
          <w:sz w:val="20"/>
        </w:rPr>
        <w:t xml:space="preserve">We may enter into derivative, sale or forward sale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will be identified in the applicable prospectus supplement (or a post-effective amendment). In addition, we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 </w:t>
      </w:r>
    </w:p>
    <w:p>
      <w:pPr>
        <w:pStyle w:val="TextBody"/>
        <w:bidi w:val="0"/>
        <w:spacing w:before="240" w:after="0"/>
        <w:jc w:val="left"/>
        <w:rPr>
          <w:rFonts w:ascii="Times New Roman" w:hAnsi="Times New Roman"/>
          <w:sz w:val="20"/>
        </w:rPr>
      </w:pPr>
      <w:r>
        <w:rPr>
          <w:rFonts w:ascii="Times New Roman" w:hAnsi="Times New Roman"/>
          <w:sz w:val="20"/>
        </w:rPr>
        <w:t xml:space="preserve">In effecting sales, broker-dealers or agents engaged by us may arrange for other broker-dealers to participate. Broker-dealers or agents may receive commissions, discounts or concessions from us in amounts to be negotiated immediately prior to the sale. </w:t>
      </w:r>
    </w:p>
    <w:p>
      <w:pPr>
        <w:pStyle w:val="TextBody"/>
        <w:bidi w:val="0"/>
        <w:spacing w:before="240" w:after="0"/>
        <w:jc w:val="left"/>
        <w:rPr>
          <w:rFonts w:ascii="Times New Roman" w:hAnsi="Times New Roman"/>
          <w:sz w:val="20"/>
        </w:rPr>
      </w:pPr>
      <w:r>
        <w:rPr>
          <w:rFonts w:ascii="Times New Roman" w:hAnsi="Times New Roman"/>
          <w:sz w:val="20"/>
        </w:rPr>
        <w:t xml:space="preserve">If at the time of any offering made under this prospectus a member of the Financial Industry Regulatory Authority (“FINRA”) participating in the offering has a “conflict of interest” as defined in FINRA Rule 5121 (“Rule 5121”), that offering will be conducted in accordance with the relevant provisions of Rule 5121. </w:t>
      </w:r>
    </w:p>
    <w:p>
      <w:pPr>
        <w:pStyle w:val="TextBody"/>
        <w:bidi w:val="0"/>
        <w:spacing w:before="240" w:after="0"/>
        <w:jc w:val="left"/>
        <w:rPr>
          <w:rFonts w:ascii="Times New Roman" w:hAnsi="Times New Roman"/>
          <w:sz w:val="20"/>
        </w:rPr>
      </w:pPr>
      <w:r>
        <w:rPr>
          <w:rFonts w:ascii="Times New Roman" w:hAnsi="Times New Roman"/>
          <w:sz w:val="20"/>
        </w:rPr>
        <w:t xml:space="preserve">Underwriters, broker-dealers or agents may facilitate the marketing of an offering online directly or through one of their affiliates. In those cases, prospective investors may view offering terms and a prospectus online and, depending upon the particular underwriter, broker-dealer or agent, place orders online or through their financial advisors. </w:t>
      </w:r>
    </w:p>
    <w:p>
      <w:pPr>
        <w:pStyle w:val="TextBody"/>
        <w:bidi w:val="0"/>
        <w:spacing w:before="240" w:after="0"/>
        <w:jc w:val="left"/>
        <w:rPr>
          <w:rFonts w:ascii="Times New Roman" w:hAnsi="Times New Roman"/>
          <w:sz w:val="20"/>
        </w:rPr>
      </w:pPr>
      <w:r>
        <w:rPr>
          <w:rFonts w:ascii="Times New Roman" w:hAnsi="Times New Roman"/>
          <w:sz w:val="20"/>
        </w:rPr>
        <w:t xml:space="preserve">In offering the shares covered by this prospectus, any broker-dealers who execute sales for us may be deemed to be “underwriters” within the meaning of the Securities Act in connection with such sales. Any discounts, commissions, concessions or profit that any broker-dealers who execute sales for us, if deemed to be underwriters, earn on any resale of those securities may be underwriting discounts and commissions under the Securities Act. </w:t>
      </w:r>
    </w:p>
    <w:p>
      <w:pPr>
        <w:pStyle w:val="TextBody"/>
        <w:bidi w:val="0"/>
        <w:spacing w:before="240" w:after="0"/>
        <w:jc w:val="left"/>
        <w:rPr>
          <w:rFonts w:ascii="Times New Roman" w:hAnsi="Times New Roman"/>
          <w:sz w:val="20"/>
        </w:rPr>
      </w:pPr>
      <w:r>
        <w:rPr>
          <w:rFonts w:ascii="Times New Roman" w:hAnsi="Times New Roman"/>
          <w:sz w:val="20"/>
        </w:rPr>
        <w:t xml:space="preserve">The underwriters, broker-dealers and agents may engage in transactions with us, may have banking, lending or other relationships with us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certain states, if applicable, the shares must be sold in such jurisdictions only through registered or licensed brokers or dealers. In addition, in certain states, the shares of Class A Common Stock may not be sold unless they have been registered or qualified for sale in the applicable state or an exemption from the registration or qualification requirement is available and is complied with. </w:t>
      </w:r>
    </w:p>
    <w:p>
      <w:pPr>
        <w:pStyle w:val="TextBody"/>
        <w:bidi w:val="0"/>
        <w:spacing w:before="240" w:after="0"/>
        <w:jc w:val="left"/>
        <w:rPr>
          <w:rFonts w:ascii="Times New Roman" w:hAnsi="Times New Roman"/>
          <w:sz w:val="20"/>
        </w:rPr>
      </w:pPr>
      <w:r>
        <w:rPr>
          <w:rFonts w:ascii="Times New Roman" w:hAnsi="Times New Roman"/>
          <w:sz w:val="20"/>
        </w:rPr>
        <w:t xml:space="preserve">At the time a particular offer of shares is made, if required, a prospectus supplement will be distributed that will set forth the number of shares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1" w:name="toc130878_9"/>
      <w:bookmarkEnd w:id="11"/>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The validity of our shares of Class A Common Stock offered by this prospectus has been passed upon for the Company by Simpson Thacher &amp; Bartlett LLP, Washington, D.C. </w:t>
      </w:r>
    </w:p>
    <w:p>
      <w:pPr>
        <w:pStyle w:val="TextBody"/>
        <w:bidi w:val="0"/>
        <w:spacing w:before="480" w:after="0"/>
        <w:jc w:val="center"/>
        <w:rPr>
          <w:rFonts w:ascii="Times New Roman" w:hAnsi="Times New Roman"/>
          <w:b/>
          <w:sz w:val="20"/>
        </w:rPr>
      </w:pPr>
      <w:bookmarkStart w:id="12" w:name="toc130878_10"/>
      <w:bookmarkEnd w:id="12"/>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Intuitive Machines, Inc. as of December 31, 2025 and 2024 and for each of the two years in the period ended December 31, 2025 incorporated by reference in this prospectus and elsewhere in the registration statement have been so incorporated by reference in reliance upon the report of Grant Thornton LLP, independent registered public accountants, upon the authority of said firm as experts in accounting and auditing. </w:t>
      </w:r>
    </w:p>
    <w:p>
      <w:pPr>
        <w:pStyle w:val="TextBody"/>
        <w:bidi w:val="0"/>
        <w:spacing w:before="240" w:after="0"/>
        <w:jc w:val="left"/>
        <w:rPr>
          <w:rFonts w:ascii="Times New Roman" w:hAnsi="Times New Roman"/>
          <w:sz w:val="20"/>
        </w:rPr>
      </w:pPr>
      <w:r>
        <w:rPr>
          <w:rFonts w:ascii="Times New Roman" w:hAnsi="Times New Roman"/>
          <w:sz w:val="20"/>
        </w:rPr>
        <w:t xml:space="preserve">The consolidated financial statements of Lanteris Space Holdings LLC as of December 31, 2025 and 2024, and for each of the years in the two-year period ended December 31, 2025, have been incorporated by reference herein in reliance upon the report of KPMG LLP, independent auditors, and upon the authority of said firm as experts in accounting and auditing. </w:t>
      </w:r>
    </w:p>
    <w:p>
      <w:pPr>
        <w:pStyle w:val="TextBody"/>
        <w:bidi w:val="0"/>
        <w:spacing w:before="480" w:after="0"/>
        <w:jc w:val="center"/>
        <w:rPr>
          <w:rFonts w:ascii="Times New Roman" w:hAnsi="Times New Roman"/>
          <w:b/>
          <w:sz w:val="20"/>
        </w:rPr>
      </w:pPr>
      <w:bookmarkStart w:id="13" w:name="toc130878_11"/>
      <w:bookmarkEnd w:id="13"/>
      <w:r>
        <w:rPr>
          <w:rFonts w:ascii="Times New Roman" w:hAnsi="Times New Roman"/>
          <w:b/>
          <w:sz w:val="20"/>
        </w:rPr>
        <w:t xml:space="preserve">WHERE YOU CAN FIND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file annual, quarterly and current reports, proxy statements and other information with the SEC. You may inspect these reports and other information without charge at a website maintained by the SEC. The address of this site is http://www.sec.gov. </w:t>
      </w:r>
    </w:p>
    <w:p>
      <w:pPr>
        <w:pStyle w:val="TextBody"/>
        <w:bidi w:val="0"/>
        <w:spacing w:before="240" w:after="0"/>
        <w:jc w:val="left"/>
        <w:rPr>
          <w:rFonts w:ascii="Times New Roman" w:hAnsi="Times New Roman"/>
          <w:sz w:val="20"/>
        </w:rPr>
      </w:pPr>
      <w:r>
        <w:rPr>
          <w:rFonts w:ascii="Times New Roman" w:hAnsi="Times New Roman"/>
          <w:sz w:val="20"/>
        </w:rPr>
        <w:t xml:space="preserve">We also maintain an Internet website for investors at www.intuitivemachines.com under the “Investors” section. Through our website, we make available, free of charge, the following documents as soon as reasonably practicable after they are electronically filed with, or furnished to, the SEC: our Annual Reports on Form 10-K; our proxy statements for our annual and special stockholder meetings; our Quarterly Reports on Form 10-Q; our Current Reports on Form 8-K; Forms 3, 4 and 5 with respect to our securities filed on behalf of our directors and our executive officers; and amendments to those documents. The information contained on, or that may be accessed through, our website is not part of, and is not incorporated into, this prospectus.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4" w:name="toc130878_12"/>
      <w:bookmarkEnd w:id="14"/>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The rules of the SEC allow us to incorporate information into this prospectus by reference. This means that we are disclosing important information to you by referring to other documents. The information incorporated by reference is considered to be part of this prospectus, except for any information superseded by information contained directly in this prospectus. We incorporate by reference the documents listed below and all documents that we subsequently file with the SEC under Sections 13(a), 13(c), 14 or 15(d) of the Exchange Act prior to the termination of the offering of securities by means of this prospectus, from their respective filing dates (other than any portions thereof, which under the Exchange Act, and applicable SEC rules, are not deemed “filed” under the Exchange Act):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Form 10-K</w:t>
              </w:r>
            </w:hyperlink>
            <w:r>
              <w:rPr>
                <w:rFonts w:ascii="Times New Roman" w:hAnsi="Times New Roman"/>
                <w:sz w:val="20"/>
              </w:rPr>
              <w:t xml:space="preserve"> for the year ended December 31, 2025, filed with the SEC on March 19,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5"/>
        <w:gridCol w:w="101"/>
        <w:gridCol w:w="9290"/>
      </w:tblGrid>
      <w:tr>
        <w:trPr/>
        <w:tc>
          <w:tcPr>
            <w:tcW w:w="509" w:type="dxa"/>
            <w:tcBorders/>
            <w:vAlign w:val="center"/>
          </w:tcPr>
          <w:p>
            <w:pPr>
              <w:pStyle w:val="TableContents"/>
              <w:bidi w:val="0"/>
              <w:spacing w:before="0" w:after="283"/>
              <w:jc w:val="left"/>
              <w:rPr/>
            </w:pPr>
            <w:r>
              <w:rPr/>
              <w:t> </w:t>
            </w:r>
          </w:p>
        </w:tc>
        <w:tc>
          <w:tcPr>
            <w:tcW w:w="305"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Quarterly Report on </w:t>
            </w:r>
            <w:hyperlink r:id="rId4">
              <w:r>
                <w:rPr>
                  <w:rStyle w:val="InternetLink"/>
                  <w:rFonts w:ascii="Times New Roman" w:hAnsi="Times New Roman"/>
                  <w:sz w:val="20"/>
                </w:rPr>
                <w:t>Form 10-Q</w:t>
              </w:r>
            </w:hyperlink>
            <w:r>
              <w:rPr>
                <w:rFonts w:ascii="Times New Roman" w:hAnsi="Times New Roman"/>
                <w:sz w:val="20"/>
              </w:rPr>
              <w:t xml:space="preserve"> for the quarterly period ended March 31, 2026, filed with the SEC on May 15, 2026.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09"/>
        <w:gridCol w:w="306"/>
        <w:gridCol w:w="100"/>
        <w:gridCol w:w="9290"/>
      </w:tblGrid>
      <w:tr>
        <w:trPr/>
        <w:tc>
          <w:tcPr>
            <w:tcW w:w="509" w:type="dxa"/>
            <w:tcBorders/>
            <w:vAlign w:val="center"/>
          </w:tcPr>
          <w:p>
            <w:pPr>
              <w:pStyle w:val="TableContents"/>
              <w:bidi w:val="0"/>
              <w:spacing w:before="0" w:after="283"/>
              <w:jc w:val="left"/>
              <w:rPr/>
            </w:pPr>
            <w:r>
              <w:rPr/>
              <w:t> </w:t>
            </w:r>
          </w:p>
        </w:tc>
        <w:tc>
          <w:tcPr>
            <w:tcW w:w="306"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Current Reports on Form 8-K filed with the SEC on </w:t>
            </w:r>
            <w:hyperlink r:id="rId5">
              <w:r>
                <w:rPr>
                  <w:rStyle w:val="InternetLink"/>
                  <w:rFonts w:ascii="Times New Roman" w:hAnsi="Times New Roman"/>
                  <w:sz w:val="20"/>
                </w:rPr>
                <w:t>January 13, 2026</w:t>
              </w:r>
            </w:hyperlink>
            <w:r>
              <w:rPr>
                <w:rFonts w:ascii="Times New Roman" w:hAnsi="Times New Roman"/>
                <w:sz w:val="20"/>
              </w:rPr>
              <w:t xml:space="preserve"> (except for Item 7.01 and Exhibit 99.1), </w:t>
            </w:r>
            <w:hyperlink r:id="rId6">
              <w:r>
                <w:rPr>
                  <w:rStyle w:val="InternetLink"/>
                  <w:rFonts w:ascii="Times New Roman" w:hAnsi="Times New Roman"/>
                  <w:sz w:val="20"/>
                </w:rPr>
                <w:t>February  11, 2026</w:t>
              </w:r>
            </w:hyperlink>
            <w:r>
              <w:rPr>
                <w:rFonts w:ascii="Times New Roman" w:hAnsi="Times New Roman"/>
                <w:sz w:val="20"/>
              </w:rPr>
              <w:t xml:space="preserve">, </w:t>
            </w:r>
            <w:hyperlink r:id="rId7">
              <w:r>
                <w:rPr>
                  <w:rStyle w:val="InternetLink"/>
                  <w:rFonts w:ascii="Times New Roman" w:hAnsi="Times New Roman"/>
                  <w:sz w:val="20"/>
                </w:rPr>
                <w:t>February  25, 2026</w:t>
              </w:r>
            </w:hyperlink>
            <w:r>
              <w:rPr>
                <w:rFonts w:ascii="Times New Roman" w:hAnsi="Times New Roman"/>
                <w:sz w:val="20"/>
              </w:rPr>
              <w:t xml:space="preserve">, (except for Item 7.01 and Exhibit 99.1), </w:t>
            </w:r>
            <w:hyperlink r:id="rId8">
              <w:r>
                <w:rPr>
                  <w:rStyle w:val="InternetLink"/>
                  <w:rFonts w:ascii="Times New Roman" w:hAnsi="Times New Roman"/>
                  <w:sz w:val="20"/>
                </w:rPr>
                <w:t>February  27, 2026</w:t>
              </w:r>
            </w:hyperlink>
            <w:r>
              <w:rPr>
                <w:rFonts w:ascii="Times New Roman" w:hAnsi="Times New Roman"/>
                <w:sz w:val="20"/>
              </w:rPr>
              <w:t xml:space="preserve">, </w:t>
            </w:r>
            <w:hyperlink r:id="rId9">
              <w:r>
                <w:rPr>
                  <w:rStyle w:val="InternetLink"/>
                  <w:rFonts w:ascii="Times New Roman" w:hAnsi="Times New Roman"/>
                  <w:sz w:val="20"/>
                </w:rPr>
                <w:t>May 14, 2026</w:t>
              </w:r>
            </w:hyperlink>
            <w:r>
              <w:rPr>
                <w:rFonts w:ascii="Times New Roman" w:hAnsi="Times New Roman"/>
                <w:sz w:val="20"/>
              </w:rPr>
              <w:t xml:space="preserve"> (except for Item 7.01, Exhibit 99.1 and Exhibit 99.2), and our Current Report on Form 8-K/A filed with the SEC on </w:t>
            </w:r>
            <w:hyperlink r:id="rId10">
              <w:r>
                <w:rPr>
                  <w:rStyle w:val="InternetLink"/>
                  <w:rFonts w:ascii="Times New Roman" w:hAnsi="Times New Roman"/>
                  <w:sz w:val="20"/>
                </w:rPr>
                <w:t>April 1, 2026</w:t>
              </w:r>
            </w:hyperlink>
            <w:r>
              <w:rPr>
                <w:rFonts w:ascii="Times New Roman" w:hAnsi="Times New Roman"/>
                <w:sz w:val="20"/>
              </w:rPr>
              <w:t xml:space="preserv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our </w:t>
            </w:r>
            <w:hyperlink r:id="rId11">
              <w:r>
                <w:rPr>
                  <w:rStyle w:val="InternetLink"/>
                  <w:rFonts w:ascii="Times New Roman" w:hAnsi="Times New Roman"/>
                  <w:sz w:val="20"/>
                </w:rPr>
                <w:t>Definitive Proxy Statement on Schedule 14A</w:t>
              </w:r>
            </w:hyperlink>
            <w:r>
              <w:rPr>
                <w:rFonts w:ascii="Times New Roman" w:hAnsi="Times New Roman"/>
                <w:sz w:val="20"/>
              </w:rPr>
              <w:t xml:space="preserve">, filed on April 24, 2026 (solely those portions that were incorporated by reference into Part III of our Annual Report on Form 10-K for the year ended December 31, 2025);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510"/>
        <w:gridCol w:w="304"/>
        <w:gridCol w:w="101"/>
        <w:gridCol w:w="9290"/>
      </w:tblGrid>
      <w:tr>
        <w:trPr/>
        <w:tc>
          <w:tcPr>
            <w:tcW w:w="510" w:type="dxa"/>
            <w:tcBorders/>
            <w:vAlign w:val="center"/>
          </w:tcPr>
          <w:p>
            <w:pPr>
              <w:pStyle w:val="TableContents"/>
              <w:bidi w:val="0"/>
              <w:spacing w:before="0" w:after="283"/>
              <w:jc w:val="left"/>
              <w:rPr/>
            </w:pPr>
            <w:r>
              <w:rPr/>
              <w:t> </w:t>
            </w:r>
          </w:p>
        </w:tc>
        <w:tc>
          <w:tcPr>
            <w:tcW w:w="304"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290" w:type="dxa"/>
            <w:tcBorders/>
          </w:tcPr>
          <w:p>
            <w:pPr>
              <w:pStyle w:val="TableContents"/>
              <w:bidi w:val="0"/>
              <w:spacing w:before="0" w:after="0"/>
              <w:jc w:val="left"/>
              <w:rPr/>
            </w:pPr>
            <w:r>
              <w:rPr>
                <w:rFonts w:ascii="Times New Roman" w:hAnsi="Times New Roman"/>
                <w:sz w:val="20"/>
              </w:rPr>
              <w:t xml:space="preserve">the description of Class  A Common Stock contained in the Registration Statement on </w:t>
            </w:r>
            <w:hyperlink r:id="rId12">
              <w:r>
                <w:rPr>
                  <w:rStyle w:val="InternetLink"/>
                  <w:rFonts w:ascii="Times New Roman" w:hAnsi="Times New Roman"/>
                  <w:sz w:val="20"/>
                </w:rPr>
                <w:t>Form 8-A</w:t>
              </w:r>
            </w:hyperlink>
            <w:r>
              <w:rPr>
                <w:rFonts w:ascii="Times New Roman" w:hAnsi="Times New Roman"/>
                <w:sz w:val="20"/>
              </w:rPr>
              <w:t xml:space="preserve"> filed on February 14, 2023, as updated by </w:t>
            </w:r>
            <w:hyperlink r:id="rId13">
              <w:r>
                <w:rPr>
                  <w:rStyle w:val="InternetLink"/>
                  <w:rFonts w:ascii="Times New Roman" w:hAnsi="Times New Roman"/>
                  <w:sz w:val="20"/>
                </w:rPr>
                <w:t>Exhibit 4.11</w:t>
              </w:r>
            </w:hyperlink>
            <w:r>
              <w:rPr>
                <w:rFonts w:ascii="Times New Roman" w:hAnsi="Times New Roman"/>
                <w:sz w:val="20"/>
              </w:rPr>
              <w:t xml:space="preserve"> to our Annual Report on Form 10-K for the fiscal year ended December 31, 2025, including any amendments or reports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Any statement contained in this prospectus, or in a document incorporated or deemed to be incorporated by reference herein, shall be deemed to be modified or superseded to the extent that a statement contained herein, or in any subsequently filed document that also is incorporated or deemed to be incorporated by reference herein, modifies or supersedes such statement. Any statement so modified or superseded shall not be deemed, except as so modified or superseded, to constitute a part of this prospectus from the date that information is filed. </w:t>
      </w:r>
    </w:p>
    <w:p>
      <w:pPr>
        <w:pStyle w:val="TextBody"/>
        <w:bidi w:val="0"/>
        <w:spacing w:before="240" w:after="0"/>
        <w:jc w:val="left"/>
        <w:rPr>
          <w:rFonts w:ascii="Times New Roman" w:hAnsi="Times New Roman"/>
          <w:sz w:val="20"/>
        </w:rPr>
      </w:pPr>
      <w:r>
        <w:rPr>
          <w:rFonts w:ascii="Times New Roman" w:hAnsi="Times New Roman"/>
          <w:sz w:val="20"/>
        </w:rPr>
        <w:t xml:space="preserve">We will provide, without charge, to each person, including any beneficial owner, to whom a copy of this prospectus is delivered, upon written or oral request of such person, a copy of any documents referred to above which have been or may be incorporated by reference into this prospectus (excluding exhibits to such document unless an exhibit is specifically incorporated by reference in the document). You should direct requests for those documents to: </w:t>
      </w:r>
    </w:p>
    <w:p>
      <w:pPr>
        <w:pStyle w:val="TextBody"/>
        <w:bidi w:val="0"/>
        <w:spacing w:before="240" w:after="0"/>
        <w:jc w:val="center"/>
        <w:rPr>
          <w:rFonts w:ascii="Times New Roman" w:hAnsi="Times New Roman"/>
          <w:sz w:val="20"/>
        </w:rPr>
      </w:pPr>
      <w:r>
        <w:rPr>
          <w:rFonts w:ascii="Times New Roman" w:hAnsi="Times New Roman"/>
          <w:sz w:val="20"/>
        </w:rPr>
        <w:t xml:space="preserve">Intuitive Machines, Inc. </w:t>
      </w:r>
    </w:p>
    <w:p>
      <w:pPr>
        <w:pStyle w:val="TextBody"/>
        <w:bidi w:val="0"/>
        <w:spacing w:before="0" w:after="0"/>
        <w:jc w:val="center"/>
        <w:rPr>
          <w:rFonts w:ascii="Times New Roman" w:hAnsi="Times New Roman"/>
          <w:sz w:val="20"/>
        </w:rPr>
      </w:pPr>
      <w:r>
        <w:rPr>
          <w:rFonts w:ascii="Times New Roman" w:hAnsi="Times New Roman"/>
          <w:sz w:val="20"/>
        </w:rPr>
        <w:t xml:space="preserve">13467 Columbia Shuttle Street </w:t>
      </w:r>
    </w:p>
    <w:p>
      <w:pPr>
        <w:pStyle w:val="TextBody"/>
        <w:bidi w:val="0"/>
        <w:spacing w:before="0" w:after="0"/>
        <w:jc w:val="center"/>
        <w:rPr>
          <w:rFonts w:ascii="Times New Roman" w:hAnsi="Times New Roman"/>
          <w:sz w:val="20"/>
        </w:rPr>
      </w:pPr>
      <w:r>
        <w:rPr>
          <w:rFonts w:ascii="Times New Roman" w:hAnsi="Times New Roman"/>
          <w:sz w:val="20"/>
        </w:rPr>
        <w:t xml:space="preserve">Houston, TX 77059 </w:t>
      </w:r>
    </w:p>
    <w:p>
      <w:pPr>
        <w:pStyle w:val="TextBody"/>
        <w:bidi w:val="0"/>
        <w:spacing w:before="0" w:after="0"/>
        <w:jc w:val="center"/>
        <w:rPr>
          <w:rFonts w:ascii="Times New Roman" w:hAnsi="Times New Roman"/>
          <w:sz w:val="20"/>
        </w:rPr>
      </w:pPr>
      <w:r>
        <w:rPr>
          <w:rFonts w:ascii="Times New Roman" w:hAnsi="Times New Roman"/>
          <w:sz w:val="20"/>
        </w:rPr>
        <w:t xml:space="preserve">(281) 520-3703 </w:t>
      </w:r>
    </w:p>
    <w:p>
      <w:pPr>
        <w:pStyle w:val="TextBody"/>
        <w:bidi w:val="0"/>
        <w:spacing w:before="0" w:after="0"/>
        <w:jc w:val="center"/>
        <w:rPr>
          <w:rFonts w:ascii="Times New Roman" w:hAnsi="Times New Roman"/>
          <w:sz w:val="20"/>
        </w:rPr>
      </w:pPr>
      <w:r>
        <w:rPr>
          <w:rFonts w:ascii="Times New Roman" w:hAnsi="Times New Roman"/>
          <w:sz w:val="20"/>
        </w:rPr>
        <w:t xml:space="preserve">Attention: Corporate Secretary </w:t>
      </w:r>
    </w:p>
    <w:p>
      <w:pPr>
        <w:pStyle w:val="TextBody"/>
        <w:bidi w:val="0"/>
        <w:spacing w:before="240" w:after="0"/>
        <w:jc w:val="left"/>
        <w:rPr>
          <w:rFonts w:ascii="Times New Roman" w:hAnsi="Times New Roman"/>
          <w:sz w:val="20"/>
        </w:rPr>
      </w:pPr>
      <w:r>
        <w:rPr>
          <w:rFonts w:ascii="Times New Roman" w:hAnsi="Times New Roman"/>
          <w:sz w:val="20"/>
        </w:rPr>
        <w:t xml:space="preserve">We have not authorized anyone to provide you with information other than that contained in or incorporated by reference into this prospectus. You should not assume that the information in this prospectus is accurate as of any date other than the date of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You should not rely on or assume the accuracy of any representation or warranty in any agreement that we have filed as an exhibit to any document that we have publicly filed or that we may otherwise publicly file in the future because such representation or warranty may be subject to exceptions and qualifications contained in separate disclosure schedules, may have been included in such agreement for the purpose of allocating risk between the parties to the particular transaction, and may no longer continue to be true as of any given date.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PART II </w:t>
      </w:r>
    </w:p>
    <w:p>
      <w:pPr>
        <w:pStyle w:val="TextBody"/>
        <w:bidi w:val="0"/>
        <w:spacing w:before="240" w:after="0"/>
        <w:jc w:val="center"/>
        <w:rPr>
          <w:rFonts w:ascii="Times New Roman" w:hAnsi="Times New Roman"/>
          <w:b/>
          <w:sz w:val="20"/>
        </w:rPr>
      </w:pPr>
      <w:r>
        <w:rPr>
          <w:rFonts w:ascii="Times New Roman" w:hAnsi="Times New Roman"/>
          <w:b/>
          <w:sz w:val="20"/>
        </w:rPr>
        <w:t xml:space="preserve">INFORMATION NOT REQUIRED IN PROSPECTUS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14.</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Other Expenses of Issuance and Distribution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table sets forth all costs and expenses, payable by us in connection with the Class A Common Stock being registered. All amounts shown are estimates except for the SEC registration fee. </w:t>
      </w:r>
    </w:p>
    <w:p>
      <w:pPr>
        <w:pStyle w:val="TextBody"/>
        <w:bidi w:val="0"/>
        <w:spacing w:before="0" w:after="0"/>
        <w:jc w:val="left"/>
        <w:rPr/>
      </w:pPr>
      <w:r>
        <w:rPr/>
        <w:t> </w:t>
      </w:r>
    </w:p>
    <w:tbl>
      <w:tblPr>
        <w:tblW w:w="3400" w:type="pct"/>
        <w:jc w:val="center"/>
        <w:tblInd w:w="0" w:type="dxa"/>
        <w:tblLayout w:type="fixed"/>
        <w:tblCellMar>
          <w:top w:w="0" w:type="dxa"/>
          <w:left w:w="0" w:type="dxa"/>
          <w:bottom w:w="0" w:type="dxa"/>
          <w:right w:w="0" w:type="dxa"/>
        </w:tblCellMar>
      </w:tblPr>
      <w:tblGrid>
        <w:gridCol w:w="4715"/>
        <w:gridCol w:w="388"/>
        <w:gridCol w:w="141"/>
        <w:gridCol w:w="1633"/>
        <w:gridCol w:w="62"/>
      </w:tblGrid>
      <w:tr>
        <w:trPr/>
        <w:tc>
          <w:tcPr>
            <w:tcW w:w="4715" w:type="dxa"/>
            <w:tcBorders/>
            <w:vAlign w:val="center"/>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633" w:type="dxa"/>
            <w:tcBorders/>
            <w:vAlign w:val="center"/>
          </w:tcPr>
          <w:p>
            <w:pPr>
              <w:pStyle w:val="TableContents"/>
              <w:bidi w:val="0"/>
              <w:spacing w:before="0" w:after="283"/>
              <w:jc w:val="left"/>
              <w:rPr>
                <w:sz w:val="4"/>
                <w:szCs w:val="4"/>
              </w:rPr>
            </w:pPr>
            <w:r>
              <w:rPr>
                <w:sz w:val="4"/>
                <w:szCs w:val="4"/>
              </w:rPr>
            </w:r>
          </w:p>
        </w:tc>
        <w:tc>
          <w:tcPr>
            <w:tcW w:w="62" w:type="dxa"/>
            <w:tcBorders/>
            <w:vAlign w:val="center"/>
          </w:tcPr>
          <w:p>
            <w:pPr>
              <w:pStyle w:val="TableContents"/>
              <w:bidi w:val="0"/>
              <w:spacing w:before="0" w:after="283"/>
              <w:jc w:val="left"/>
              <w:rPr>
                <w:sz w:val="4"/>
                <w:szCs w:val="4"/>
              </w:rPr>
            </w:pPr>
            <w:r>
              <w:rPr>
                <w:sz w:val="4"/>
                <w:szCs w:val="4"/>
              </w:rPr>
            </w:r>
          </w:p>
        </w:tc>
      </w:tr>
      <w:tr>
        <w:trPr/>
        <w:tc>
          <w:tcPr>
            <w:tcW w:w="4715" w:type="dxa"/>
            <w:tcBorders/>
            <w:vAlign w:val="bottom"/>
          </w:tcPr>
          <w:p>
            <w:pPr>
              <w:pStyle w:val="TableContents"/>
              <w:bidi w:val="0"/>
              <w:spacing w:before="0" w:after="283"/>
              <w:jc w:val="left"/>
              <w:rPr/>
            </w:pPr>
            <w:r>
              <w:rPr/>
              <w:t> </w:t>
            </w:r>
          </w:p>
        </w:tc>
        <w:tc>
          <w:tcPr>
            <w:tcW w:w="388" w:type="dxa"/>
            <w:tcBorders/>
            <w:vAlign w:val="bottom"/>
          </w:tcPr>
          <w:p>
            <w:pPr>
              <w:pStyle w:val="TableContents"/>
              <w:bidi w:val="0"/>
              <w:spacing w:before="0" w:after="283"/>
              <w:jc w:val="left"/>
              <w:rPr/>
            </w:pPr>
            <w:r>
              <w:rPr/>
              <w:t>  </w:t>
            </w:r>
          </w:p>
        </w:tc>
        <w:tc>
          <w:tcPr>
            <w:tcW w:w="1774" w:type="dxa"/>
            <w:gridSpan w:val="2"/>
            <w:tcBorders>
              <w:bottom w:val="single" w:sz="8" w:space="0" w:color="000000"/>
            </w:tcBorders>
            <w:tcMar>
              <w:bottom w:w="28" w:type="dxa"/>
            </w:tcMar>
            <w:vAlign w:val="bottom"/>
          </w:tcPr>
          <w:p>
            <w:pPr>
              <w:pStyle w:val="TableContents"/>
              <w:bidi w:val="0"/>
              <w:spacing w:before="0" w:after="283"/>
              <w:jc w:val="center"/>
              <w:rPr>
                <w:b/>
              </w:rPr>
            </w:pPr>
            <w:r>
              <w:rPr>
                <w:b/>
              </w:rPr>
              <w:t>Amount paid or</w:t>
              <w:br/>
              <w:t>to be paid</w:t>
            </w:r>
          </w:p>
        </w:tc>
        <w:tc>
          <w:tcPr>
            <w:tcW w:w="62" w:type="dxa"/>
            <w:tcBorders/>
            <w:vAlign w:val="bottom"/>
          </w:tcPr>
          <w:p>
            <w:pPr>
              <w:pStyle w:val="TableContents"/>
              <w:bidi w:val="0"/>
              <w:spacing w:before="0" w:after="283"/>
              <w:jc w:val="left"/>
              <w:rPr/>
            </w:pPr>
            <w:r>
              <w:rPr/>
              <w:t> </w:t>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SEC registration fee</w:t>
            </w:r>
          </w:p>
        </w:tc>
        <w:tc>
          <w:tcPr>
            <w:tcW w:w="38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633" w:type="dxa"/>
            <w:tcBorders/>
            <w:shd w:fill="CCEEFF" w:val="clear"/>
            <w:vAlign w:val="bottom"/>
          </w:tcPr>
          <w:p>
            <w:pPr>
              <w:pStyle w:val="TableContents"/>
              <w:bidi w:val="0"/>
              <w:spacing w:before="0" w:after="283"/>
              <w:jc w:val="right"/>
              <w:rPr/>
            </w:pPr>
            <w:r>
              <w:rPr/>
              <w:t>     </w:t>
            </w:r>
            <w:r>
              <w:rPr/>
              <w:t>*</w:t>
            </w:r>
          </w:p>
        </w:tc>
        <w:tc>
          <w:tcPr>
            <w:tcW w:w="62" w:type="dxa"/>
            <w:tcBorders/>
            <w:shd w:fill="CCEEFF" w:val="clear"/>
            <w:vAlign w:val="bottom"/>
          </w:tcPr>
          <w:p>
            <w:pPr>
              <w:pStyle w:val="TableContents"/>
              <w:bidi w:val="0"/>
              <w:spacing w:before="0" w:after="283"/>
              <w:jc w:val="left"/>
              <w:rPr/>
            </w:pPr>
            <w:r>
              <w:rPr/>
              <w:t> </w:t>
            </w:r>
          </w:p>
        </w:tc>
      </w:tr>
      <w:tr>
        <w:trPr/>
        <w:tc>
          <w:tcPr>
            <w:tcW w:w="4715" w:type="dxa"/>
            <w:tcBorders/>
          </w:tcPr>
          <w:p>
            <w:pPr>
              <w:pStyle w:val="TableContents"/>
              <w:bidi w:val="0"/>
              <w:spacing w:before="0" w:after="0"/>
              <w:jc w:val="left"/>
              <w:rPr>
                <w:rFonts w:ascii="Times New Roman" w:hAnsi="Times New Roman"/>
                <w:sz w:val="20"/>
              </w:rPr>
            </w:pPr>
            <w:r>
              <w:rPr>
                <w:rFonts w:ascii="Times New Roman" w:hAnsi="Times New Roman"/>
                <w:sz w:val="20"/>
              </w:rPr>
              <w:t>Legal fees and expenses</w:t>
            </w:r>
          </w:p>
        </w:tc>
        <w:tc>
          <w:tcPr>
            <w:tcW w:w="38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right"/>
              <w:rPr/>
            </w:pPr>
            <w:r>
              <w:rPr/>
              <w:t>**</w:t>
            </w:r>
          </w:p>
        </w:tc>
        <w:tc>
          <w:tcPr>
            <w:tcW w:w="62" w:type="dxa"/>
            <w:tcBorders/>
            <w:vAlign w:val="bottom"/>
          </w:tcPr>
          <w:p>
            <w:pPr>
              <w:pStyle w:val="TableContents"/>
              <w:bidi w:val="0"/>
              <w:spacing w:before="0" w:after="283"/>
              <w:jc w:val="left"/>
              <w:rPr/>
            </w:pPr>
            <w:r>
              <w:rPr/>
              <w:t> </w:t>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Accounting fees and expenses</w:t>
            </w:r>
          </w:p>
        </w:tc>
        <w:tc>
          <w:tcPr>
            <w:tcW w:w="38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 </w:t>
            </w:r>
          </w:p>
        </w:tc>
        <w:tc>
          <w:tcPr>
            <w:tcW w:w="1633" w:type="dxa"/>
            <w:tcBorders/>
            <w:shd w:fill="CCEEFF" w:val="clear"/>
            <w:vAlign w:val="bottom"/>
          </w:tcPr>
          <w:p>
            <w:pPr>
              <w:pStyle w:val="TableContents"/>
              <w:bidi w:val="0"/>
              <w:spacing w:before="0" w:after="283"/>
              <w:jc w:val="right"/>
              <w:rPr/>
            </w:pPr>
            <w:r>
              <w:rPr/>
              <w:t>**</w:t>
            </w:r>
          </w:p>
        </w:tc>
        <w:tc>
          <w:tcPr>
            <w:tcW w:w="62" w:type="dxa"/>
            <w:tcBorders/>
            <w:shd w:fill="CCEEFF" w:val="clear"/>
            <w:vAlign w:val="bottom"/>
          </w:tcPr>
          <w:p>
            <w:pPr>
              <w:pStyle w:val="TableContents"/>
              <w:bidi w:val="0"/>
              <w:spacing w:before="0" w:after="283"/>
              <w:jc w:val="left"/>
              <w:rPr/>
            </w:pPr>
            <w:r>
              <w:rPr/>
              <w:t> </w:t>
            </w:r>
          </w:p>
        </w:tc>
      </w:tr>
      <w:tr>
        <w:trPr/>
        <w:tc>
          <w:tcPr>
            <w:tcW w:w="4715" w:type="dxa"/>
            <w:tcBorders/>
          </w:tcPr>
          <w:p>
            <w:pPr>
              <w:pStyle w:val="TableContents"/>
              <w:bidi w:val="0"/>
              <w:spacing w:before="0" w:after="0"/>
              <w:jc w:val="left"/>
              <w:rPr>
                <w:rFonts w:ascii="Times New Roman" w:hAnsi="Times New Roman"/>
                <w:sz w:val="20"/>
              </w:rPr>
            </w:pPr>
            <w:r>
              <w:rPr>
                <w:rFonts w:ascii="Times New Roman" w:hAnsi="Times New Roman"/>
                <w:sz w:val="20"/>
              </w:rPr>
              <w:t>Miscellaneous</w:t>
            </w:r>
          </w:p>
        </w:tc>
        <w:tc>
          <w:tcPr>
            <w:tcW w:w="388" w:type="dxa"/>
            <w:tcBorders/>
            <w:vAlign w:val="bottom"/>
          </w:tcPr>
          <w:p>
            <w:pPr>
              <w:pStyle w:val="TableContents"/>
              <w:bidi w:val="0"/>
              <w:spacing w:before="0" w:after="283"/>
              <w:jc w:val="left"/>
              <w:rPr/>
            </w:pPr>
            <w:r>
              <w:rPr/>
              <w:t>  </w:t>
            </w:r>
          </w:p>
        </w:tc>
        <w:tc>
          <w:tcPr>
            <w:tcW w:w="141" w:type="dxa"/>
            <w:tcBorders/>
            <w:vAlign w:val="bottom"/>
          </w:tcPr>
          <w:p>
            <w:pPr>
              <w:pStyle w:val="TableContents"/>
              <w:bidi w:val="0"/>
              <w:spacing w:before="0" w:after="283"/>
              <w:jc w:val="left"/>
              <w:rPr/>
            </w:pPr>
            <w:r>
              <w:rPr/>
              <w:t> </w:t>
            </w:r>
          </w:p>
        </w:tc>
        <w:tc>
          <w:tcPr>
            <w:tcW w:w="1633" w:type="dxa"/>
            <w:tcBorders/>
            <w:vAlign w:val="bottom"/>
          </w:tcPr>
          <w:p>
            <w:pPr>
              <w:pStyle w:val="TableContents"/>
              <w:bidi w:val="0"/>
              <w:spacing w:before="0" w:after="283"/>
              <w:jc w:val="right"/>
              <w:rPr/>
            </w:pPr>
            <w:r>
              <w:rPr/>
              <w:t>**</w:t>
            </w:r>
          </w:p>
        </w:tc>
        <w:tc>
          <w:tcPr>
            <w:tcW w:w="62" w:type="dxa"/>
            <w:tcBorders/>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single" w:sz="2" w:space="1" w:color="000000"/>
              </w:pBdr>
              <w:bidi w:val="0"/>
              <w:spacing w:before="0" w:after="0"/>
              <w:jc w:val="left"/>
              <w:rPr/>
            </w:pPr>
            <w:r>
              <w:rPr/>
              <w:t> </w:t>
            </w:r>
          </w:p>
        </w:tc>
        <w:tc>
          <w:tcPr>
            <w:tcW w:w="1633" w:type="dxa"/>
            <w:tcBorders/>
            <w:vAlign w:val="bottom"/>
          </w:tcPr>
          <w:p>
            <w:pPr>
              <w:pStyle w:val="TableContents"/>
              <w:pBdr>
                <w:top w:val="single" w:sz="2"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r>
        <w:trPr/>
        <w:tc>
          <w:tcPr>
            <w:tcW w:w="4715" w:type="dxa"/>
            <w:tcBorders/>
            <w:shd w:fill="CCEEFF" w:val="clear"/>
          </w:tcPr>
          <w:p>
            <w:pPr>
              <w:pStyle w:val="TableContents"/>
              <w:bidi w:val="0"/>
              <w:spacing w:before="0" w:after="0"/>
              <w:jc w:val="left"/>
              <w:rPr>
                <w:rFonts w:ascii="Times New Roman" w:hAnsi="Times New Roman"/>
                <w:sz w:val="20"/>
              </w:rPr>
            </w:pPr>
            <w:r>
              <w:rPr>
                <w:rFonts w:ascii="Times New Roman" w:hAnsi="Times New Roman"/>
                <w:sz w:val="20"/>
              </w:rPr>
              <w:t>Total</w:t>
            </w:r>
          </w:p>
        </w:tc>
        <w:tc>
          <w:tcPr>
            <w:tcW w:w="388" w:type="dxa"/>
            <w:tcBorders/>
            <w:shd w:fill="CCEEFF" w:val="clear"/>
            <w:vAlign w:val="bottom"/>
          </w:tcPr>
          <w:p>
            <w:pPr>
              <w:pStyle w:val="TableContents"/>
              <w:bidi w:val="0"/>
              <w:spacing w:before="0" w:after="283"/>
              <w:jc w:val="left"/>
              <w:rPr/>
            </w:pPr>
            <w:r>
              <w:rPr/>
              <w:t>  </w:t>
            </w:r>
          </w:p>
        </w:tc>
        <w:tc>
          <w:tcPr>
            <w:tcW w:w="141" w:type="dxa"/>
            <w:tcBorders/>
            <w:shd w:fill="CCEEFF" w:val="clear"/>
            <w:vAlign w:val="bottom"/>
          </w:tcPr>
          <w:p>
            <w:pPr>
              <w:pStyle w:val="TableContents"/>
              <w:bidi w:val="0"/>
              <w:spacing w:before="0" w:after="283"/>
              <w:jc w:val="left"/>
              <w:rPr/>
            </w:pPr>
            <w:r>
              <w:rPr/>
              <w:t>$</w:t>
            </w:r>
          </w:p>
        </w:tc>
        <w:tc>
          <w:tcPr>
            <w:tcW w:w="1633" w:type="dxa"/>
            <w:tcBorders/>
            <w:shd w:fill="CCEEFF" w:val="clear"/>
            <w:vAlign w:val="bottom"/>
          </w:tcPr>
          <w:p>
            <w:pPr>
              <w:pStyle w:val="TableContents"/>
              <w:bidi w:val="0"/>
              <w:spacing w:before="0" w:after="283"/>
              <w:jc w:val="right"/>
              <w:rPr/>
            </w:pPr>
            <w:r>
              <w:rPr/>
              <w:t>**</w:t>
            </w:r>
          </w:p>
        </w:tc>
        <w:tc>
          <w:tcPr>
            <w:tcW w:w="62" w:type="dxa"/>
            <w:tcBorders/>
            <w:shd w:fill="CCEEFF" w:val="clear"/>
            <w:vAlign w:val="bottom"/>
          </w:tcPr>
          <w:p>
            <w:pPr>
              <w:pStyle w:val="TableContents"/>
              <w:bidi w:val="0"/>
              <w:spacing w:before="0" w:after="283"/>
              <w:jc w:val="left"/>
              <w:rPr/>
            </w:pPr>
            <w:r>
              <w:rPr/>
              <w:t> </w:t>
            </w:r>
          </w:p>
        </w:tc>
      </w:tr>
      <w:tr>
        <w:trPr/>
        <w:tc>
          <w:tcPr>
            <w:tcW w:w="4715" w:type="dxa"/>
            <w:tcBorders/>
            <w:vAlign w:val="bottom"/>
          </w:tcPr>
          <w:p>
            <w:pPr>
              <w:pStyle w:val="TableContents"/>
              <w:bidi w:val="0"/>
              <w:spacing w:before="0" w:after="283"/>
              <w:jc w:val="left"/>
              <w:rPr>
                <w:sz w:val="4"/>
                <w:szCs w:val="4"/>
              </w:rPr>
            </w:pPr>
            <w:r>
              <w:rPr>
                <w:sz w:val="4"/>
                <w:szCs w:val="4"/>
              </w:rPr>
            </w:r>
          </w:p>
        </w:tc>
        <w:tc>
          <w:tcPr>
            <w:tcW w:w="388" w:type="dxa"/>
            <w:tcBorders/>
            <w:vAlign w:val="bottom"/>
          </w:tcPr>
          <w:p>
            <w:pPr>
              <w:pStyle w:val="TableContents"/>
              <w:bidi w:val="0"/>
              <w:spacing w:before="0" w:after="283"/>
              <w:jc w:val="left"/>
              <w:rPr/>
            </w:pPr>
            <w:r>
              <w:rPr/>
              <w:t>  </w:t>
            </w:r>
          </w:p>
        </w:tc>
        <w:tc>
          <w:tcPr>
            <w:tcW w:w="141" w:type="dxa"/>
            <w:tcBorders/>
            <w:vAlign w:val="bottom"/>
          </w:tcPr>
          <w:p>
            <w:pPr>
              <w:pStyle w:val="TableContents"/>
              <w:pBdr>
                <w:top w:val="double" w:sz="6" w:space="1" w:color="000000"/>
              </w:pBdr>
              <w:bidi w:val="0"/>
              <w:spacing w:before="0" w:after="0"/>
              <w:jc w:val="left"/>
              <w:rPr/>
            </w:pPr>
            <w:r>
              <w:rPr/>
              <w:t> </w:t>
            </w:r>
          </w:p>
        </w:tc>
        <w:tc>
          <w:tcPr>
            <w:tcW w:w="1633" w:type="dxa"/>
            <w:tcBorders/>
            <w:vAlign w:val="bottom"/>
          </w:tcPr>
          <w:p>
            <w:pPr>
              <w:pStyle w:val="TableContents"/>
              <w:pBdr>
                <w:top w:val="double" w:sz="6" w:space="1" w:color="000000"/>
              </w:pBdr>
              <w:bidi w:val="0"/>
              <w:spacing w:before="0" w:after="0"/>
              <w:jc w:val="left"/>
              <w:rPr/>
            </w:pPr>
            <w:r>
              <w:rPr/>
              <w:t> </w:t>
            </w:r>
          </w:p>
        </w:tc>
        <w:tc>
          <w:tcPr>
            <w:tcW w:w="62"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Pursuant to Rules 456(b) and 457(r) under the Securities Act, the registrant is deferring payment of the registration fee relating to the securities that are registered and available for sale under this registration statement. </w:t>
            </w:r>
          </w:p>
        </w:tc>
      </w:tr>
    </w:tbl>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These fees and expenses are calculated based on the securities offered and the number of issuances and accordingly cannot be estimated at this time. An estimate of the aggregate amount of these fees and expenses will be reflected in the applicable prospectus supplement.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15.</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Indemnification of Directors and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Subsection (a) of Section 145 of the DGCL empowers a corporation to indemnify any person who was or is a party or who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w:t>
      </w:r>
    </w:p>
    <w:p>
      <w:pPr>
        <w:pStyle w:val="TextBody"/>
        <w:bidi w:val="0"/>
        <w:spacing w:before="240" w:after="0"/>
        <w:jc w:val="left"/>
        <w:rPr>
          <w:rFonts w:ascii="Times New Roman" w:hAnsi="Times New Roman"/>
          <w:sz w:val="20"/>
        </w:rPr>
      </w:pPr>
      <w:r>
        <w:rPr>
          <w:rFonts w:ascii="Times New Roman" w:hAnsi="Times New Roman"/>
          <w:sz w:val="20"/>
        </w:rPr>
        <w:t xml:space="preserve">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the person acted in any of the capacities set forth above,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 </w:t>
      </w:r>
    </w:p>
    <w:p>
      <w:pPr>
        <w:pStyle w:val="TextBody"/>
        <w:bidi w:val="0"/>
        <w:spacing w:before="240" w:after="0"/>
        <w:jc w:val="left"/>
        <w:rPr>
          <w:rFonts w:ascii="Times New Roman" w:hAnsi="Times New Roman"/>
          <w:sz w:val="20"/>
        </w:rPr>
      </w:pPr>
      <w:r>
        <w:rPr>
          <w:rFonts w:ascii="Times New Roman" w:hAnsi="Times New Roman"/>
          <w:sz w:val="20"/>
        </w:rPr>
        <w:t xml:space="preserve">Section 145 further provides that to the extent a director or officer of a corporation has been successful on the merits or otherwise in the defense of any action, suit or proceeding referred to in subsections (a) and (b) of Section 145, or in defense of any claim, issue or matter therein, such person shall be indemnified against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II-1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expenses (including attorneys’ fees) actually and reasonably incurred by such person in connection therewith; that indemnification provided for by Section 145 shall not be deemed exclusive of any other rights to which the indemnified party may be entitled; and the indemnification provided for by Section 145 shall, unless otherwise provided when authorized or ratified, continue as to a person who has ceased to be a director, officer, employee or agent and shall inure to the benefit of such person’s heirs, executors and administrators. Section 145 also empowers the corporation to purchase and maintain insurance on behalf of any person who is or was a director, officer, employee or agent of the corporation, or is or was serving at the request of the corporation 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his status as such, whether or not the corporation would have the power to indemnify such person against such liabilities under Section 145. </w:t>
      </w:r>
    </w:p>
    <w:p>
      <w:pPr>
        <w:pStyle w:val="TextBody"/>
        <w:bidi w:val="0"/>
        <w:spacing w:before="240" w:after="0"/>
        <w:jc w:val="left"/>
        <w:rPr>
          <w:rFonts w:ascii="Times New Roman" w:hAnsi="Times New Roman"/>
          <w:sz w:val="20"/>
        </w:rPr>
      </w:pPr>
      <w:r>
        <w:rPr>
          <w:rFonts w:ascii="Times New Roman" w:hAnsi="Times New Roman"/>
          <w:sz w:val="20"/>
        </w:rPr>
        <w:t xml:space="preserve">Section 102(b)(7) of the DGCL provides that a corporation’s certificate of incorporation may contain a provision eliminating or limiting the personal liability of a director to the corporation or its stockholders for monetary damages for breach of fiduciary duty as a director, provided that such provision shall not eliminate or limit the liability of a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w:t>
      </w:r>
    </w:p>
    <w:p>
      <w:pPr>
        <w:pStyle w:val="TextBody"/>
        <w:bidi w:val="0"/>
        <w:spacing w:before="240" w:after="0"/>
        <w:jc w:val="left"/>
        <w:rPr>
          <w:rFonts w:ascii="Times New Roman" w:hAnsi="Times New Roman"/>
          <w:sz w:val="20"/>
        </w:rPr>
      </w:pPr>
      <w:r>
        <w:rPr>
          <w:rFonts w:ascii="Times New Roman" w:hAnsi="Times New Roman"/>
          <w:sz w:val="20"/>
        </w:rPr>
        <w:t xml:space="preserve">Additionally, our Certificate of Incorporation limits the liability of our directors to the fullest extent permitted by the DGCL, and our bylaws provide that we will indemnify them to the fullest extent permitted by such law. We have entered into and expect to continue to enter into agreements to indemnify our directors, executive officers and other employees as determined by the Board. Under the terms of such indemnification agreements, we are required to indemnify each of our directors and officers, to the fullest extent permitted by the laws of the state of Delaware if the basis of the indemnitee’s involvement was by reason of the fact that the indemnitee is or was our director or officer or was serving at our request in an official capacity for another entity. We must indemnify our officers and directors against all reasonable fees, expenses, charges and other costs of any type or nature whatsoever, including any and all expenses and obligations paid or incurred in connection with investigating, defending, being a witness in, participating in (including on appeal), or preparing to defend, be a witness or participate in any completed, actual, pending or threatened action, suit, claim or proceeding, whether civil, criminal, administrative or investigative, or establishing or enforcing a right to indemnification under the indemnification agreement. The indemnification agreements also require us, if so requested, to advance all reasonable fees, expenses, charges and other costs that such director or officer incurred, provided that such person will return any such advance if it is ultimately determined that such person is not entitled to indemnification by us. Any claims for indemnification by our directors and officers may reduce our available funds to satisfy successful third-party claims against us and may reduce the amount of money available to us.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9"/>
        <w:gridCol w:w="9186"/>
      </w:tblGrid>
      <w:tr>
        <w:trPr/>
        <w:tc>
          <w:tcPr>
            <w:tcW w:w="1019" w:type="dxa"/>
            <w:tcBorders/>
          </w:tcPr>
          <w:p>
            <w:pPr>
              <w:pStyle w:val="TableContents"/>
              <w:bidi w:val="0"/>
              <w:spacing w:before="0" w:after="283"/>
              <w:jc w:val="left"/>
              <w:rPr>
                <w:b/>
              </w:rPr>
            </w:pPr>
            <w:r>
              <w:rPr>
                <w:b/>
              </w:rPr>
              <w:t>Item 16.</w:t>
            </w:r>
          </w:p>
        </w:tc>
        <w:tc>
          <w:tcPr>
            <w:tcW w:w="9186"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Exhibits </w:t>
            </w:r>
          </w:p>
        </w:tc>
      </w:tr>
    </w:tbl>
    <w:p>
      <w:pPr>
        <w:pStyle w:val="TextBody"/>
        <w:bidi w:val="0"/>
        <w:spacing w:before="120" w:after="0"/>
        <w:jc w:val="left"/>
        <w:rPr>
          <w:rFonts w:ascii="Times New Roman" w:hAnsi="Times New Roman"/>
          <w:sz w:val="20"/>
        </w:rPr>
      </w:pPr>
      <w:r>
        <w:rPr>
          <w:rFonts w:ascii="Times New Roman" w:hAnsi="Times New Roman"/>
          <w:sz w:val="20"/>
        </w:rPr>
        <w:t xml:space="preserve">The following exhibits are included or incorporated by reference in this registration statement on Form S-3: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779"/>
        <w:gridCol w:w="413"/>
        <w:gridCol w:w="9013"/>
      </w:tblGrid>
      <w:tr>
        <w:trPr/>
        <w:tc>
          <w:tcPr>
            <w:tcW w:w="779" w:type="dxa"/>
            <w:tcBorders/>
            <w:vAlign w:val="center"/>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9013" w:type="dxa"/>
            <w:tcBorders/>
            <w:vAlign w:val="center"/>
          </w:tcPr>
          <w:p>
            <w:pPr>
              <w:pStyle w:val="TableContents"/>
              <w:bidi w:val="0"/>
              <w:spacing w:before="0" w:after="283"/>
              <w:jc w:val="left"/>
              <w:rPr>
                <w:sz w:val="4"/>
                <w:szCs w:val="4"/>
              </w:rPr>
            </w:pPr>
            <w:r>
              <w:rPr>
                <w:sz w:val="4"/>
                <w:szCs w:val="4"/>
              </w:rPr>
            </w:r>
          </w:p>
        </w:tc>
      </w:tr>
      <w:tr>
        <w:trPr/>
        <w:tc>
          <w:tcPr>
            <w:tcW w:w="779"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No.</w:t>
            </w:r>
          </w:p>
        </w:tc>
        <w:tc>
          <w:tcPr>
            <w:tcW w:w="413" w:type="dxa"/>
            <w:tcBorders/>
            <w:vAlign w:val="bottom"/>
          </w:tcPr>
          <w:p>
            <w:pPr>
              <w:pStyle w:val="TableContents"/>
              <w:bidi w:val="0"/>
              <w:spacing w:before="0" w:after="283"/>
              <w:jc w:val="left"/>
              <w:rPr/>
            </w:pPr>
            <w:r>
              <w:rPr/>
              <w:t>  </w:t>
            </w:r>
          </w:p>
        </w:tc>
        <w:tc>
          <w:tcPr>
            <w:tcW w:w="901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779" w:type="dxa"/>
            <w:tcBorders/>
            <w:vAlign w:val="center"/>
          </w:tcPr>
          <w:p>
            <w:pPr>
              <w:pStyle w:val="TableContents"/>
              <w:bidi w:val="0"/>
              <w:spacing w:before="0" w:after="283"/>
              <w:jc w:val="left"/>
              <w:rPr>
                <w:sz w:val="4"/>
                <w:szCs w:val="4"/>
              </w:rPr>
            </w:pPr>
            <w:r>
              <w:rPr>
                <w:sz w:val="4"/>
                <w:szCs w:val="4"/>
              </w:rPr>
            </w:r>
          </w:p>
        </w:tc>
        <w:tc>
          <w:tcPr>
            <w:tcW w:w="9426" w:type="dxa"/>
            <w:gridSpan w:val="2"/>
            <w:tcBorders/>
            <w:vAlign w:val="center"/>
          </w:tcPr>
          <w:p>
            <w:pPr>
              <w:pStyle w:val="TableContents"/>
              <w:bidi w:val="0"/>
              <w:spacing w:before="0" w:after="283"/>
              <w:jc w:val="left"/>
              <w:rPr>
                <w:sz w:val="4"/>
                <w:szCs w:val="4"/>
              </w:rPr>
            </w:pPr>
            <w:r>
              <w:rPr>
                <w:sz w:val="4"/>
                <w:szCs w:val="4"/>
              </w:rPr>
            </w:r>
          </w:p>
        </w:tc>
      </w:tr>
      <w:tr>
        <w:trPr/>
        <w:tc>
          <w:tcPr>
            <w:tcW w:w="779" w:type="dxa"/>
            <w:tcBorders/>
          </w:tcPr>
          <w:p>
            <w:pPr>
              <w:pStyle w:val="TableContents"/>
              <w:bidi w:val="0"/>
              <w:spacing w:before="0" w:after="283"/>
              <w:jc w:val="left"/>
              <w:rPr/>
            </w:pPr>
            <w:r>
              <w:rPr/>
              <w:t>  </w:t>
            </w:r>
            <w:r>
              <w:rPr/>
              <w:t>4.1</w:t>
            </w:r>
          </w:p>
        </w:tc>
        <w:tc>
          <w:tcPr>
            <w:tcW w:w="413" w:type="dxa"/>
            <w:tcBorders/>
            <w:vAlign w:val="bottom"/>
          </w:tcPr>
          <w:p>
            <w:pPr>
              <w:pStyle w:val="TableContents"/>
              <w:bidi w:val="0"/>
              <w:spacing w:before="0" w:after="283"/>
              <w:jc w:val="left"/>
              <w:rPr/>
            </w:pPr>
            <w:r>
              <w:rPr/>
              <w:t>  </w:t>
            </w:r>
          </w:p>
        </w:tc>
        <w:tc>
          <w:tcPr>
            <w:tcW w:w="9013" w:type="dxa"/>
            <w:tcBorders/>
          </w:tcPr>
          <w:p>
            <w:pPr>
              <w:pStyle w:val="TableContents"/>
              <w:bidi w:val="0"/>
              <w:spacing w:before="0" w:after="283"/>
              <w:jc w:val="left"/>
              <w:rPr/>
            </w:pPr>
            <w:hyperlink r:id="rId14">
              <w:r>
                <w:rPr>
                  <w:rStyle w:val="InternetLink"/>
                </w:rPr>
                <w:t xml:space="preserve">Certificate of Incorporation of Intuitive Machines, Inc. (incorporated by reference to Exhibit 3.1 to the Company’s Current Report on Form 8-K, filed with the SEC on February 14, 2023). </w:t>
              </w:r>
            </w:hyperlink>
          </w:p>
        </w:tc>
      </w:tr>
      <w:tr>
        <w:trPr>
          <w:trHeight w:val="120" w:hRule="atLeast"/>
        </w:trPr>
        <w:tc>
          <w:tcPr>
            <w:tcW w:w="779" w:type="dxa"/>
            <w:tcBorders/>
            <w:vAlign w:val="center"/>
          </w:tcPr>
          <w:p>
            <w:pPr>
              <w:pStyle w:val="TableContents"/>
              <w:bidi w:val="0"/>
              <w:spacing w:before="0" w:after="283"/>
              <w:jc w:val="left"/>
              <w:rPr>
                <w:sz w:val="4"/>
                <w:szCs w:val="4"/>
              </w:rPr>
            </w:pPr>
            <w:r>
              <w:rPr>
                <w:sz w:val="4"/>
                <w:szCs w:val="4"/>
              </w:rPr>
            </w:r>
          </w:p>
        </w:tc>
        <w:tc>
          <w:tcPr>
            <w:tcW w:w="9426" w:type="dxa"/>
            <w:gridSpan w:val="2"/>
            <w:tcBorders/>
            <w:vAlign w:val="center"/>
          </w:tcPr>
          <w:p>
            <w:pPr>
              <w:pStyle w:val="TableContents"/>
              <w:bidi w:val="0"/>
              <w:spacing w:before="0" w:after="283"/>
              <w:jc w:val="left"/>
              <w:rPr>
                <w:sz w:val="4"/>
                <w:szCs w:val="4"/>
              </w:rPr>
            </w:pPr>
            <w:r>
              <w:rPr>
                <w:sz w:val="4"/>
                <w:szCs w:val="4"/>
              </w:rPr>
            </w:r>
          </w:p>
        </w:tc>
      </w:tr>
      <w:tr>
        <w:trPr/>
        <w:tc>
          <w:tcPr>
            <w:tcW w:w="779" w:type="dxa"/>
            <w:tcBorders/>
          </w:tcPr>
          <w:p>
            <w:pPr>
              <w:pStyle w:val="TableContents"/>
              <w:bidi w:val="0"/>
              <w:spacing w:before="0" w:after="283"/>
              <w:jc w:val="left"/>
              <w:rPr/>
            </w:pPr>
            <w:r>
              <w:rPr/>
              <w:t>  </w:t>
            </w:r>
            <w:r>
              <w:rPr/>
              <w:t>4.2</w:t>
            </w:r>
          </w:p>
        </w:tc>
        <w:tc>
          <w:tcPr>
            <w:tcW w:w="413" w:type="dxa"/>
            <w:tcBorders/>
            <w:vAlign w:val="bottom"/>
          </w:tcPr>
          <w:p>
            <w:pPr>
              <w:pStyle w:val="TableContents"/>
              <w:bidi w:val="0"/>
              <w:spacing w:before="0" w:after="283"/>
              <w:jc w:val="left"/>
              <w:rPr/>
            </w:pPr>
            <w:r>
              <w:rPr/>
              <w:t>  </w:t>
            </w:r>
          </w:p>
        </w:tc>
        <w:tc>
          <w:tcPr>
            <w:tcW w:w="9013" w:type="dxa"/>
            <w:tcBorders/>
          </w:tcPr>
          <w:p>
            <w:pPr>
              <w:pStyle w:val="TableContents"/>
              <w:bidi w:val="0"/>
              <w:spacing w:before="0" w:after="283"/>
              <w:jc w:val="left"/>
              <w:rPr/>
            </w:pPr>
            <w:hyperlink r:id="rId15">
              <w:r>
                <w:rPr>
                  <w:rStyle w:val="InternetLink"/>
                </w:rPr>
                <w:t>Bylaws of Intuitive Machines, Inc. (incorporated by reference to Exhibit 3.2 to the Company’s Current Report on Form 8-K, filed with the SEC on February 14, 2023).</w:t>
              </w:r>
            </w:hyperlink>
          </w:p>
        </w:tc>
      </w:tr>
      <w:tr>
        <w:trPr>
          <w:trHeight w:val="120" w:hRule="atLeast"/>
        </w:trPr>
        <w:tc>
          <w:tcPr>
            <w:tcW w:w="779" w:type="dxa"/>
            <w:tcBorders/>
            <w:vAlign w:val="center"/>
          </w:tcPr>
          <w:p>
            <w:pPr>
              <w:pStyle w:val="TableContents"/>
              <w:bidi w:val="0"/>
              <w:spacing w:before="0" w:after="283"/>
              <w:jc w:val="left"/>
              <w:rPr>
                <w:sz w:val="4"/>
                <w:szCs w:val="4"/>
              </w:rPr>
            </w:pPr>
            <w:r>
              <w:rPr>
                <w:sz w:val="4"/>
                <w:szCs w:val="4"/>
              </w:rPr>
            </w:r>
          </w:p>
        </w:tc>
        <w:tc>
          <w:tcPr>
            <w:tcW w:w="9426" w:type="dxa"/>
            <w:gridSpan w:val="2"/>
            <w:tcBorders/>
            <w:vAlign w:val="center"/>
          </w:tcPr>
          <w:p>
            <w:pPr>
              <w:pStyle w:val="TableContents"/>
              <w:bidi w:val="0"/>
              <w:spacing w:before="0" w:after="283"/>
              <w:jc w:val="left"/>
              <w:rPr>
                <w:sz w:val="4"/>
                <w:szCs w:val="4"/>
              </w:rPr>
            </w:pPr>
            <w:r>
              <w:rPr>
                <w:sz w:val="4"/>
                <w:szCs w:val="4"/>
              </w:rPr>
            </w:r>
          </w:p>
        </w:tc>
      </w:tr>
      <w:tr>
        <w:trPr/>
        <w:tc>
          <w:tcPr>
            <w:tcW w:w="779" w:type="dxa"/>
            <w:tcBorders/>
          </w:tcPr>
          <w:p>
            <w:pPr>
              <w:pStyle w:val="TableContents"/>
              <w:bidi w:val="0"/>
              <w:spacing w:before="0" w:after="283"/>
              <w:jc w:val="left"/>
              <w:rPr/>
            </w:pPr>
            <w:r>
              <w:rPr/>
              <w:t>  </w:t>
            </w:r>
            <w:r>
              <w:rPr/>
              <w:t>5.1</w:t>
            </w:r>
          </w:p>
        </w:tc>
        <w:tc>
          <w:tcPr>
            <w:tcW w:w="413" w:type="dxa"/>
            <w:tcBorders/>
            <w:vAlign w:val="bottom"/>
          </w:tcPr>
          <w:p>
            <w:pPr>
              <w:pStyle w:val="TableContents"/>
              <w:bidi w:val="0"/>
              <w:spacing w:before="0" w:after="283"/>
              <w:jc w:val="left"/>
              <w:rPr/>
            </w:pPr>
            <w:r>
              <w:rPr/>
              <w:t>  </w:t>
            </w:r>
          </w:p>
        </w:tc>
        <w:tc>
          <w:tcPr>
            <w:tcW w:w="9013" w:type="dxa"/>
            <w:tcBorders/>
          </w:tcPr>
          <w:p>
            <w:pPr>
              <w:pStyle w:val="TableContents"/>
              <w:bidi w:val="0"/>
              <w:spacing w:before="0" w:after="283"/>
              <w:jc w:val="left"/>
              <w:rPr/>
            </w:pPr>
            <w:hyperlink w:anchor="d130878dex51.htm">
              <w:r>
                <w:rPr>
                  <w:rStyle w:val="InternetLink"/>
                </w:rPr>
                <w:t xml:space="preserve">Opinion of Simpson Thacher &amp; Bartlett LLP. </w:t>
              </w:r>
            </w:hyperlink>
          </w:p>
        </w:tc>
      </w:tr>
      <w:tr>
        <w:trPr>
          <w:trHeight w:val="120" w:hRule="atLeast"/>
        </w:trPr>
        <w:tc>
          <w:tcPr>
            <w:tcW w:w="779" w:type="dxa"/>
            <w:tcBorders/>
            <w:vAlign w:val="center"/>
          </w:tcPr>
          <w:p>
            <w:pPr>
              <w:pStyle w:val="TableContents"/>
              <w:bidi w:val="0"/>
              <w:spacing w:before="0" w:after="283"/>
              <w:jc w:val="left"/>
              <w:rPr>
                <w:sz w:val="4"/>
                <w:szCs w:val="4"/>
              </w:rPr>
            </w:pPr>
            <w:r>
              <w:rPr>
                <w:sz w:val="4"/>
                <w:szCs w:val="4"/>
              </w:rPr>
            </w:r>
          </w:p>
        </w:tc>
        <w:tc>
          <w:tcPr>
            <w:tcW w:w="9426" w:type="dxa"/>
            <w:gridSpan w:val="2"/>
            <w:tcBorders/>
            <w:vAlign w:val="center"/>
          </w:tcPr>
          <w:p>
            <w:pPr>
              <w:pStyle w:val="TableContents"/>
              <w:bidi w:val="0"/>
              <w:spacing w:before="0" w:after="283"/>
              <w:jc w:val="left"/>
              <w:rPr>
                <w:sz w:val="4"/>
                <w:szCs w:val="4"/>
              </w:rPr>
            </w:pPr>
            <w:r>
              <w:rPr>
                <w:sz w:val="4"/>
                <w:szCs w:val="4"/>
              </w:rPr>
            </w:r>
          </w:p>
        </w:tc>
      </w:tr>
      <w:tr>
        <w:trPr/>
        <w:tc>
          <w:tcPr>
            <w:tcW w:w="779" w:type="dxa"/>
            <w:tcBorders/>
          </w:tcPr>
          <w:p>
            <w:pPr>
              <w:pStyle w:val="TableContents"/>
              <w:bidi w:val="0"/>
              <w:spacing w:before="0" w:after="283"/>
              <w:jc w:val="left"/>
              <w:rPr/>
            </w:pPr>
            <w:r>
              <w:rPr/>
              <w:t> </w:t>
            </w:r>
            <w:r>
              <w:rPr/>
              <w:t>23.1</w:t>
            </w:r>
          </w:p>
        </w:tc>
        <w:tc>
          <w:tcPr>
            <w:tcW w:w="413" w:type="dxa"/>
            <w:tcBorders/>
            <w:vAlign w:val="bottom"/>
          </w:tcPr>
          <w:p>
            <w:pPr>
              <w:pStyle w:val="TableContents"/>
              <w:bidi w:val="0"/>
              <w:spacing w:before="0" w:after="283"/>
              <w:jc w:val="left"/>
              <w:rPr/>
            </w:pPr>
            <w:r>
              <w:rPr/>
              <w:t>  </w:t>
            </w:r>
          </w:p>
        </w:tc>
        <w:tc>
          <w:tcPr>
            <w:tcW w:w="9013" w:type="dxa"/>
            <w:tcBorders/>
          </w:tcPr>
          <w:p>
            <w:pPr>
              <w:pStyle w:val="TableContents"/>
              <w:bidi w:val="0"/>
              <w:spacing w:before="0" w:after="283"/>
              <w:jc w:val="left"/>
              <w:rPr/>
            </w:pPr>
            <w:hyperlink w:anchor="d130878dex231.htm">
              <w:r>
                <w:rPr>
                  <w:rStyle w:val="InternetLink"/>
                </w:rPr>
                <w:t xml:space="preserve">Consent of Grant Thornton LLP (with respect to the Company).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II-2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center"/>
        <w:tblInd w:w="0" w:type="dxa"/>
        <w:tblLayout w:type="fixed"/>
        <w:tblCellMar>
          <w:top w:w="0" w:type="dxa"/>
          <w:left w:w="0" w:type="dxa"/>
          <w:bottom w:w="0" w:type="dxa"/>
          <w:right w:w="0" w:type="dxa"/>
        </w:tblCellMar>
      </w:tblPr>
      <w:tblGrid>
        <w:gridCol w:w="779"/>
        <w:gridCol w:w="413"/>
        <w:gridCol w:w="9013"/>
      </w:tblGrid>
      <w:tr>
        <w:trPr/>
        <w:tc>
          <w:tcPr>
            <w:tcW w:w="779" w:type="dxa"/>
            <w:tcBorders/>
            <w:vAlign w:val="center"/>
          </w:tcPr>
          <w:p>
            <w:pPr>
              <w:pStyle w:val="TableContents"/>
              <w:bidi w:val="0"/>
              <w:spacing w:before="0" w:after="283"/>
              <w:jc w:val="left"/>
              <w:rPr>
                <w:sz w:val="4"/>
                <w:szCs w:val="4"/>
              </w:rPr>
            </w:pPr>
            <w:r>
              <w:rPr>
                <w:sz w:val="4"/>
                <w:szCs w:val="4"/>
              </w:rPr>
            </w:r>
          </w:p>
        </w:tc>
        <w:tc>
          <w:tcPr>
            <w:tcW w:w="413" w:type="dxa"/>
            <w:tcBorders/>
            <w:vAlign w:val="bottom"/>
          </w:tcPr>
          <w:p>
            <w:pPr>
              <w:pStyle w:val="TableContents"/>
              <w:bidi w:val="0"/>
              <w:spacing w:before="0" w:after="283"/>
              <w:jc w:val="left"/>
              <w:rPr>
                <w:sz w:val="4"/>
                <w:szCs w:val="4"/>
              </w:rPr>
            </w:pPr>
            <w:r>
              <w:rPr>
                <w:sz w:val="4"/>
                <w:szCs w:val="4"/>
              </w:rPr>
            </w:r>
          </w:p>
        </w:tc>
        <w:tc>
          <w:tcPr>
            <w:tcW w:w="9013" w:type="dxa"/>
            <w:tcBorders/>
            <w:vAlign w:val="center"/>
          </w:tcPr>
          <w:p>
            <w:pPr>
              <w:pStyle w:val="TableContents"/>
              <w:bidi w:val="0"/>
              <w:spacing w:before="0" w:after="283"/>
              <w:jc w:val="left"/>
              <w:rPr>
                <w:sz w:val="4"/>
                <w:szCs w:val="4"/>
              </w:rPr>
            </w:pPr>
            <w:r>
              <w:rPr>
                <w:sz w:val="4"/>
                <w:szCs w:val="4"/>
              </w:rPr>
            </w:r>
          </w:p>
        </w:tc>
      </w:tr>
      <w:tr>
        <w:trPr/>
        <w:tc>
          <w:tcPr>
            <w:tcW w:w="779" w:type="dxa"/>
            <w:tcBorders>
              <w:bottom w:val="single" w:sz="8" w:space="0" w:color="000000"/>
            </w:tcBorders>
            <w:tcMar>
              <w:bottom w:w="28" w:type="dxa"/>
            </w:tcMar>
            <w:vAlign w:val="bottom"/>
          </w:tcPr>
          <w:p>
            <w:pPr>
              <w:pStyle w:val="TableContents"/>
              <w:bidi w:val="0"/>
              <w:spacing w:before="0" w:after="283"/>
              <w:jc w:val="center"/>
              <w:rPr>
                <w:b/>
              </w:rPr>
            </w:pPr>
            <w:r>
              <w:rPr>
                <w:b/>
              </w:rPr>
              <w:t>Exhibit</w:t>
              <w:br/>
              <w:t>No.</w:t>
            </w:r>
          </w:p>
        </w:tc>
        <w:tc>
          <w:tcPr>
            <w:tcW w:w="413" w:type="dxa"/>
            <w:tcBorders/>
            <w:vAlign w:val="bottom"/>
          </w:tcPr>
          <w:p>
            <w:pPr>
              <w:pStyle w:val="TableContents"/>
              <w:bidi w:val="0"/>
              <w:spacing w:before="0" w:after="283"/>
              <w:jc w:val="left"/>
              <w:rPr/>
            </w:pPr>
            <w:r>
              <w:rPr/>
              <w:t>  </w:t>
            </w:r>
          </w:p>
        </w:tc>
        <w:tc>
          <w:tcPr>
            <w:tcW w:w="9013"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Description</w:t>
            </w:r>
          </w:p>
        </w:tc>
      </w:tr>
      <w:tr>
        <w:trPr>
          <w:trHeight w:val="120" w:hRule="atLeast"/>
        </w:trPr>
        <w:tc>
          <w:tcPr>
            <w:tcW w:w="779" w:type="dxa"/>
            <w:tcBorders/>
            <w:vAlign w:val="center"/>
          </w:tcPr>
          <w:p>
            <w:pPr>
              <w:pStyle w:val="TableContents"/>
              <w:bidi w:val="0"/>
              <w:spacing w:before="0" w:after="283"/>
              <w:jc w:val="left"/>
              <w:rPr>
                <w:sz w:val="4"/>
                <w:szCs w:val="4"/>
              </w:rPr>
            </w:pPr>
            <w:r>
              <w:rPr>
                <w:sz w:val="4"/>
                <w:szCs w:val="4"/>
              </w:rPr>
            </w:r>
          </w:p>
        </w:tc>
        <w:tc>
          <w:tcPr>
            <w:tcW w:w="9426" w:type="dxa"/>
            <w:gridSpan w:val="2"/>
            <w:tcBorders/>
            <w:vAlign w:val="center"/>
          </w:tcPr>
          <w:p>
            <w:pPr>
              <w:pStyle w:val="TableContents"/>
              <w:bidi w:val="0"/>
              <w:spacing w:before="0" w:after="283"/>
              <w:jc w:val="left"/>
              <w:rPr>
                <w:sz w:val="4"/>
                <w:szCs w:val="4"/>
              </w:rPr>
            </w:pPr>
            <w:r>
              <w:rPr>
                <w:sz w:val="4"/>
                <w:szCs w:val="4"/>
              </w:rPr>
            </w:r>
          </w:p>
        </w:tc>
      </w:tr>
      <w:tr>
        <w:trPr/>
        <w:tc>
          <w:tcPr>
            <w:tcW w:w="779" w:type="dxa"/>
            <w:tcBorders/>
          </w:tcPr>
          <w:p>
            <w:pPr>
              <w:pStyle w:val="TableContents"/>
              <w:bidi w:val="0"/>
              <w:spacing w:before="0" w:after="283"/>
              <w:jc w:val="left"/>
              <w:rPr/>
            </w:pPr>
            <w:r>
              <w:rPr/>
              <w:t> </w:t>
            </w:r>
            <w:r>
              <w:rPr/>
              <w:t>23.2</w:t>
            </w:r>
          </w:p>
        </w:tc>
        <w:tc>
          <w:tcPr>
            <w:tcW w:w="413" w:type="dxa"/>
            <w:tcBorders/>
            <w:vAlign w:val="bottom"/>
          </w:tcPr>
          <w:p>
            <w:pPr>
              <w:pStyle w:val="TableContents"/>
              <w:bidi w:val="0"/>
              <w:spacing w:before="0" w:after="283"/>
              <w:jc w:val="left"/>
              <w:rPr/>
            </w:pPr>
            <w:r>
              <w:rPr/>
              <w:t>  </w:t>
            </w:r>
          </w:p>
        </w:tc>
        <w:tc>
          <w:tcPr>
            <w:tcW w:w="9013" w:type="dxa"/>
            <w:tcBorders/>
          </w:tcPr>
          <w:p>
            <w:pPr>
              <w:pStyle w:val="TableContents"/>
              <w:bidi w:val="0"/>
              <w:spacing w:before="0" w:after="283"/>
              <w:jc w:val="left"/>
              <w:rPr/>
            </w:pPr>
            <w:hyperlink w:anchor="d130878dex232.htm">
              <w:r>
                <w:rPr>
                  <w:rStyle w:val="InternetLink"/>
                </w:rPr>
                <w:t xml:space="preserve">Consent of KPMG LLP (with respect to Lanteris Space Holdings LLC). </w:t>
              </w:r>
            </w:hyperlink>
          </w:p>
        </w:tc>
      </w:tr>
      <w:tr>
        <w:trPr>
          <w:trHeight w:val="120" w:hRule="atLeast"/>
        </w:trPr>
        <w:tc>
          <w:tcPr>
            <w:tcW w:w="779" w:type="dxa"/>
            <w:tcBorders/>
            <w:vAlign w:val="center"/>
          </w:tcPr>
          <w:p>
            <w:pPr>
              <w:pStyle w:val="TableContents"/>
              <w:bidi w:val="0"/>
              <w:spacing w:before="0" w:after="283"/>
              <w:jc w:val="left"/>
              <w:rPr>
                <w:sz w:val="4"/>
                <w:szCs w:val="4"/>
              </w:rPr>
            </w:pPr>
            <w:r>
              <w:rPr>
                <w:sz w:val="4"/>
                <w:szCs w:val="4"/>
              </w:rPr>
            </w:r>
          </w:p>
        </w:tc>
        <w:tc>
          <w:tcPr>
            <w:tcW w:w="9426" w:type="dxa"/>
            <w:gridSpan w:val="2"/>
            <w:tcBorders/>
            <w:vAlign w:val="center"/>
          </w:tcPr>
          <w:p>
            <w:pPr>
              <w:pStyle w:val="TableContents"/>
              <w:bidi w:val="0"/>
              <w:spacing w:before="0" w:after="283"/>
              <w:jc w:val="left"/>
              <w:rPr>
                <w:sz w:val="4"/>
                <w:szCs w:val="4"/>
              </w:rPr>
            </w:pPr>
            <w:r>
              <w:rPr>
                <w:sz w:val="4"/>
                <w:szCs w:val="4"/>
              </w:rPr>
            </w:r>
          </w:p>
        </w:tc>
      </w:tr>
      <w:tr>
        <w:trPr/>
        <w:tc>
          <w:tcPr>
            <w:tcW w:w="779" w:type="dxa"/>
            <w:tcBorders/>
          </w:tcPr>
          <w:p>
            <w:pPr>
              <w:pStyle w:val="TableContents"/>
              <w:bidi w:val="0"/>
              <w:spacing w:before="0" w:after="283"/>
              <w:jc w:val="left"/>
              <w:rPr/>
            </w:pPr>
            <w:r>
              <w:rPr/>
              <w:t> </w:t>
            </w:r>
            <w:r>
              <w:rPr/>
              <w:t>23.3</w:t>
            </w:r>
          </w:p>
        </w:tc>
        <w:tc>
          <w:tcPr>
            <w:tcW w:w="413" w:type="dxa"/>
            <w:tcBorders/>
            <w:vAlign w:val="bottom"/>
          </w:tcPr>
          <w:p>
            <w:pPr>
              <w:pStyle w:val="TableContents"/>
              <w:bidi w:val="0"/>
              <w:spacing w:before="0" w:after="283"/>
              <w:jc w:val="left"/>
              <w:rPr/>
            </w:pPr>
            <w:r>
              <w:rPr/>
              <w:t>  </w:t>
            </w:r>
          </w:p>
        </w:tc>
        <w:tc>
          <w:tcPr>
            <w:tcW w:w="9013" w:type="dxa"/>
            <w:tcBorders/>
          </w:tcPr>
          <w:p>
            <w:pPr>
              <w:pStyle w:val="TableContents"/>
              <w:bidi w:val="0"/>
              <w:spacing w:before="0" w:after="283"/>
              <w:jc w:val="left"/>
              <w:rPr/>
            </w:pPr>
            <w:hyperlink w:anchor="d130878dex51.htm">
              <w:r>
                <w:rPr>
                  <w:rStyle w:val="InternetLink"/>
                </w:rPr>
                <w:t xml:space="preserve">Consent of Simpson Thacher &amp; Bartlett LLP (included in Exhibit 5.1). </w:t>
              </w:r>
            </w:hyperlink>
          </w:p>
        </w:tc>
      </w:tr>
      <w:tr>
        <w:trPr>
          <w:trHeight w:val="120" w:hRule="atLeast"/>
        </w:trPr>
        <w:tc>
          <w:tcPr>
            <w:tcW w:w="779" w:type="dxa"/>
            <w:tcBorders/>
            <w:vAlign w:val="center"/>
          </w:tcPr>
          <w:p>
            <w:pPr>
              <w:pStyle w:val="TableContents"/>
              <w:bidi w:val="0"/>
              <w:spacing w:before="0" w:after="283"/>
              <w:jc w:val="left"/>
              <w:rPr>
                <w:sz w:val="4"/>
                <w:szCs w:val="4"/>
              </w:rPr>
            </w:pPr>
            <w:r>
              <w:rPr>
                <w:sz w:val="4"/>
                <w:szCs w:val="4"/>
              </w:rPr>
            </w:r>
          </w:p>
        </w:tc>
        <w:tc>
          <w:tcPr>
            <w:tcW w:w="9426" w:type="dxa"/>
            <w:gridSpan w:val="2"/>
            <w:tcBorders/>
            <w:vAlign w:val="center"/>
          </w:tcPr>
          <w:p>
            <w:pPr>
              <w:pStyle w:val="TableContents"/>
              <w:bidi w:val="0"/>
              <w:spacing w:before="0" w:after="283"/>
              <w:jc w:val="left"/>
              <w:rPr>
                <w:sz w:val="4"/>
                <w:szCs w:val="4"/>
              </w:rPr>
            </w:pPr>
            <w:r>
              <w:rPr>
                <w:sz w:val="4"/>
                <w:szCs w:val="4"/>
              </w:rPr>
            </w:r>
          </w:p>
        </w:tc>
      </w:tr>
      <w:tr>
        <w:trPr/>
        <w:tc>
          <w:tcPr>
            <w:tcW w:w="779" w:type="dxa"/>
            <w:tcBorders/>
          </w:tcPr>
          <w:p>
            <w:pPr>
              <w:pStyle w:val="TableContents"/>
              <w:bidi w:val="0"/>
              <w:spacing w:before="0" w:after="283"/>
              <w:jc w:val="left"/>
              <w:rPr/>
            </w:pPr>
            <w:r>
              <w:rPr/>
              <w:t> </w:t>
            </w:r>
            <w:r>
              <w:rPr/>
              <w:t>24</w:t>
            </w:r>
          </w:p>
        </w:tc>
        <w:tc>
          <w:tcPr>
            <w:tcW w:w="413" w:type="dxa"/>
            <w:tcBorders/>
            <w:vAlign w:val="bottom"/>
          </w:tcPr>
          <w:p>
            <w:pPr>
              <w:pStyle w:val="TableContents"/>
              <w:bidi w:val="0"/>
              <w:spacing w:before="0" w:after="283"/>
              <w:jc w:val="left"/>
              <w:rPr/>
            </w:pPr>
            <w:r>
              <w:rPr/>
              <w:t>  </w:t>
            </w:r>
          </w:p>
        </w:tc>
        <w:tc>
          <w:tcPr>
            <w:tcW w:w="9013" w:type="dxa"/>
            <w:tcBorders/>
          </w:tcPr>
          <w:p>
            <w:pPr>
              <w:pStyle w:val="TableContents"/>
              <w:bidi w:val="0"/>
              <w:spacing w:before="0" w:after="283"/>
              <w:jc w:val="left"/>
              <w:rPr/>
            </w:pPr>
            <w:hyperlink w:anchor="sig">
              <w:r>
                <w:rPr>
                  <w:rStyle w:val="InternetLink"/>
                </w:rPr>
                <w:t xml:space="preserve">Power of Attorney (included on the signature page). </w:t>
              </w:r>
            </w:hyperlink>
          </w:p>
        </w:tc>
      </w:tr>
      <w:tr>
        <w:trPr>
          <w:trHeight w:val="120" w:hRule="atLeast"/>
        </w:trPr>
        <w:tc>
          <w:tcPr>
            <w:tcW w:w="779" w:type="dxa"/>
            <w:tcBorders/>
            <w:vAlign w:val="center"/>
          </w:tcPr>
          <w:p>
            <w:pPr>
              <w:pStyle w:val="TableContents"/>
              <w:bidi w:val="0"/>
              <w:spacing w:before="0" w:after="283"/>
              <w:jc w:val="left"/>
              <w:rPr>
                <w:sz w:val="4"/>
                <w:szCs w:val="4"/>
              </w:rPr>
            </w:pPr>
            <w:r>
              <w:rPr>
                <w:sz w:val="4"/>
                <w:szCs w:val="4"/>
              </w:rPr>
            </w:r>
          </w:p>
        </w:tc>
        <w:tc>
          <w:tcPr>
            <w:tcW w:w="9426" w:type="dxa"/>
            <w:gridSpan w:val="2"/>
            <w:tcBorders/>
            <w:vAlign w:val="center"/>
          </w:tcPr>
          <w:p>
            <w:pPr>
              <w:pStyle w:val="TableContents"/>
              <w:bidi w:val="0"/>
              <w:spacing w:before="0" w:after="283"/>
              <w:jc w:val="left"/>
              <w:rPr>
                <w:sz w:val="4"/>
                <w:szCs w:val="4"/>
              </w:rPr>
            </w:pPr>
            <w:r>
              <w:rPr>
                <w:sz w:val="4"/>
                <w:szCs w:val="4"/>
              </w:rPr>
            </w:r>
          </w:p>
        </w:tc>
      </w:tr>
      <w:tr>
        <w:trPr/>
        <w:tc>
          <w:tcPr>
            <w:tcW w:w="779" w:type="dxa"/>
            <w:tcBorders/>
          </w:tcPr>
          <w:p>
            <w:pPr>
              <w:pStyle w:val="TableContents"/>
              <w:bidi w:val="0"/>
              <w:spacing w:before="0" w:after="283"/>
              <w:jc w:val="left"/>
              <w:rPr/>
            </w:pPr>
            <w:r>
              <w:rPr/>
              <w:t>107.1</w:t>
            </w:r>
          </w:p>
        </w:tc>
        <w:tc>
          <w:tcPr>
            <w:tcW w:w="413" w:type="dxa"/>
            <w:tcBorders/>
            <w:vAlign w:val="bottom"/>
          </w:tcPr>
          <w:p>
            <w:pPr>
              <w:pStyle w:val="TableContents"/>
              <w:bidi w:val="0"/>
              <w:spacing w:before="0" w:after="283"/>
              <w:jc w:val="left"/>
              <w:rPr/>
            </w:pPr>
            <w:r>
              <w:rPr/>
              <w:t>  </w:t>
            </w:r>
          </w:p>
        </w:tc>
        <w:tc>
          <w:tcPr>
            <w:tcW w:w="9013" w:type="dxa"/>
            <w:tcBorders/>
          </w:tcPr>
          <w:p>
            <w:pPr>
              <w:pStyle w:val="TableContents"/>
              <w:bidi w:val="0"/>
              <w:spacing w:before="0" w:after="283"/>
              <w:jc w:val="left"/>
              <w:rPr/>
            </w:pPr>
            <w:hyperlink w:anchor="d130878dexfilingfees.htm">
              <w:r>
                <w:rPr>
                  <w:rStyle w:val="InternetLink"/>
                </w:rPr>
                <w:t xml:space="preserve">Filing Fee Table. </w:t>
              </w:r>
            </w:hyperlink>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20"/>
        <w:gridCol w:w="9185"/>
      </w:tblGrid>
      <w:tr>
        <w:trPr/>
        <w:tc>
          <w:tcPr>
            <w:tcW w:w="1020" w:type="dxa"/>
            <w:tcBorders/>
          </w:tcPr>
          <w:p>
            <w:pPr>
              <w:pStyle w:val="TableContents"/>
              <w:bidi w:val="0"/>
              <w:spacing w:before="0" w:after="283"/>
              <w:jc w:val="left"/>
              <w:rPr>
                <w:b/>
              </w:rPr>
            </w:pPr>
            <w:r>
              <w:rPr>
                <w:b/>
              </w:rPr>
              <w:t>Item 17.</w:t>
            </w:r>
          </w:p>
        </w:tc>
        <w:tc>
          <w:tcPr>
            <w:tcW w:w="9185" w:type="dxa"/>
            <w:tcBorders/>
          </w:tcPr>
          <w:p>
            <w:pPr>
              <w:pStyle w:val="TableContents"/>
              <w:bidi w:val="0"/>
              <w:spacing w:before="0" w:after="0"/>
              <w:jc w:val="left"/>
              <w:rPr>
                <w:rFonts w:ascii="Times New Roman" w:hAnsi="Times New Roman"/>
                <w:b/>
                <w:sz w:val="20"/>
              </w:rPr>
            </w:pPr>
            <w:r>
              <w:rPr>
                <w:rFonts w:ascii="Times New Roman" w:hAnsi="Times New Roman"/>
                <w:b/>
                <w:sz w:val="20"/>
              </w:rPr>
              <w:t xml:space="preserve">Undertakings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(a)</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(1)</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file, during any period in which offers or sales are being made, a post-effective amendment to this registration statement: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prospectus required by Section 10(a)(3) of the Securities Act of 1933;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Filing Fee Tables” or “Calculation of Registration Fee” table, as applicable, in the effective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include any material information with respect to the plan of distribution not previously disclosed in the registration statement or any material change to such information in the registration statement; </w:t>
            </w:r>
          </w:p>
        </w:tc>
      </w:tr>
    </w:tbl>
    <w:p>
      <w:pPr>
        <w:pStyle w:val="TextBody"/>
        <w:bidi w:val="0"/>
        <w:spacing w:before="120" w:after="0"/>
        <w:jc w:val="left"/>
        <w:rPr>
          <w:rFonts w:ascii="Times New Roman" w:hAnsi="Times New Roman"/>
          <w:sz w:val="20"/>
        </w:rPr>
      </w:pPr>
      <w:r>
        <w:rPr>
          <w:rFonts w:ascii="Times New Roman" w:hAnsi="Times New Roman"/>
          <w:i/>
          <w:sz w:val="20"/>
        </w:rPr>
        <w:t>provided, however,</w:t>
      </w:r>
      <w:r>
        <w:rPr>
          <w:rFonts w:ascii="Times New Roman" w:hAnsi="Times New Roman"/>
          <w:sz w:val="20"/>
        </w:rPr>
        <w:t xml:space="preserve"> that: Paragraphs (a)(1)(i), (a)(1)(ii) and (a)(1)(iii) of this section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(2)</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510"/>
        <w:gridCol w:w="9289"/>
      </w:tblGrid>
      <w:tr>
        <w:trPr/>
        <w:tc>
          <w:tcPr>
            <w:tcW w:w="406" w:type="dxa"/>
            <w:tcBorders/>
            <w:vAlign w:val="center"/>
          </w:tcPr>
          <w:p>
            <w:pPr>
              <w:pStyle w:val="TableContents"/>
              <w:bidi w:val="0"/>
              <w:spacing w:before="0" w:after="283"/>
              <w:jc w:val="left"/>
              <w:rPr/>
            </w:pPr>
            <w:r>
              <w:rPr/>
              <w:t> </w:t>
            </w:r>
          </w:p>
        </w:tc>
        <w:tc>
          <w:tcPr>
            <w:tcW w:w="510" w:type="dxa"/>
            <w:tcBorders/>
          </w:tcPr>
          <w:p>
            <w:pPr>
              <w:pStyle w:val="TableContents"/>
              <w:bidi w:val="0"/>
              <w:spacing w:before="0" w:after="283"/>
              <w:jc w:val="left"/>
              <w:rPr/>
            </w:pPr>
            <w:r>
              <w:rPr/>
              <w:t>(3)</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 remove from registration by means of a post-effective amendment any of the securities being registered which remain unsold at the termination of the offering.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(4)</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under the Securities Act of 1933 to any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filed by the registrant pursuant to Rule 424(b)(3) shall be deemed to be part of the registration statement as of the date the filed prospectus was deemed part of and included in the registration statement;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II-3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tbl>
      <w:tblPr>
        <w:tblW w:w="5000" w:type="pct"/>
        <w:jc w:val="left"/>
        <w:tblInd w:w="0" w:type="dxa"/>
        <w:tblLayout w:type="fixed"/>
        <w:tblCellMar>
          <w:top w:w="0" w:type="dxa"/>
          <w:left w:w="0" w:type="dxa"/>
          <w:bottom w:w="0" w:type="dxa"/>
          <w:right w:w="0" w:type="dxa"/>
        </w:tblCellMar>
      </w:tblPr>
      <w:tblGrid>
        <w:gridCol w:w="1322"/>
        <w:gridCol w:w="8883"/>
      </w:tblGrid>
      <w:tr>
        <w:trPr/>
        <w:tc>
          <w:tcPr>
            <w:tcW w:w="1322" w:type="dxa"/>
            <w:tcBorders/>
            <w:vAlign w:val="center"/>
          </w:tcPr>
          <w:p>
            <w:pPr>
              <w:pStyle w:val="TableContents"/>
              <w:bidi w:val="0"/>
              <w:spacing w:before="0" w:after="283"/>
              <w:jc w:val="left"/>
              <w:rPr/>
            </w:pPr>
            <w:r>
              <w:rPr/>
              <w:t> </w:t>
            </w:r>
          </w:p>
        </w:tc>
        <w:tc>
          <w:tcPr>
            <w:tcW w:w="8883" w:type="dxa"/>
            <w:tcBorders/>
          </w:tcPr>
          <w:p>
            <w:pPr>
              <w:pStyle w:val="TableContents"/>
              <w:bidi w:val="0"/>
              <w:spacing w:before="0" w:after="283"/>
              <w:jc w:val="left"/>
              <w:rPr/>
            </w:pPr>
            <w:r>
              <w:rPr/>
              <w:t xml:space="preserve">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509"/>
        <w:gridCol w:w="9289"/>
      </w:tblGrid>
      <w:tr>
        <w:trPr/>
        <w:tc>
          <w:tcPr>
            <w:tcW w:w="407" w:type="dxa"/>
            <w:tcBorders/>
            <w:vAlign w:val="center"/>
          </w:tcPr>
          <w:p>
            <w:pPr>
              <w:pStyle w:val="TableContents"/>
              <w:bidi w:val="0"/>
              <w:spacing w:before="0" w:after="283"/>
              <w:jc w:val="left"/>
              <w:rPr/>
            </w:pPr>
            <w:r>
              <w:rPr/>
              <w:t> </w:t>
            </w:r>
          </w:p>
        </w:tc>
        <w:tc>
          <w:tcPr>
            <w:tcW w:w="509" w:type="dxa"/>
            <w:tcBorders/>
          </w:tcPr>
          <w:p>
            <w:pPr>
              <w:pStyle w:val="TableContents"/>
              <w:bidi w:val="0"/>
              <w:spacing w:before="0" w:after="283"/>
              <w:jc w:val="left"/>
              <w:rPr/>
            </w:pPr>
            <w:r>
              <w:rPr/>
              <w:t>(5)</w:t>
            </w:r>
          </w:p>
        </w:tc>
        <w:tc>
          <w:tcPr>
            <w:tcW w:w="928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That, for the purpose of determining liability of the registrant under the Securities Act of 1933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6"/>
        <w:gridCol w:w="408"/>
        <w:gridCol w:w="8881"/>
      </w:tblGrid>
      <w:tr>
        <w:trPr/>
        <w:tc>
          <w:tcPr>
            <w:tcW w:w="916"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preliminary prospectus or prospectus of the undersigned registrant relating to the offering required to be filed pursuant to Rule 424;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7"/>
        <w:gridCol w:w="8881"/>
      </w:tblGrid>
      <w:tr>
        <w:trPr/>
        <w:tc>
          <w:tcPr>
            <w:tcW w:w="917"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w:t>
            </w:r>
          </w:p>
        </w:tc>
        <w:tc>
          <w:tcPr>
            <w:tcW w:w="888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free writing prospectus relating to the offering prepared by or on behalf of the undersigned registrant or used or referred to by the undersigned registrant;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8"/>
        <w:gridCol w:w="407"/>
        <w:gridCol w:w="8880"/>
      </w:tblGrid>
      <w:tr>
        <w:trPr/>
        <w:tc>
          <w:tcPr>
            <w:tcW w:w="918" w:type="dxa"/>
            <w:tcBorders/>
            <w:vAlign w:val="center"/>
          </w:tcPr>
          <w:p>
            <w:pPr>
              <w:pStyle w:val="TableContents"/>
              <w:bidi w:val="0"/>
              <w:spacing w:before="0" w:after="283"/>
              <w:jc w:val="left"/>
              <w:rPr/>
            </w:pPr>
            <w:r>
              <w:rPr/>
              <w:t> </w:t>
            </w:r>
          </w:p>
        </w:tc>
        <w:tc>
          <w:tcPr>
            <w:tcW w:w="407" w:type="dxa"/>
            <w:tcBorders/>
          </w:tcPr>
          <w:p>
            <w:pPr>
              <w:pStyle w:val="TableContents"/>
              <w:bidi w:val="0"/>
              <w:spacing w:before="0" w:after="283"/>
              <w:jc w:val="left"/>
              <w:rPr/>
            </w:pPr>
            <w:r>
              <w:rPr/>
              <w:t>(iii)</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portion of any other free writing prospectus relating to the offering containing material information about the undersigned registrant or its securities provided by or on behalf of the undersigned registrant; and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917"/>
        <w:gridCol w:w="408"/>
        <w:gridCol w:w="8880"/>
      </w:tblGrid>
      <w:tr>
        <w:trPr/>
        <w:tc>
          <w:tcPr>
            <w:tcW w:w="917" w:type="dxa"/>
            <w:tcBorders/>
            <w:vAlign w:val="center"/>
          </w:tcPr>
          <w:p>
            <w:pPr>
              <w:pStyle w:val="TableContents"/>
              <w:bidi w:val="0"/>
              <w:spacing w:before="0" w:after="283"/>
              <w:jc w:val="left"/>
              <w:rPr/>
            </w:pPr>
            <w:r>
              <w:rPr/>
              <w:t> </w:t>
            </w:r>
          </w:p>
        </w:tc>
        <w:tc>
          <w:tcPr>
            <w:tcW w:w="408" w:type="dxa"/>
            <w:tcBorders/>
          </w:tcPr>
          <w:p>
            <w:pPr>
              <w:pStyle w:val="TableContents"/>
              <w:bidi w:val="0"/>
              <w:spacing w:before="0" w:after="283"/>
              <w:jc w:val="left"/>
              <w:rPr/>
            </w:pPr>
            <w:r>
              <w:rPr/>
              <w:t>(iv)</w:t>
            </w:r>
          </w:p>
        </w:tc>
        <w:tc>
          <w:tcPr>
            <w:tcW w:w="8880"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Any other communication that is an offer in the offering made by the undersigned registrant to the purchaser.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(b)</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The undersigned registrant hereby undertakes that, for purposes of determining any liability under the Securities Act of 1933, each filing of the registrant’s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7"/>
        <w:gridCol w:w="9798"/>
      </w:tblGrid>
      <w:tr>
        <w:trPr/>
        <w:tc>
          <w:tcPr>
            <w:tcW w:w="407" w:type="dxa"/>
            <w:tcBorders/>
          </w:tcPr>
          <w:p>
            <w:pPr>
              <w:pStyle w:val="TableContents"/>
              <w:bidi w:val="0"/>
              <w:spacing w:before="0" w:after="283"/>
              <w:jc w:val="left"/>
              <w:rPr/>
            </w:pPr>
            <w:r>
              <w:rPr/>
              <w:t>(c)</w:t>
            </w:r>
          </w:p>
        </w:tc>
        <w:tc>
          <w:tcPr>
            <w:tcW w:w="9798"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Insofar as indemnification for liabilities arising under the Securities Act of 1933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II-4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bookmarkStart w:id="15" w:name="sig"/>
      <w:bookmarkEnd w:id="15"/>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June 2, 2026.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0"/>
        <w:gridCol w:w="60"/>
        <w:gridCol w:w="3622"/>
      </w:tblGrid>
      <w:tr>
        <w:trPr/>
        <w:tc>
          <w:tcPr>
            <w:tcW w:w="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2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INTUITIVE MACHINES, INC.</w:t>
            </w:r>
          </w:p>
        </w:tc>
      </w:tr>
      <w:tr>
        <w:trPr>
          <w:trHeight w:val="240" w:hRule="atLeast"/>
        </w:trPr>
        <w:tc>
          <w:tcPr>
            <w:tcW w:w="400" w:type="dxa"/>
            <w:tcBorders/>
            <w:vAlign w:val="center"/>
          </w:tcPr>
          <w:p>
            <w:pPr>
              <w:pStyle w:val="TableContents"/>
              <w:bidi w:val="0"/>
              <w:spacing w:before="0" w:after="283"/>
              <w:jc w:val="left"/>
              <w:rPr>
                <w:sz w:val="4"/>
                <w:szCs w:val="4"/>
              </w:rPr>
            </w:pPr>
            <w:r>
              <w:rPr>
                <w:sz w:val="4"/>
                <w:szCs w:val="4"/>
              </w:rPr>
            </w:r>
          </w:p>
        </w:tc>
        <w:tc>
          <w:tcPr>
            <w:tcW w:w="3682" w:type="dxa"/>
            <w:gridSpan w:val="2"/>
            <w:tcBorders/>
            <w:vAlign w:val="center"/>
          </w:tcPr>
          <w:p>
            <w:pPr>
              <w:pStyle w:val="TableContents"/>
              <w:bidi w:val="0"/>
              <w:spacing w:before="0" w:after="283"/>
              <w:jc w:val="left"/>
              <w:rPr>
                <w:sz w:val="4"/>
                <w:szCs w:val="4"/>
              </w:rPr>
            </w:pPr>
            <w:r>
              <w:rPr>
                <w:sz w:val="4"/>
                <w:szCs w:val="4"/>
              </w:rPr>
            </w:r>
          </w:p>
        </w:tc>
      </w:tr>
      <w:tr>
        <w:trPr/>
        <w:tc>
          <w:tcPr>
            <w:tcW w:w="400" w:type="dxa"/>
            <w:tcBorders/>
          </w:tcPr>
          <w:p>
            <w:pPr>
              <w:pStyle w:val="TableContents"/>
              <w:bidi w:val="0"/>
              <w:spacing w:before="0" w:after="283"/>
              <w:jc w:val="left"/>
              <w:rPr/>
            </w:pPr>
            <w:r>
              <w:rPr/>
              <w:t>By:</w:t>
            </w:r>
          </w:p>
        </w:tc>
        <w:tc>
          <w:tcPr>
            <w:tcW w:w="60" w:type="dxa"/>
            <w:tcBorders>
              <w:bottom w:val="single" w:sz="2" w:space="0" w:color="000000"/>
            </w:tcBorders>
            <w:tcMar>
              <w:bottom w:w="28" w:type="dxa"/>
            </w:tcMar>
            <w:vAlign w:val="bottom"/>
          </w:tcPr>
          <w:p>
            <w:pPr>
              <w:pStyle w:val="TableContents"/>
              <w:bidi w:val="0"/>
              <w:spacing w:before="0" w:after="283"/>
              <w:jc w:val="left"/>
              <w:rPr/>
            </w:pPr>
            <w:r>
              <w:rPr/>
              <w:t> </w:t>
            </w:r>
          </w:p>
        </w:tc>
        <w:tc>
          <w:tcPr>
            <w:tcW w:w="3622" w:type="dxa"/>
            <w:tcBorders>
              <w:bottom w:val="single" w:sz="2" w:space="0" w:color="000000"/>
            </w:tcBorders>
            <w:tcMar>
              <w:bottom w:w="28" w:type="dxa"/>
            </w:tcMar>
          </w:tcPr>
          <w:p>
            <w:pPr>
              <w:pStyle w:val="TableContents"/>
              <w:bidi w:val="0"/>
              <w:spacing w:before="0" w:after="283"/>
              <w:jc w:val="left"/>
              <w:rPr/>
            </w:pPr>
            <w:r>
              <w:rPr/>
              <w:t>/s/ Stephen Altemus</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vAlign w:val="bottom"/>
          </w:tcPr>
          <w:p>
            <w:pPr>
              <w:pStyle w:val="TableContents"/>
              <w:bidi w:val="0"/>
              <w:spacing w:before="0" w:after="283"/>
              <w:jc w:val="left"/>
              <w:rPr/>
            </w:pPr>
            <w:r>
              <w:rPr/>
              <w:t>Name: Stephen Altemus</w:t>
            </w:r>
          </w:p>
        </w:tc>
      </w:tr>
      <w:tr>
        <w:trPr/>
        <w:tc>
          <w:tcPr>
            <w:tcW w:w="40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22" w:type="dxa"/>
            <w:tcBorders/>
            <w:vAlign w:val="bottom"/>
          </w:tcPr>
          <w:p>
            <w:pPr>
              <w:pStyle w:val="TableContents"/>
              <w:bidi w:val="0"/>
              <w:spacing w:before="0" w:after="283"/>
              <w:jc w:val="left"/>
              <w:rPr/>
            </w:pPr>
            <w:r>
              <w:rPr/>
              <w:t>Title: Chief Executive Officer and President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II-5 </w:t>
      </w:r>
      <w:r>
        <w:br w:type="page"/>
      </w:r>
    </w:p>
    <w:p>
      <w:pPr>
        <w:pStyle w:val="HorizontalLine"/>
        <w:pBdr>
          <w:bottom w:val="double" w:sz="6" w:space="0" w:color="808080"/>
        </w:pBdr>
        <w:bidi w:val="0"/>
        <w:jc w:val="left"/>
        <w:rPr/>
      </w:pPr>
      <w:r>
        <w:rPr/>
      </w:r>
    </w:p>
    <w:p>
      <w:pPr>
        <w:pStyle w:val="Heading5"/>
        <w:bidi w:val="0"/>
        <w:jc w:val="left"/>
        <w:rPr/>
      </w:pPr>
      <w:hyperlink w:anchor="toc">
        <w:r>
          <w:rPr>
            <w:rStyle w:val="InternetLink"/>
            <w:b/>
            <w:sz w:val="20"/>
          </w:rPr>
          <w:t>Table of Contents</w:t>
        </w:r>
      </w:hyperlink>
    </w:p>
    <w:p>
      <w:pPr>
        <w:pStyle w:val="TextBody"/>
        <w:bidi w:val="0"/>
        <w:spacing w:before="0" w:after="0"/>
        <w:jc w:val="center"/>
        <w:rPr>
          <w:rFonts w:ascii="Times New Roman" w:hAnsi="Times New Roman"/>
          <w:b/>
          <w:sz w:val="20"/>
        </w:rPr>
      </w:pPr>
      <w:r>
        <w:rPr>
          <w:rFonts w:ascii="Times New Roman" w:hAnsi="Times New Roman"/>
          <w:b/>
          <w:sz w:val="20"/>
        </w:rPr>
        <w:t xml:space="preserve">POWER OF ATTORNEY </w:t>
      </w:r>
    </w:p>
    <w:p>
      <w:pPr>
        <w:pStyle w:val="TextBody"/>
        <w:bidi w:val="0"/>
        <w:spacing w:before="240" w:after="0"/>
        <w:jc w:val="left"/>
        <w:rPr>
          <w:rFonts w:ascii="Times New Roman" w:hAnsi="Times New Roman"/>
          <w:sz w:val="20"/>
        </w:rPr>
      </w:pPr>
      <w:r>
        <w:rPr>
          <w:rFonts w:ascii="Times New Roman" w:hAnsi="Times New Roman"/>
          <w:sz w:val="20"/>
        </w:rPr>
        <w:t xml:space="preserve">Each person whose signature appears below constitutes and appoints each of Stephen Altemus, Peter McGrath and Anna Jones,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of 1933 (and all further amendments, including post-effective amendments, thereto)),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said attorney-in-fact and agent, or his or her substitute or substitutes, may lawfully do or cause to be done by virtue hereof.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Act of 1933, this registration statement has been signed by the following persons in the capacities and on the dates indicated.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3214"/>
        <w:gridCol w:w="121"/>
        <w:gridCol w:w="4781"/>
        <w:gridCol w:w="201"/>
        <w:gridCol w:w="1888"/>
      </w:tblGrid>
      <w:tr>
        <w:trPr/>
        <w:tc>
          <w:tcPr>
            <w:tcW w:w="3214"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781" w:type="dxa"/>
            <w:tcBorders/>
            <w:vAlign w:val="center"/>
          </w:tcPr>
          <w:p>
            <w:pPr>
              <w:pStyle w:val="TableContents"/>
              <w:bidi w:val="0"/>
              <w:spacing w:before="0" w:after="283"/>
              <w:jc w:val="left"/>
              <w:rPr>
                <w:sz w:val="4"/>
                <w:szCs w:val="4"/>
              </w:rPr>
            </w:pPr>
            <w:r>
              <w:rPr>
                <w:sz w:val="4"/>
                <w:szCs w:val="4"/>
              </w:rPr>
            </w:r>
          </w:p>
        </w:tc>
        <w:tc>
          <w:tcPr>
            <w:tcW w:w="201" w:type="dxa"/>
            <w:tcBorders/>
            <w:vAlign w:val="bottom"/>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r>
      <w:tr>
        <w:trPr/>
        <w:tc>
          <w:tcPr>
            <w:tcW w:w="3214"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Name</w:t>
            </w:r>
          </w:p>
        </w:tc>
        <w:tc>
          <w:tcPr>
            <w:tcW w:w="121" w:type="dxa"/>
            <w:tcBorders/>
            <w:vAlign w:val="bottom"/>
          </w:tcPr>
          <w:p>
            <w:pPr>
              <w:pStyle w:val="TableContents"/>
              <w:bidi w:val="0"/>
              <w:spacing w:before="0" w:after="283"/>
              <w:jc w:val="left"/>
              <w:rPr/>
            </w:pPr>
            <w:r>
              <w:rPr/>
              <w:t>  </w:t>
            </w:r>
          </w:p>
        </w:tc>
        <w:tc>
          <w:tcPr>
            <w:tcW w:w="4781"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Title</w:t>
            </w:r>
          </w:p>
        </w:tc>
        <w:tc>
          <w:tcPr>
            <w:tcW w:w="201" w:type="dxa"/>
            <w:tcBorders/>
            <w:vAlign w:val="bottom"/>
          </w:tcPr>
          <w:p>
            <w:pPr>
              <w:pStyle w:val="TableContents"/>
              <w:bidi w:val="0"/>
              <w:spacing w:before="0" w:after="283"/>
              <w:jc w:val="left"/>
              <w:rPr/>
            </w:pPr>
            <w:r>
              <w:rPr/>
              <w:t> </w:t>
            </w:r>
          </w:p>
        </w:tc>
        <w:tc>
          <w:tcPr>
            <w:tcW w:w="1888"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b/>
                <w:sz w:val="16"/>
              </w:rPr>
            </w:pPr>
            <w:r>
              <w:rPr>
                <w:rFonts w:ascii="Times New Roman" w:hAnsi="Times New Roman"/>
                <w:b/>
                <w:sz w:val="16"/>
              </w:rPr>
              <w:t>Date</w:t>
            </w:r>
          </w:p>
        </w:tc>
      </w:tr>
      <w:tr>
        <w:trPr>
          <w:trHeight w:val="240" w:hRule="atLeast"/>
        </w:trPr>
        <w:tc>
          <w:tcPr>
            <w:tcW w:w="3214" w:type="dxa"/>
            <w:tcBorders/>
            <w:vAlign w:val="center"/>
          </w:tcPr>
          <w:p>
            <w:pPr>
              <w:pStyle w:val="TableContents"/>
              <w:bidi w:val="0"/>
              <w:spacing w:before="0" w:after="283"/>
              <w:jc w:val="left"/>
              <w:rPr>
                <w:sz w:val="4"/>
                <w:szCs w:val="4"/>
              </w:rPr>
            </w:pPr>
            <w:r>
              <w:rPr>
                <w:sz w:val="4"/>
                <w:szCs w:val="4"/>
              </w:rPr>
            </w:r>
          </w:p>
        </w:tc>
        <w:tc>
          <w:tcPr>
            <w:tcW w:w="4902" w:type="dxa"/>
            <w:gridSpan w:val="2"/>
            <w:tcBorders/>
            <w:vAlign w:val="center"/>
          </w:tcPr>
          <w:p>
            <w:pPr>
              <w:pStyle w:val="TableContents"/>
              <w:bidi w:val="0"/>
              <w:spacing w:before="0" w:after="283"/>
              <w:jc w:val="left"/>
              <w:rPr>
                <w:sz w:val="4"/>
                <w:szCs w:val="4"/>
              </w:rPr>
            </w:pPr>
            <w:r>
              <w:rPr>
                <w:sz w:val="4"/>
                <w:szCs w:val="4"/>
              </w:rPr>
            </w:r>
          </w:p>
        </w:tc>
        <w:tc>
          <w:tcPr>
            <w:tcW w:w="2089" w:type="dxa"/>
            <w:gridSpan w:val="2"/>
            <w:tcBorders/>
            <w:vAlign w:val="center"/>
          </w:tcPr>
          <w:p>
            <w:pPr>
              <w:pStyle w:val="TableContents"/>
              <w:bidi w:val="0"/>
              <w:spacing w:before="0" w:after="283"/>
              <w:jc w:val="left"/>
              <w:rPr>
                <w:sz w:val="4"/>
                <w:szCs w:val="4"/>
              </w:rPr>
            </w:pPr>
            <w:r>
              <w:rPr>
                <w:sz w:val="4"/>
                <w:szCs w:val="4"/>
              </w:rPr>
            </w:r>
          </w:p>
        </w:tc>
      </w:tr>
      <w:tr>
        <w:trPr/>
        <w:tc>
          <w:tcPr>
            <w:tcW w:w="321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Stephen Altemus</w:t>
            </w:r>
          </w:p>
          <w:p>
            <w:pPr>
              <w:pStyle w:val="TableContents"/>
              <w:bidi w:val="0"/>
              <w:spacing w:before="0" w:after="20"/>
              <w:jc w:val="center"/>
              <w:rPr>
                <w:rFonts w:ascii="Times New Roman" w:hAnsi="Times New Roman"/>
                <w:sz w:val="20"/>
              </w:rPr>
            </w:pPr>
            <w:r>
              <w:rPr>
                <w:rFonts w:ascii="Times New Roman" w:hAnsi="Times New Roman"/>
                <w:sz w:val="20"/>
              </w:rPr>
              <w:t>Stephen Altemus</w:t>
            </w:r>
          </w:p>
        </w:tc>
        <w:tc>
          <w:tcPr>
            <w:tcW w:w="121" w:type="dxa"/>
            <w:tcBorders/>
            <w:vAlign w:val="bottom"/>
          </w:tcPr>
          <w:p>
            <w:pPr>
              <w:pStyle w:val="TableContents"/>
              <w:bidi w:val="0"/>
              <w:spacing w:before="0" w:after="283"/>
              <w:jc w:val="left"/>
              <w:rPr/>
            </w:pPr>
            <w:r>
              <w:rPr/>
              <w:t>  </w:t>
            </w:r>
          </w:p>
        </w:tc>
        <w:tc>
          <w:tcPr>
            <w:tcW w:w="4781" w:type="dxa"/>
            <w:tcBorders/>
          </w:tcPr>
          <w:p>
            <w:pPr>
              <w:pStyle w:val="TableContents"/>
              <w:bidi w:val="0"/>
              <w:spacing w:before="0" w:after="283"/>
              <w:jc w:val="center"/>
              <w:rPr/>
            </w:pPr>
            <w:r>
              <w:rPr/>
              <w:t>Chief Executive Officer, President, and Director (Principal Executive Officer)</w:t>
            </w:r>
          </w:p>
        </w:tc>
        <w:tc>
          <w:tcPr>
            <w:tcW w:w="201" w:type="dxa"/>
            <w:tcBorders/>
            <w:vAlign w:val="bottom"/>
          </w:tcPr>
          <w:p>
            <w:pPr>
              <w:pStyle w:val="TableContents"/>
              <w:bidi w:val="0"/>
              <w:spacing w:before="0" w:after="283"/>
              <w:jc w:val="left"/>
              <w:rPr/>
            </w:pPr>
            <w:r>
              <w:rPr/>
              <w:t> </w:t>
            </w:r>
          </w:p>
        </w:tc>
        <w:tc>
          <w:tcPr>
            <w:tcW w:w="1888" w:type="dxa"/>
            <w:tcBorders/>
          </w:tcPr>
          <w:p>
            <w:pPr>
              <w:pStyle w:val="TableContents"/>
              <w:bidi w:val="0"/>
              <w:spacing w:before="0" w:after="283"/>
              <w:jc w:val="center"/>
              <w:rPr/>
            </w:pPr>
            <w:r>
              <w:rPr/>
              <w:t>June 2, 2026</w:t>
            </w:r>
          </w:p>
        </w:tc>
      </w:tr>
      <w:tr>
        <w:trPr>
          <w:trHeight w:val="240" w:hRule="atLeast"/>
        </w:trPr>
        <w:tc>
          <w:tcPr>
            <w:tcW w:w="3214" w:type="dxa"/>
            <w:tcBorders/>
            <w:vAlign w:val="center"/>
          </w:tcPr>
          <w:p>
            <w:pPr>
              <w:pStyle w:val="TableContents"/>
              <w:bidi w:val="0"/>
              <w:spacing w:before="0" w:after="283"/>
              <w:jc w:val="left"/>
              <w:rPr>
                <w:sz w:val="4"/>
                <w:szCs w:val="4"/>
              </w:rPr>
            </w:pPr>
            <w:r>
              <w:rPr>
                <w:sz w:val="4"/>
                <w:szCs w:val="4"/>
              </w:rPr>
            </w:r>
          </w:p>
        </w:tc>
        <w:tc>
          <w:tcPr>
            <w:tcW w:w="4902" w:type="dxa"/>
            <w:gridSpan w:val="2"/>
            <w:tcBorders/>
            <w:vAlign w:val="center"/>
          </w:tcPr>
          <w:p>
            <w:pPr>
              <w:pStyle w:val="TableContents"/>
              <w:bidi w:val="0"/>
              <w:spacing w:before="0" w:after="283"/>
              <w:jc w:val="left"/>
              <w:rPr>
                <w:sz w:val="4"/>
                <w:szCs w:val="4"/>
              </w:rPr>
            </w:pPr>
            <w:r>
              <w:rPr>
                <w:sz w:val="4"/>
                <w:szCs w:val="4"/>
              </w:rPr>
            </w:r>
          </w:p>
        </w:tc>
        <w:tc>
          <w:tcPr>
            <w:tcW w:w="2089" w:type="dxa"/>
            <w:gridSpan w:val="2"/>
            <w:tcBorders/>
            <w:vAlign w:val="center"/>
          </w:tcPr>
          <w:p>
            <w:pPr>
              <w:pStyle w:val="TableContents"/>
              <w:bidi w:val="0"/>
              <w:spacing w:before="0" w:after="283"/>
              <w:jc w:val="left"/>
              <w:rPr>
                <w:sz w:val="4"/>
                <w:szCs w:val="4"/>
              </w:rPr>
            </w:pPr>
            <w:r>
              <w:rPr>
                <w:sz w:val="4"/>
                <w:szCs w:val="4"/>
              </w:rPr>
            </w:r>
          </w:p>
        </w:tc>
      </w:tr>
      <w:tr>
        <w:trPr/>
        <w:tc>
          <w:tcPr>
            <w:tcW w:w="321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Peter McGrath</w:t>
            </w:r>
          </w:p>
          <w:p>
            <w:pPr>
              <w:pStyle w:val="TableContents"/>
              <w:bidi w:val="0"/>
              <w:spacing w:before="0" w:after="20"/>
              <w:jc w:val="center"/>
              <w:rPr>
                <w:rFonts w:ascii="Times New Roman" w:hAnsi="Times New Roman"/>
                <w:sz w:val="20"/>
              </w:rPr>
            </w:pPr>
            <w:r>
              <w:rPr>
                <w:rFonts w:ascii="Times New Roman" w:hAnsi="Times New Roman"/>
                <w:sz w:val="20"/>
              </w:rPr>
              <w:t>Peter McGrath</w:t>
            </w:r>
          </w:p>
        </w:tc>
        <w:tc>
          <w:tcPr>
            <w:tcW w:w="121" w:type="dxa"/>
            <w:tcBorders/>
            <w:vAlign w:val="bottom"/>
          </w:tcPr>
          <w:p>
            <w:pPr>
              <w:pStyle w:val="TableContents"/>
              <w:bidi w:val="0"/>
              <w:spacing w:before="0" w:after="283"/>
              <w:jc w:val="left"/>
              <w:rPr/>
            </w:pPr>
            <w:r>
              <w:rPr/>
              <w:t>  </w:t>
            </w:r>
          </w:p>
        </w:tc>
        <w:tc>
          <w:tcPr>
            <w:tcW w:w="4781" w:type="dxa"/>
            <w:tcBorders/>
          </w:tcPr>
          <w:p>
            <w:pPr>
              <w:pStyle w:val="TableContents"/>
              <w:bidi w:val="0"/>
              <w:spacing w:before="0" w:after="283"/>
              <w:jc w:val="center"/>
              <w:rPr/>
            </w:pPr>
            <w:r>
              <w:rPr/>
              <w:t>Chief Financial Officer and Senior Vice President (Principal Financial Officer)</w:t>
            </w:r>
          </w:p>
        </w:tc>
        <w:tc>
          <w:tcPr>
            <w:tcW w:w="201" w:type="dxa"/>
            <w:tcBorders/>
            <w:vAlign w:val="bottom"/>
          </w:tcPr>
          <w:p>
            <w:pPr>
              <w:pStyle w:val="TableContents"/>
              <w:bidi w:val="0"/>
              <w:spacing w:before="0" w:after="283"/>
              <w:jc w:val="left"/>
              <w:rPr/>
            </w:pPr>
            <w:r>
              <w:rPr/>
              <w:t> </w:t>
            </w:r>
          </w:p>
        </w:tc>
        <w:tc>
          <w:tcPr>
            <w:tcW w:w="1888" w:type="dxa"/>
            <w:tcBorders/>
          </w:tcPr>
          <w:p>
            <w:pPr>
              <w:pStyle w:val="TableContents"/>
              <w:bidi w:val="0"/>
              <w:spacing w:before="0" w:after="283"/>
              <w:jc w:val="center"/>
              <w:rPr/>
            </w:pPr>
            <w:r>
              <w:rPr/>
              <w:t>June 2, 2026</w:t>
            </w:r>
          </w:p>
        </w:tc>
      </w:tr>
      <w:tr>
        <w:trPr>
          <w:trHeight w:val="240" w:hRule="atLeast"/>
        </w:trPr>
        <w:tc>
          <w:tcPr>
            <w:tcW w:w="3214" w:type="dxa"/>
            <w:tcBorders/>
            <w:vAlign w:val="center"/>
          </w:tcPr>
          <w:p>
            <w:pPr>
              <w:pStyle w:val="TableContents"/>
              <w:bidi w:val="0"/>
              <w:spacing w:before="0" w:after="283"/>
              <w:jc w:val="left"/>
              <w:rPr>
                <w:sz w:val="4"/>
                <w:szCs w:val="4"/>
              </w:rPr>
            </w:pPr>
            <w:r>
              <w:rPr>
                <w:sz w:val="4"/>
                <w:szCs w:val="4"/>
              </w:rPr>
            </w:r>
          </w:p>
        </w:tc>
        <w:tc>
          <w:tcPr>
            <w:tcW w:w="4902" w:type="dxa"/>
            <w:gridSpan w:val="2"/>
            <w:tcBorders/>
            <w:vAlign w:val="center"/>
          </w:tcPr>
          <w:p>
            <w:pPr>
              <w:pStyle w:val="TableContents"/>
              <w:bidi w:val="0"/>
              <w:spacing w:before="0" w:after="283"/>
              <w:jc w:val="left"/>
              <w:rPr>
                <w:sz w:val="4"/>
                <w:szCs w:val="4"/>
              </w:rPr>
            </w:pPr>
            <w:r>
              <w:rPr>
                <w:sz w:val="4"/>
                <w:szCs w:val="4"/>
              </w:rPr>
            </w:r>
          </w:p>
        </w:tc>
        <w:tc>
          <w:tcPr>
            <w:tcW w:w="2089" w:type="dxa"/>
            <w:gridSpan w:val="2"/>
            <w:tcBorders/>
            <w:vAlign w:val="center"/>
          </w:tcPr>
          <w:p>
            <w:pPr>
              <w:pStyle w:val="TableContents"/>
              <w:bidi w:val="0"/>
              <w:spacing w:before="0" w:after="283"/>
              <w:jc w:val="left"/>
              <w:rPr>
                <w:sz w:val="4"/>
                <w:szCs w:val="4"/>
              </w:rPr>
            </w:pPr>
            <w:r>
              <w:rPr>
                <w:sz w:val="4"/>
                <w:szCs w:val="4"/>
              </w:rPr>
            </w:r>
          </w:p>
        </w:tc>
      </w:tr>
      <w:tr>
        <w:trPr/>
        <w:tc>
          <w:tcPr>
            <w:tcW w:w="321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Steven Vontur</w:t>
            </w:r>
          </w:p>
          <w:p>
            <w:pPr>
              <w:pStyle w:val="TableContents"/>
              <w:bidi w:val="0"/>
              <w:spacing w:before="0" w:after="20"/>
              <w:jc w:val="center"/>
              <w:rPr>
                <w:rFonts w:ascii="Times New Roman" w:hAnsi="Times New Roman"/>
                <w:sz w:val="20"/>
              </w:rPr>
            </w:pPr>
            <w:r>
              <w:rPr>
                <w:rFonts w:ascii="Times New Roman" w:hAnsi="Times New Roman"/>
                <w:sz w:val="20"/>
              </w:rPr>
              <w:t>Steven Vontur</w:t>
            </w:r>
          </w:p>
        </w:tc>
        <w:tc>
          <w:tcPr>
            <w:tcW w:w="121" w:type="dxa"/>
            <w:tcBorders/>
            <w:vAlign w:val="bottom"/>
          </w:tcPr>
          <w:p>
            <w:pPr>
              <w:pStyle w:val="TableContents"/>
              <w:bidi w:val="0"/>
              <w:spacing w:before="0" w:after="283"/>
              <w:jc w:val="left"/>
              <w:rPr/>
            </w:pPr>
            <w:r>
              <w:rPr/>
              <w:t>  </w:t>
            </w:r>
          </w:p>
        </w:tc>
        <w:tc>
          <w:tcPr>
            <w:tcW w:w="4781" w:type="dxa"/>
            <w:tcBorders/>
          </w:tcPr>
          <w:p>
            <w:pPr>
              <w:pStyle w:val="TableContents"/>
              <w:bidi w:val="0"/>
              <w:spacing w:before="0" w:after="283"/>
              <w:jc w:val="center"/>
              <w:rPr/>
            </w:pPr>
            <w:r>
              <w:rPr/>
              <w:t>Chief Accounting Officer and Controller (Principal Accounting Officer)</w:t>
            </w:r>
          </w:p>
        </w:tc>
        <w:tc>
          <w:tcPr>
            <w:tcW w:w="201" w:type="dxa"/>
            <w:tcBorders/>
            <w:vAlign w:val="bottom"/>
          </w:tcPr>
          <w:p>
            <w:pPr>
              <w:pStyle w:val="TableContents"/>
              <w:bidi w:val="0"/>
              <w:spacing w:before="0" w:after="283"/>
              <w:jc w:val="left"/>
              <w:rPr/>
            </w:pPr>
            <w:r>
              <w:rPr/>
              <w:t> </w:t>
            </w:r>
          </w:p>
        </w:tc>
        <w:tc>
          <w:tcPr>
            <w:tcW w:w="1888" w:type="dxa"/>
            <w:tcBorders/>
          </w:tcPr>
          <w:p>
            <w:pPr>
              <w:pStyle w:val="TableContents"/>
              <w:bidi w:val="0"/>
              <w:spacing w:before="0" w:after="283"/>
              <w:jc w:val="center"/>
              <w:rPr/>
            </w:pPr>
            <w:r>
              <w:rPr/>
              <w:t>June 2, 2026</w:t>
            </w:r>
          </w:p>
        </w:tc>
      </w:tr>
      <w:tr>
        <w:trPr>
          <w:trHeight w:val="240" w:hRule="atLeast"/>
        </w:trPr>
        <w:tc>
          <w:tcPr>
            <w:tcW w:w="3214" w:type="dxa"/>
            <w:tcBorders/>
            <w:vAlign w:val="center"/>
          </w:tcPr>
          <w:p>
            <w:pPr>
              <w:pStyle w:val="TableContents"/>
              <w:bidi w:val="0"/>
              <w:spacing w:before="0" w:after="283"/>
              <w:jc w:val="left"/>
              <w:rPr>
                <w:sz w:val="4"/>
                <w:szCs w:val="4"/>
              </w:rPr>
            </w:pPr>
            <w:r>
              <w:rPr>
                <w:sz w:val="4"/>
                <w:szCs w:val="4"/>
              </w:rPr>
            </w:r>
          </w:p>
        </w:tc>
        <w:tc>
          <w:tcPr>
            <w:tcW w:w="4902" w:type="dxa"/>
            <w:gridSpan w:val="2"/>
            <w:tcBorders/>
            <w:vAlign w:val="center"/>
          </w:tcPr>
          <w:p>
            <w:pPr>
              <w:pStyle w:val="TableContents"/>
              <w:bidi w:val="0"/>
              <w:spacing w:before="0" w:after="283"/>
              <w:jc w:val="left"/>
              <w:rPr>
                <w:sz w:val="4"/>
                <w:szCs w:val="4"/>
              </w:rPr>
            </w:pPr>
            <w:r>
              <w:rPr>
                <w:sz w:val="4"/>
                <w:szCs w:val="4"/>
              </w:rPr>
            </w:r>
          </w:p>
        </w:tc>
        <w:tc>
          <w:tcPr>
            <w:tcW w:w="2089" w:type="dxa"/>
            <w:gridSpan w:val="2"/>
            <w:tcBorders/>
            <w:vAlign w:val="center"/>
          </w:tcPr>
          <w:p>
            <w:pPr>
              <w:pStyle w:val="TableContents"/>
              <w:bidi w:val="0"/>
              <w:spacing w:before="0" w:after="283"/>
              <w:jc w:val="left"/>
              <w:rPr>
                <w:sz w:val="4"/>
                <w:szCs w:val="4"/>
              </w:rPr>
            </w:pPr>
            <w:r>
              <w:rPr>
                <w:sz w:val="4"/>
                <w:szCs w:val="4"/>
              </w:rPr>
            </w:r>
          </w:p>
        </w:tc>
      </w:tr>
      <w:tr>
        <w:trPr/>
        <w:tc>
          <w:tcPr>
            <w:tcW w:w="321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Dr. Kamal Ghaffarian</w:t>
            </w:r>
          </w:p>
          <w:p>
            <w:pPr>
              <w:pStyle w:val="TableContents"/>
              <w:bidi w:val="0"/>
              <w:spacing w:before="0" w:after="20"/>
              <w:jc w:val="center"/>
              <w:rPr>
                <w:rFonts w:ascii="Times New Roman" w:hAnsi="Times New Roman"/>
                <w:sz w:val="20"/>
              </w:rPr>
            </w:pPr>
            <w:r>
              <w:rPr>
                <w:rFonts w:ascii="Times New Roman" w:hAnsi="Times New Roman"/>
                <w:sz w:val="20"/>
              </w:rPr>
              <w:t>Dr. Kamal Ghaffarian</w:t>
            </w:r>
          </w:p>
        </w:tc>
        <w:tc>
          <w:tcPr>
            <w:tcW w:w="121" w:type="dxa"/>
            <w:tcBorders/>
            <w:vAlign w:val="bottom"/>
          </w:tcPr>
          <w:p>
            <w:pPr>
              <w:pStyle w:val="TableContents"/>
              <w:bidi w:val="0"/>
              <w:spacing w:before="0" w:after="283"/>
              <w:jc w:val="left"/>
              <w:rPr/>
            </w:pPr>
            <w:r>
              <w:rPr/>
              <w:t>  </w:t>
            </w:r>
          </w:p>
        </w:tc>
        <w:tc>
          <w:tcPr>
            <w:tcW w:w="4781" w:type="dxa"/>
            <w:tcBorders/>
          </w:tcPr>
          <w:p>
            <w:pPr>
              <w:pStyle w:val="TableContents"/>
              <w:bidi w:val="0"/>
              <w:spacing w:before="0" w:after="283"/>
              <w:jc w:val="center"/>
              <w:rPr/>
            </w:pPr>
            <w:r>
              <w:rPr/>
              <w:t>Chairman of the Board of Directors</w:t>
            </w:r>
          </w:p>
        </w:tc>
        <w:tc>
          <w:tcPr>
            <w:tcW w:w="201" w:type="dxa"/>
            <w:tcBorders/>
            <w:vAlign w:val="bottom"/>
          </w:tcPr>
          <w:p>
            <w:pPr>
              <w:pStyle w:val="TableContents"/>
              <w:bidi w:val="0"/>
              <w:spacing w:before="0" w:after="283"/>
              <w:jc w:val="left"/>
              <w:rPr/>
            </w:pPr>
            <w:r>
              <w:rPr/>
              <w:t> </w:t>
            </w:r>
          </w:p>
        </w:tc>
        <w:tc>
          <w:tcPr>
            <w:tcW w:w="1888" w:type="dxa"/>
            <w:tcBorders/>
          </w:tcPr>
          <w:p>
            <w:pPr>
              <w:pStyle w:val="TableContents"/>
              <w:bidi w:val="0"/>
              <w:spacing w:before="0" w:after="283"/>
              <w:jc w:val="center"/>
              <w:rPr/>
            </w:pPr>
            <w:r>
              <w:rPr/>
              <w:t>June 2, 2026</w:t>
            </w:r>
          </w:p>
        </w:tc>
      </w:tr>
      <w:tr>
        <w:trPr>
          <w:trHeight w:val="240" w:hRule="atLeast"/>
        </w:trPr>
        <w:tc>
          <w:tcPr>
            <w:tcW w:w="3214" w:type="dxa"/>
            <w:tcBorders/>
            <w:vAlign w:val="center"/>
          </w:tcPr>
          <w:p>
            <w:pPr>
              <w:pStyle w:val="TableContents"/>
              <w:bidi w:val="0"/>
              <w:spacing w:before="0" w:after="283"/>
              <w:jc w:val="left"/>
              <w:rPr>
                <w:sz w:val="4"/>
                <w:szCs w:val="4"/>
              </w:rPr>
            </w:pPr>
            <w:r>
              <w:rPr>
                <w:sz w:val="4"/>
                <w:szCs w:val="4"/>
              </w:rPr>
            </w:r>
          </w:p>
        </w:tc>
        <w:tc>
          <w:tcPr>
            <w:tcW w:w="4902" w:type="dxa"/>
            <w:gridSpan w:val="2"/>
            <w:tcBorders/>
            <w:vAlign w:val="center"/>
          </w:tcPr>
          <w:p>
            <w:pPr>
              <w:pStyle w:val="TableContents"/>
              <w:bidi w:val="0"/>
              <w:spacing w:before="0" w:after="283"/>
              <w:jc w:val="left"/>
              <w:rPr>
                <w:sz w:val="4"/>
                <w:szCs w:val="4"/>
              </w:rPr>
            </w:pPr>
            <w:r>
              <w:rPr>
                <w:sz w:val="4"/>
                <w:szCs w:val="4"/>
              </w:rPr>
            </w:r>
          </w:p>
        </w:tc>
        <w:tc>
          <w:tcPr>
            <w:tcW w:w="2089" w:type="dxa"/>
            <w:gridSpan w:val="2"/>
            <w:tcBorders/>
            <w:vAlign w:val="center"/>
          </w:tcPr>
          <w:p>
            <w:pPr>
              <w:pStyle w:val="TableContents"/>
              <w:bidi w:val="0"/>
              <w:spacing w:before="0" w:after="283"/>
              <w:jc w:val="left"/>
              <w:rPr>
                <w:sz w:val="4"/>
                <w:szCs w:val="4"/>
              </w:rPr>
            </w:pPr>
            <w:r>
              <w:rPr>
                <w:sz w:val="4"/>
                <w:szCs w:val="4"/>
              </w:rPr>
            </w:r>
          </w:p>
        </w:tc>
      </w:tr>
      <w:tr>
        <w:trPr/>
        <w:tc>
          <w:tcPr>
            <w:tcW w:w="321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Michael Blitzer</w:t>
            </w:r>
          </w:p>
          <w:p>
            <w:pPr>
              <w:pStyle w:val="TableContents"/>
              <w:bidi w:val="0"/>
              <w:spacing w:before="0" w:after="20"/>
              <w:jc w:val="center"/>
              <w:rPr>
                <w:rFonts w:ascii="Times New Roman" w:hAnsi="Times New Roman"/>
                <w:sz w:val="20"/>
              </w:rPr>
            </w:pPr>
            <w:r>
              <w:rPr>
                <w:rFonts w:ascii="Times New Roman" w:hAnsi="Times New Roman"/>
                <w:sz w:val="20"/>
              </w:rPr>
              <w:t>Michael Blitzer</w:t>
            </w:r>
          </w:p>
        </w:tc>
        <w:tc>
          <w:tcPr>
            <w:tcW w:w="121" w:type="dxa"/>
            <w:tcBorders/>
            <w:vAlign w:val="bottom"/>
          </w:tcPr>
          <w:p>
            <w:pPr>
              <w:pStyle w:val="TableContents"/>
              <w:bidi w:val="0"/>
              <w:spacing w:before="0" w:after="283"/>
              <w:jc w:val="left"/>
              <w:rPr/>
            </w:pPr>
            <w:r>
              <w:rPr/>
              <w:t>  </w:t>
            </w:r>
          </w:p>
        </w:tc>
        <w:tc>
          <w:tcPr>
            <w:tcW w:w="4781" w:type="dxa"/>
            <w:tcBorders/>
          </w:tcPr>
          <w:p>
            <w:pPr>
              <w:pStyle w:val="TableContents"/>
              <w:bidi w:val="0"/>
              <w:spacing w:before="0" w:after="283"/>
              <w:jc w:val="center"/>
              <w:rPr/>
            </w:pPr>
            <w:r>
              <w:rPr/>
              <w:t>Director</w:t>
            </w:r>
          </w:p>
        </w:tc>
        <w:tc>
          <w:tcPr>
            <w:tcW w:w="201" w:type="dxa"/>
            <w:tcBorders/>
            <w:vAlign w:val="bottom"/>
          </w:tcPr>
          <w:p>
            <w:pPr>
              <w:pStyle w:val="TableContents"/>
              <w:bidi w:val="0"/>
              <w:spacing w:before="0" w:after="283"/>
              <w:jc w:val="left"/>
              <w:rPr/>
            </w:pPr>
            <w:r>
              <w:rPr/>
              <w:t> </w:t>
            </w:r>
          </w:p>
        </w:tc>
        <w:tc>
          <w:tcPr>
            <w:tcW w:w="1888" w:type="dxa"/>
            <w:tcBorders/>
          </w:tcPr>
          <w:p>
            <w:pPr>
              <w:pStyle w:val="TableContents"/>
              <w:bidi w:val="0"/>
              <w:spacing w:before="0" w:after="283"/>
              <w:jc w:val="center"/>
              <w:rPr/>
            </w:pPr>
            <w:r>
              <w:rPr/>
              <w:t>June 2, 2026</w:t>
            </w:r>
          </w:p>
        </w:tc>
      </w:tr>
      <w:tr>
        <w:trPr>
          <w:trHeight w:val="240" w:hRule="atLeast"/>
        </w:trPr>
        <w:tc>
          <w:tcPr>
            <w:tcW w:w="3214" w:type="dxa"/>
            <w:tcBorders/>
            <w:vAlign w:val="center"/>
          </w:tcPr>
          <w:p>
            <w:pPr>
              <w:pStyle w:val="TableContents"/>
              <w:bidi w:val="0"/>
              <w:spacing w:before="0" w:after="283"/>
              <w:jc w:val="left"/>
              <w:rPr>
                <w:sz w:val="4"/>
                <w:szCs w:val="4"/>
              </w:rPr>
            </w:pPr>
            <w:r>
              <w:rPr>
                <w:sz w:val="4"/>
                <w:szCs w:val="4"/>
              </w:rPr>
            </w:r>
          </w:p>
        </w:tc>
        <w:tc>
          <w:tcPr>
            <w:tcW w:w="4902" w:type="dxa"/>
            <w:gridSpan w:val="2"/>
            <w:tcBorders/>
            <w:vAlign w:val="center"/>
          </w:tcPr>
          <w:p>
            <w:pPr>
              <w:pStyle w:val="TableContents"/>
              <w:bidi w:val="0"/>
              <w:spacing w:before="0" w:after="283"/>
              <w:jc w:val="left"/>
              <w:rPr>
                <w:sz w:val="4"/>
                <w:szCs w:val="4"/>
              </w:rPr>
            </w:pPr>
            <w:r>
              <w:rPr>
                <w:sz w:val="4"/>
                <w:szCs w:val="4"/>
              </w:rPr>
            </w:r>
          </w:p>
        </w:tc>
        <w:tc>
          <w:tcPr>
            <w:tcW w:w="2089" w:type="dxa"/>
            <w:gridSpan w:val="2"/>
            <w:tcBorders/>
            <w:vAlign w:val="center"/>
          </w:tcPr>
          <w:p>
            <w:pPr>
              <w:pStyle w:val="TableContents"/>
              <w:bidi w:val="0"/>
              <w:spacing w:before="0" w:after="283"/>
              <w:jc w:val="left"/>
              <w:rPr>
                <w:sz w:val="4"/>
                <w:szCs w:val="4"/>
              </w:rPr>
            </w:pPr>
            <w:r>
              <w:rPr>
                <w:sz w:val="4"/>
                <w:szCs w:val="4"/>
              </w:rPr>
            </w:r>
          </w:p>
        </w:tc>
      </w:tr>
      <w:tr>
        <w:trPr/>
        <w:tc>
          <w:tcPr>
            <w:tcW w:w="321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William Liquori</w:t>
            </w:r>
          </w:p>
          <w:p>
            <w:pPr>
              <w:pStyle w:val="TableContents"/>
              <w:bidi w:val="0"/>
              <w:spacing w:before="0" w:after="20"/>
              <w:jc w:val="center"/>
              <w:rPr>
                <w:rFonts w:ascii="Times New Roman" w:hAnsi="Times New Roman"/>
                <w:sz w:val="20"/>
              </w:rPr>
            </w:pPr>
            <w:r>
              <w:rPr>
                <w:rFonts w:ascii="Times New Roman" w:hAnsi="Times New Roman"/>
                <w:sz w:val="20"/>
              </w:rPr>
              <w:t>William Liquori</w:t>
            </w:r>
          </w:p>
        </w:tc>
        <w:tc>
          <w:tcPr>
            <w:tcW w:w="121" w:type="dxa"/>
            <w:tcBorders/>
            <w:vAlign w:val="bottom"/>
          </w:tcPr>
          <w:p>
            <w:pPr>
              <w:pStyle w:val="TableContents"/>
              <w:bidi w:val="0"/>
              <w:spacing w:before="0" w:after="283"/>
              <w:jc w:val="left"/>
              <w:rPr/>
            </w:pPr>
            <w:r>
              <w:rPr/>
              <w:t>  </w:t>
            </w:r>
          </w:p>
        </w:tc>
        <w:tc>
          <w:tcPr>
            <w:tcW w:w="4781" w:type="dxa"/>
            <w:tcBorders/>
          </w:tcPr>
          <w:p>
            <w:pPr>
              <w:pStyle w:val="TableContents"/>
              <w:bidi w:val="0"/>
              <w:spacing w:before="0" w:after="283"/>
              <w:jc w:val="center"/>
              <w:rPr/>
            </w:pPr>
            <w:r>
              <w:rPr/>
              <w:t>Director</w:t>
            </w:r>
          </w:p>
        </w:tc>
        <w:tc>
          <w:tcPr>
            <w:tcW w:w="201" w:type="dxa"/>
            <w:tcBorders/>
            <w:vAlign w:val="bottom"/>
          </w:tcPr>
          <w:p>
            <w:pPr>
              <w:pStyle w:val="TableContents"/>
              <w:bidi w:val="0"/>
              <w:spacing w:before="0" w:after="283"/>
              <w:jc w:val="left"/>
              <w:rPr/>
            </w:pPr>
            <w:r>
              <w:rPr/>
              <w:t> </w:t>
            </w:r>
          </w:p>
        </w:tc>
        <w:tc>
          <w:tcPr>
            <w:tcW w:w="1888" w:type="dxa"/>
            <w:tcBorders/>
          </w:tcPr>
          <w:p>
            <w:pPr>
              <w:pStyle w:val="TableContents"/>
              <w:bidi w:val="0"/>
              <w:spacing w:before="0" w:after="283"/>
              <w:jc w:val="center"/>
              <w:rPr/>
            </w:pPr>
            <w:r>
              <w:rPr/>
              <w:t>June 2, 2026</w:t>
            </w:r>
          </w:p>
        </w:tc>
      </w:tr>
      <w:tr>
        <w:trPr>
          <w:trHeight w:val="240" w:hRule="atLeast"/>
        </w:trPr>
        <w:tc>
          <w:tcPr>
            <w:tcW w:w="3214" w:type="dxa"/>
            <w:tcBorders/>
            <w:vAlign w:val="center"/>
          </w:tcPr>
          <w:p>
            <w:pPr>
              <w:pStyle w:val="TableContents"/>
              <w:bidi w:val="0"/>
              <w:spacing w:before="0" w:after="283"/>
              <w:jc w:val="left"/>
              <w:rPr>
                <w:sz w:val="4"/>
                <w:szCs w:val="4"/>
              </w:rPr>
            </w:pPr>
            <w:r>
              <w:rPr>
                <w:sz w:val="4"/>
                <w:szCs w:val="4"/>
              </w:rPr>
            </w:r>
          </w:p>
        </w:tc>
        <w:tc>
          <w:tcPr>
            <w:tcW w:w="4902" w:type="dxa"/>
            <w:gridSpan w:val="2"/>
            <w:tcBorders/>
            <w:vAlign w:val="center"/>
          </w:tcPr>
          <w:p>
            <w:pPr>
              <w:pStyle w:val="TableContents"/>
              <w:bidi w:val="0"/>
              <w:spacing w:before="0" w:after="283"/>
              <w:jc w:val="left"/>
              <w:rPr>
                <w:sz w:val="4"/>
                <w:szCs w:val="4"/>
              </w:rPr>
            </w:pPr>
            <w:r>
              <w:rPr>
                <w:sz w:val="4"/>
                <w:szCs w:val="4"/>
              </w:rPr>
            </w:r>
          </w:p>
        </w:tc>
        <w:tc>
          <w:tcPr>
            <w:tcW w:w="2089" w:type="dxa"/>
            <w:gridSpan w:val="2"/>
            <w:tcBorders/>
            <w:vAlign w:val="center"/>
          </w:tcPr>
          <w:p>
            <w:pPr>
              <w:pStyle w:val="TableContents"/>
              <w:bidi w:val="0"/>
              <w:spacing w:before="0" w:after="283"/>
              <w:jc w:val="left"/>
              <w:rPr>
                <w:sz w:val="4"/>
                <w:szCs w:val="4"/>
              </w:rPr>
            </w:pPr>
            <w:r>
              <w:rPr>
                <w:sz w:val="4"/>
                <w:szCs w:val="4"/>
              </w:rPr>
            </w:r>
          </w:p>
        </w:tc>
      </w:tr>
      <w:tr>
        <w:trPr/>
        <w:tc>
          <w:tcPr>
            <w:tcW w:w="321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Robert Masson</w:t>
            </w:r>
          </w:p>
          <w:p>
            <w:pPr>
              <w:pStyle w:val="TableContents"/>
              <w:bidi w:val="0"/>
              <w:spacing w:before="0" w:after="20"/>
              <w:jc w:val="center"/>
              <w:rPr>
                <w:rFonts w:ascii="Times New Roman" w:hAnsi="Times New Roman"/>
                <w:sz w:val="20"/>
              </w:rPr>
            </w:pPr>
            <w:r>
              <w:rPr>
                <w:rFonts w:ascii="Times New Roman" w:hAnsi="Times New Roman"/>
                <w:sz w:val="20"/>
              </w:rPr>
              <w:t>Robert Masson</w:t>
            </w:r>
          </w:p>
        </w:tc>
        <w:tc>
          <w:tcPr>
            <w:tcW w:w="121" w:type="dxa"/>
            <w:tcBorders/>
            <w:vAlign w:val="bottom"/>
          </w:tcPr>
          <w:p>
            <w:pPr>
              <w:pStyle w:val="TableContents"/>
              <w:bidi w:val="0"/>
              <w:spacing w:before="0" w:after="283"/>
              <w:jc w:val="left"/>
              <w:rPr/>
            </w:pPr>
            <w:r>
              <w:rPr/>
              <w:t>  </w:t>
            </w:r>
          </w:p>
        </w:tc>
        <w:tc>
          <w:tcPr>
            <w:tcW w:w="4781" w:type="dxa"/>
            <w:tcBorders/>
          </w:tcPr>
          <w:p>
            <w:pPr>
              <w:pStyle w:val="TableContents"/>
              <w:bidi w:val="0"/>
              <w:spacing w:before="0" w:after="283"/>
              <w:jc w:val="center"/>
              <w:rPr/>
            </w:pPr>
            <w:r>
              <w:rPr/>
              <w:t>Director</w:t>
            </w:r>
          </w:p>
        </w:tc>
        <w:tc>
          <w:tcPr>
            <w:tcW w:w="201" w:type="dxa"/>
            <w:tcBorders/>
            <w:vAlign w:val="bottom"/>
          </w:tcPr>
          <w:p>
            <w:pPr>
              <w:pStyle w:val="TableContents"/>
              <w:bidi w:val="0"/>
              <w:spacing w:before="0" w:after="283"/>
              <w:jc w:val="left"/>
              <w:rPr/>
            </w:pPr>
            <w:r>
              <w:rPr/>
              <w:t> </w:t>
            </w:r>
          </w:p>
        </w:tc>
        <w:tc>
          <w:tcPr>
            <w:tcW w:w="1888" w:type="dxa"/>
            <w:tcBorders/>
          </w:tcPr>
          <w:p>
            <w:pPr>
              <w:pStyle w:val="TableContents"/>
              <w:bidi w:val="0"/>
              <w:spacing w:before="0" w:after="283"/>
              <w:jc w:val="center"/>
              <w:rPr/>
            </w:pPr>
            <w:r>
              <w:rPr/>
              <w:t>June 2, 2026</w:t>
            </w:r>
          </w:p>
        </w:tc>
      </w:tr>
      <w:tr>
        <w:trPr>
          <w:trHeight w:val="240" w:hRule="atLeast"/>
        </w:trPr>
        <w:tc>
          <w:tcPr>
            <w:tcW w:w="3214" w:type="dxa"/>
            <w:tcBorders/>
            <w:vAlign w:val="center"/>
          </w:tcPr>
          <w:p>
            <w:pPr>
              <w:pStyle w:val="TableContents"/>
              <w:bidi w:val="0"/>
              <w:spacing w:before="0" w:after="283"/>
              <w:jc w:val="left"/>
              <w:rPr>
                <w:sz w:val="4"/>
                <w:szCs w:val="4"/>
              </w:rPr>
            </w:pPr>
            <w:r>
              <w:rPr>
                <w:sz w:val="4"/>
                <w:szCs w:val="4"/>
              </w:rPr>
            </w:r>
          </w:p>
        </w:tc>
        <w:tc>
          <w:tcPr>
            <w:tcW w:w="4902" w:type="dxa"/>
            <w:gridSpan w:val="2"/>
            <w:tcBorders/>
            <w:vAlign w:val="center"/>
          </w:tcPr>
          <w:p>
            <w:pPr>
              <w:pStyle w:val="TableContents"/>
              <w:bidi w:val="0"/>
              <w:spacing w:before="0" w:after="283"/>
              <w:jc w:val="left"/>
              <w:rPr>
                <w:sz w:val="4"/>
                <w:szCs w:val="4"/>
              </w:rPr>
            </w:pPr>
            <w:r>
              <w:rPr>
                <w:sz w:val="4"/>
                <w:szCs w:val="4"/>
              </w:rPr>
            </w:r>
          </w:p>
        </w:tc>
        <w:tc>
          <w:tcPr>
            <w:tcW w:w="2089" w:type="dxa"/>
            <w:gridSpan w:val="2"/>
            <w:tcBorders/>
            <w:vAlign w:val="center"/>
          </w:tcPr>
          <w:p>
            <w:pPr>
              <w:pStyle w:val="TableContents"/>
              <w:bidi w:val="0"/>
              <w:spacing w:before="0" w:after="283"/>
              <w:jc w:val="left"/>
              <w:rPr>
                <w:sz w:val="4"/>
                <w:szCs w:val="4"/>
              </w:rPr>
            </w:pPr>
            <w:r>
              <w:rPr>
                <w:sz w:val="4"/>
                <w:szCs w:val="4"/>
              </w:rPr>
            </w:r>
          </w:p>
        </w:tc>
      </w:tr>
      <w:tr>
        <w:trPr/>
        <w:tc>
          <w:tcPr>
            <w:tcW w:w="3214" w:type="dxa"/>
            <w:tcBorders/>
          </w:tcPr>
          <w:p>
            <w:pPr>
              <w:pStyle w:val="TableContents"/>
              <w:pBdr>
                <w:bottom w:val="single" w:sz="2" w:space="1" w:color="000000"/>
              </w:pBdr>
              <w:bidi w:val="0"/>
              <w:spacing w:before="0" w:after="0"/>
              <w:jc w:val="center"/>
              <w:rPr>
                <w:rFonts w:ascii="Times New Roman" w:hAnsi="Times New Roman"/>
                <w:sz w:val="20"/>
              </w:rPr>
            </w:pPr>
            <w:r>
              <w:rPr>
                <w:rFonts w:ascii="Times New Roman" w:hAnsi="Times New Roman"/>
                <w:sz w:val="20"/>
              </w:rPr>
              <w:t>/s/ Nicole Seligman</w:t>
            </w:r>
          </w:p>
          <w:p>
            <w:pPr>
              <w:pStyle w:val="TableContents"/>
              <w:bidi w:val="0"/>
              <w:spacing w:before="0" w:after="20"/>
              <w:jc w:val="center"/>
              <w:rPr>
                <w:rFonts w:ascii="Times New Roman" w:hAnsi="Times New Roman"/>
                <w:sz w:val="20"/>
              </w:rPr>
            </w:pPr>
            <w:r>
              <w:rPr>
                <w:rFonts w:ascii="Times New Roman" w:hAnsi="Times New Roman"/>
                <w:sz w:val="20"/>
              </w:rPr>
              <w:t>Nicole Seligman</w:t>
            </w:r>
          </w:p>
        </w:tc>
        <w:tc>
          <w:tcPr>
            <w:tcW w:w="121" w:type="dxa"/>
            <w:tcBorders/>
            <w:vAlign w:val="bottom"/>
          </w:tcPr>
          <w:p>
            <w:pPr>
              <w:pStyle w:val="TableContents"/>
              <w:bidi w:val="0"/>
              <w:spacing w:before="0" w:after="283"/>
              <w:jc w:val="left"/>
              <w:rPr/>
            </w:pPr>
            <w:r>
              <w:rPr/>
              <w:t>  </w:t>
            </w:r>
          </w:p>
        </w:tc>
        <w:tc>
          <w:tcPr>
            <w:tcW w:w="4781" w:type="dxa"/>
            <w:tcBorders/>
          </w:tcPr>
          <w:p>
            <w:pPr>
              <w:pStyle w:val="TableContents"/>
              <w:bidi w:val="0"/>
              <w:spacing w:before="0" w:after="283"/>
              <w:jc w:val="center"/>
              <w:rPr/>
            </w:pPr>
            <w:r>
              <w:rPr/>
              <w:t>Director</w:t>
            </w:r>
          </w:p>
        </w:tc>
        <w:tc>
          <w:tcPr>
            <w:tcW w:w="201" w:type="dxa"/>
            <w:tcBorders/>
            <w:vAlign w:val="bottom"/>
          </w:tcPr>
          <w:p>
            <w:pPr>
              <w:pStyle w:val="TableContents"/>
              <w:bidi w:val="0"/>
              <w:spacing w:before="0" w:after="283"/>
              <w:jc w:val="left"/>
              <w:rPr/>
            </w:pPr>
            <w:r>
              <w:rPr/>
              <w:t> </w:t>
            </w:r>
          </w:p>
        </w:tc>
        <w:tc>
          <w:tcPr>
            <w:tcW w:w="1888" w:type="dxa"/>
            <w:tcBorders/>
          </w:tcPr>
          <w:p>
            <w:pPr>
              <w:pStyle w:val="TableContents"/>
              <w:bidi w:val="0"/>
              <w:spacing w:before="0" w:after="283"/>
              <w:jc w:val="center"/>
              <w:rPr/>
            </w:pPr>
            <w:r>
              <w:rPr/>
              <w:t>June 2, 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II-6 </w:t>
      </w:r>
    </w:p>
    <w:p>
      <w:pPr>
        <w:pStyle w:val="TextBody"/>
        <w:bidi w:val="0"/>
        <w:spacing w:before="0" w:after="0"/>
        <w:jc w:val="right"/>
        <w:rPr>
          <w:rFonts w:ascii="Times New Roman" w:hAnsi="Times New Roman"/>
          <w:b/>
          <w:sz w:val="20"/>
        </w:rPr>
      </w:pPr>
      <w:bookmarkStart w:id="16" w:name="d130878dex51.htm"/>
      <w:bookmarkStart w:id="17" w:name="ksd130878dex51"/>
      <w:bookmarkEnd w:id="16"/>
      <w:bookmarkEnd w:id="17"/>
      <w:r>
        <w:rPr>
          <w:rFonts w:ascii="Times New Roman" w:hAnsi="Times New Roman"/>
          <w:b/>
          <w:sz w:val="20"/>
        </w:rPr>
        <w:t xml:space="preserve">Exhibit 5.1 </w:t>
      </w:r>
      <w:r>
        <w:br w:type="page"/>
      </w:r>
    </w:p>
    <w:p>
      <w:pPr>
        <w:pStyle w:val="TextBody"/>
        <w:bidi w:val="0"/>
        <w:spacing w:before="240" w:after="0"/>
        <w:jc w:val="center"/>
        <w:rPr>
          <w:rFonts w:ascii="Times New Roman" w:hAnsi="Times New Roman"/>
          <w:sz w:val="28"/>
        </w:rPr>
      </w:pPr>
      <w:r>
        <w:rPr>
          <w:rFonts w:ascii="Times New Roman" w:hAnsi="Times New Roman"/>
          <w:sz w:val="28"/>
        </w:rPr>
        <w:t xml:space="preserve">Simpson Thacher &amp; Bartlett </w:t>
      </w:r>
      <w:r>
        <w:rPr>
          <w:rFonts w:ascii="Times New Roman" w:hAnsi="Times New Roman"/>
          <w:sz w:val="20"/>
        </w:rPr>
        <w:t>LLP</w:t>
      </w:r>
      <w:r>
        <w:rPr>
          <w:rFonts w:ascii="Times New Roman" w:hAnsi="Times New Roman"/>
          <w:sz w:val="28"/>
        </w:rPr>
        <w:t xml:space="preserve"> </w:t>
      </w:r>
    </w:p>
    <w:p>
      <w:pPr>
        <w:pStyle w:val="TextBody"/>
        <w:bidi w:val="0"/>
        <w:spacing w:before="60" w:after="0"/>
        <w:jc w:val="center"/>
        <w:rPr>
          <w:rFonts w:ascii="Times New Roman" w:hAnsi="Times New Roman"/>
          <w:sz w:val="16"/>
        </w:rPr>
      </w:pPr>
      <w:r>
        <w:rPr>
          <w:rFonts w:ascii="Times New Roman" w:hAnsi="Times New Roman"/>
          <w:sz w:val="16"/>
        </w:rPr>
        <w:t>900 G S</w:t>
      </w:r>
      <w:r>
        <w:rPr>
          <w:rFonts w:ascii="Times New Roman" w:hAnsi="Times New Roman"/>
          <w:sz w:val="20"/>
        </w:rPr>
        <w:t>TREET</w:t>
      </w:r>
      <w:r>
        <w:rPr>
          <w:rFonts w:ascii="Times New Roman" w:hAnsi="Times New Roman"/>
          <w:sz w:val="16"/>
        </w:rPr>
        <w:t xml:space="preserve">, NW </w:t>
      </w:r>
    </w:p>
    <w:p>
      <w:pPr>
        <w:pStyle w:val="TextBody"/>
        <w:bidi w:val="0"/>
        <w:spacing w:before="20" w:after="0"/>
        <w:jc w:val="center"/>
        <w:rPr>
          <w:rFonts w:ascii="Times New Roman" w:hAnsi="Times New Roman"/>
          <w:sz w:val="16"/>
        </w:rPr>
      </w:pPr>
      <w:r>
        <w:rPr>
          <w:rFonts w:ascii="Times New Roman" w:hAnsi="Times New Roman"/>
          <w:sz w:val="16"/>
        </w:rPr>
        <w:t>W</w:t>
      </w:r>
      <w:r>
        <w:rPr>
          <w:rFonts w:ascii="Times New Roman" w:hAnsi="Times New Roman"/>
          <w:sz w:val="20"/>
        </w:rPr>
        <w:t>ASHINGTON</w:t>
      </w:r>
      <w:r>
        <w:rPr>
          <w:rFonts w:ascii="Times New Roman" w:hAnsi="Times New Roman"/>
          <w:sz w:val="16"/>
        </w:rPr>
        <w:t xml:space="preserve">, D.C. 20001 </w:t>
      </w:r>
    </w:p>
    <w:p>
      <w:pPr>
        <w:pStyle w:val="TextBody"/>
        <w:bidi w:val="0"/>
        <w:spacing w:before="0" w:after="0"/>
        <w:jc w:val="left"/>
        <w:rPr/>
      </w:pPr>
      <w:r>
        <w:rPr/>
        <w:t> </w:t>
      </w:r>
    </w:p>
    <w:p>
      <w:pPr>
        <w:pStyle w:val="TextBody"/>
        <w:bidi w:val="0"/>
        <w:spacing w:lineRule="atLeast" w:line="142" w:before="0" w:after="40"/>
        <w:jc w:val="center"/>
        <w:rPr>
          <w:bdr w:val="single" w:sz="2" w:space="1" w:color="000000"/>
        </w:rPr>
      </w:pPr>
      <w:r>
        <w:rPr>
          <w:bdr w:val="single" w:sz="2" w:space="1" w:color="000000"/>
        </w:rPr>
        <w:t> </w:t>
      </w:r>
    </w:p>
    <w:p>
      <w:pPr>
        <w:pStyle w:val="TextBody"/>
        <w:bidi w:val="0"/>
        <w:spacing w:before="200" w:after="0"/>
        <w:jc w:val="center"/>
        <w:rPr>
          <w:rFonts w:ascii="Times New Roman" w:hAnsi="Times New Roman"/>
          <w:sz w:val="16"/>
        </w:rPr>
      </w:pPr>
      <w:r>
        <w:rPr>
          <w:rFonts w:ascii="Times New Roman" w:hAnsi="Times New Roman"/>
          <w:sz w:val="20"/>
        </w:rPr>
        <w:t>TELEPHONE</w:t>
      </w:r>
      <w:r>
        <w:rPr>
          <w:rFonts w:ascii="Times New Roman" w:hAnsi="Times New Roman"/>
          <w:sz w:val="16"/>
        </w:rPr>
        <w:t xml:space="preserve">: +1-202-636-5500 </w:t>
      </w:r>
    </w:p>
    <w:p>
      <w:pPr>
        <w:pStyle w:val="TextBody"/>
        <w:bidi w:val="0"/>
        <w:spacing w:before="20" w:after="0"/>
        <w:jc w:val="center"/>
        <w:rPr>
          <w:rFonts w:ascii="Times New Roman" w:hAnsi="Times New Roman"/>
          <w:sz w:val="16"/>
        </w:rPr>
      </w:pPr>
      <w:r>
        <w:rPr>
          <w:rFonts w:ascii="Times New Roman" w:hAnsi="Times New Roman"/>
          <w:sz w:val="20"/>
        </w:rPr>
        <w:t>FACSIMILE</w:t>
      </w:r>
      <w:r>
        <w:rPr>
          <w:rFonts w:ascii="Times New Roman" w:hAnsi="Times New Roman"/>
          <w:sz w:val="16"/>
        </w:rPr>
        <w:t xml:space="preserve">: +1-202-636-5502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5096"/>
        <w:gridCol w:w="121"/>
        <w:gridCol w:w="4988"/>
      </w:tblGrid>
      <w:tr>
        <w:trPr/>
        <w:tc>
          <w:tcPr>
            <w:tcW w:w="5096" w:type="dxa"/>
            <w:tcBorders/>
            <w:vAlign w:val="center"/>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sz w:val="4"/>
                <w:szCs w:val="4"/>
              </w:rPr>
            </w:pPr>
            <w:r>
              <w:rPr>
                <w:sz w:val="4"/>
                <w:szCs w:val="4"/>
              </w:rPr>
            </w:r>
          </w:p>
        </w:tc>
        <w:tc>
          <w:tcPr>
            <w:tcW w:w="4988" w:type="dxa"/>
            <w:tcBorders/>
            <w:vAlign w:val="center"/>
          </w:tcPr>
          <w:p>
            <w:pPr>
              <w:pStyle w:val="TableContents"/>
              <w:bidi w:val="0"/>
              <w:spacing w:before="0" w:after="283"/>
              <w:jc w:val="left"/>
              <w:rPr>
                <w:sz w:val="4"/>
                <w:szCs w:val="4"/>
              </w:rPr>
            </w:pPr>
            <w:r>
              <w:rPr>
                <w:sz w:val="4"/>
                <w:szCs w:val="4"/>
              </w:rPr>
            </w:r>
          </w:p>
        </w:tc>
      </w:tr>
      <w:tr>
        <w:trPr/>
        <w:tc>
          <w:tcPr>
            <w:tcW w:w="5096" w:type="dxa"/>
            <w:tcBorders/>
          </w:tcPr>
          <w:p>
            <w:pPr>
              <w:pStyle w:val="TableContents"/>
              <w:bidi w:val="0"/>
              <w:spacing w:before="0" w:after="0"/>
              <w:jc w:val="left"/>
              <w:rPr>
                <w:rFonts w:ascii="Times New Roman" w:hAnsi="Times New Roman"/>
                <w:sz w:val="16"/>
              </w:rPr>
            </w:pPr>
            <w:r>
              <w:rPr>
                <w:rFonts w:ascii="Times New Roman" w:hAnsi="Times New Roman"/>
                <w:sz w:val="16"/>
              </w:rPr>
              <w:t>Direct Dial Number</w:t>
            </w:r>
          </w:p>
        </w:tc>
        <w:tc>
          <w:tcPr>
            <w:tcW w:w="121" w:type="dxa"/>
            <w:tcBorders/>
            <w:vAlign w:val="bottom"/>
          </w:tcPr>
          <w:p>
            <w:pPr>
              <w:pStyle w:val="TableContents"/>
              <w:bidi w:val="0"/>
              <w:spacing w:before="0" w:after="283"/>
              <w:jc w:val="left"/>
              <w:rPr/>
            </w:pPr>
            <w:r>
              <w:rPr/>
              <w:t>  </w:t>
            </w:r>
          </w:p>
        </w:tc>
        <w:tc>
          <w:tcPr>
            <w:tcW w:w="4988" w:type="dxa"/>
            <w:tcBorders/>
            <w:vAlign w:val="bottom"/>
          </w:tcPr>
          <w:p>
            <w:pPr>
              <w:pStyle w:val="TableContents"/>
              <w:bidi w:val="0"/>
              <w:spacing w:before="0" w:after="283"/>
              <w:jc w:val="right"/>
              <w:rPr/>
            </w:pPr>
            <w:r>
              <w:rPr/>
              <w:t>E-mail Address</w:t>
            </w:r>
          </w:p>
        </w:tc>
      </w:tr>
      <w:tr>
        <w:trPr>
          <w:trHeight w:val="120" w:hRule="atLeast"/>
        </w:trPr>
        <w:tc>
          <w:tcPr>
            <w:tcW w:w="5096" w:type="dxa"/>
            <w:tcBorders/>
            <w:vAlign w:val="center"/>
          </w:tcPr>
          <w:p>
            <w:pPr>
              <w:pStyle w:val="TableContents"/>
              <w:bidi w:val="0"/>
              <w:spacing w:before="0" w:after="283"/>
              <w:jc w:val="left"/>
              <w:rPr>
                <w:sz w:val="4"/>
                <w:szCs w:val="4"/>
              </w:rPr>
            </w:pPr>
            <w:r>
              <w:rPr>
                <w:sz w:val="4"/>
                <w:szCs w:val="4"/>
              </w:rPr>
            </w:r>
          </w:p>
        </w:tc>
        <w:tc>
          <w:tcPr>
            <w:tcW w:w="5109" w:type="dxa"/>
            <w:gridSpan w:val="2"/>
            <w:tcBorders/>
            <w:vAlign w:val="center"/>
          </w:tcPr>
          <w:p>
            <w:pPr>
              <w:pStyle w:val="TableContents"/>
              <w:bidi w:val="0"/>
              <w:spacing w:before="0" w:after="283"/>
              <w:jc w:val="left"/>
              <w:rPr>
                <w:sz w:val="4"/>
                <w:szCs w:val="4"/>
              </w:rPr>
            </w:pPr>
            <w:r>
              <w:rPr>
                <w:sz w:val="4"/>
                <w:szCs w:val="4"/>
              </w:rPr>
            </w:r>
          </w:p>
        </w:tc>
      </w:tr>
      <w:tr>
        <w:trPr/>
        <w:tc>
          <w:tcPr>
            <w:tcW w:w="5096" w:type="dxa"/>
            <w:tcBorders/>
          </w:tcPr>
          <w:p>
            <w:pPr>
              <w:pStyle w:val="TableContents"/>
              <w:bidi w:val="0"/>
              <w:spacing w:before="0" w:after="283"/>
              <w:jc w:val="left"/>
              <w:rPr>
                <w:sz w:val="4"/>
                <w:szCs w:val="4"/>
              </w:rPr>
            </w:pPr>
            <w:r>
              <w:rPr>
                <w:sz w:val="4"/>
                <w:szCs w:val="4"/>
              </w:rPr>
            </w:r>
          </w:p>
        </w:tc>
        <w:tc>
          <w:tcPr>
            <w:tcW w:w="121" w:type="dxa"/>
            <w:tcBorders/>
            <w:vAlign w:val="bottom"/>
          </w:tcPr>
          <w:p>
            <w:pPr>
              <w:pStyle w:val="TableContents"/>
              <w:bidi w:val="0"/>
              <w:spacing w:before="0" w:after="283"/>
              <w:jc w:val="left"/>
              <w:rPr/>
            </w:pPr>
            <w:r>
              <w:rPr/>
              <w:t>  </w:t>
            </w:r>
          </w:p>
        </w:tc>
        <w:tc>
          <w:tcPr>
            <w:tcW w:w="4988" w:type="dxa"/>
            <w:tcBorders/>
            <w:vAlign w:val="bottom"/>
          </w:tcPr>
          <w:p>
            <w:pPr>
              <w:pStyle w:val="TableContents"/>
              <w:bidi w:val="0"/>
              <w:spacing w:before="0" w:after="283"/>
              <w:jc w:val="right"/>
              <w:rPr/>
            </w:pPr>
            <w:r>
              <w:rPr/>
              <w:t>June 2, 2026</w:t>
            </w:r>
          </w:p>
        </w:tc>
      </w:tr>
    </w:tbl>
    <w:p>
      <w:pPr>
        <w:pStyle w:val="TextBody"/>
        <w:bidi w:val="0"/>
        <w:spacing w:before="480" w:after="0"/>
        <w:jc w:val="left"/>
        <w:rPr>
          <w:rFonts w:ascii="Times New Roman" w:hAnsi="Times New Roman"/>
          <w:sz w:val="20"/>
        </w:rPr>
      </w:pPr>
      <w:r>
        <w:rPr>
          <w:rFonts w:ascii="Times New Roman" w:hAnsi="Times New Roman"/>
          <w:sz w:val="20"/>
        </w:rPr>
        <w:t xml:space="preserve">Intuitive Machines, Inc. </w:t>
      </w:r>
    </w:p>
    <w:p>
      <w:pPr>
        <w:pStyle w:val="TextBody"/>
        <w:bidi w:val="0"/>
        <w:spacing w:before="0" w:after="0"/>
        <w:jc w:val="left"/>
        <w:rPr>
          <w:rFonts w:ascii="Times New Roman" w:hAnsi="Times New Roman"/>
          <w:sz w:val="20"/>
        </w:rPr>
      </w:pPr>
      <w:r>
        <w:rPr>
          <w:rFonts w:ascii="Times New Roman" w:hAnsi="Times New Roman"/>
          <w:sz w:val="20"/>
        </w:rPr>
        <w:t xml:space="preserve">13467 Columbia Shuttle Street </w:t>
      </w:r>
    </w:p>
    <w:p>
      <w:pPr>
        <w:pStyle w:val="TextBody"/>
        <w:bidi w:val="0"/>
        <w:spacing w:before="0" w:after="0"/>
        <w:jc w:val="left"/>
        <w:rPr>
          <w:rFonts w:ascii="Times New Roman" w:hAnsi="Times New Roman"/>
          <w:sz w:val="20"/>
        </w:rPr>
      </w:pPr>
      <w:r>
        <w:rPr>
          <w:rFonts w:ascii="Times New Roman" w:hAnsi="Times New Roman"/>
          <w:sz w:val="20"/>
        </w:rPr>
        <w:t xml:space="preserve">Houston, TX 77059 </w:t>
      </w:r>
    </w:p>
    <w:p>
      <w:pPr>
        <w:pStyle w:val="TextBody"/>
        <w:bidi w:val="0"/>
        <w:spacing w:before="240" w:after="0"/>
        <w:jc w:val="left"/>
        <w:rPr>
          <w:rFonts w:ascii="Times New Roman" w:hAnsi="Times New Roman"/>
          <w:sz w:val="20"/>
        </w:rPr>
      </w:pPr>
      <w:r>
        <w:rPr>
          <w:rFonts w:ascii="Times New Roman" w:hAnsi="Times New Roman"/>
          <w:sz w:val="20"/>
        </w:rPr>
        <w:t xml:space="preserve">To the Addressee Stated Above: </w:t>
      </w:r>
    </w:p>
    <w:p>
      <w:pPr>
        <w:pStyle w:val="TextBody"/>
        <w:bidi w:val="0"/>
        <w:spacing w:before="240" w:after="0"/>
        <w:jc w:val="left"/>
        <w:rPr>
          <w:rFonts w:ascii="Times New Roman" w:hAnsi="Times New Roman"/>
          <w:sz w:val="20"/>
        </w:rPr>
      </w:pPr>
      <w:r>
        <w:rPr>
          <w:rFonts w:ascii="Times New Roman" w:hAnsi="Times New Roman"/>
          <w:sz w:val="20"/>
        </w:rPr>
        <w:t xml:space="preserve">We have acted as counsel to Intuitive Machines, Inc., a Delaware corporation (the “Company”) in connection with the Registration Statement on Form S-3 (the “Registration Statement”) filed by the Company Securities and Exchange Commission (the “Commission”) under the Securities Act of 1933, as amended, relating to shares of Class A common stock of the Company $0.0001 par value per share (the “Common Stock”). The Common Stock may be issued and sold or delivered from time to time for an indeterminate aggregate initial offering price. </w:t>
      </w:r>
    </w:p>
    <w:p>
      <w:pPr>
        <w:pStyle w:val="TextBody"/>
        <w:bidi w:val="0"/>
        <w:spacing w:before="240" w:after="0"/>
        <w:jc w:val="left"/>
        <w:rPr>
          <w:rFonts w:ascii="Times New Roman" w:hAnsi="Times New Roman"/>
          <w:sz w:val="20"/>
        </w:rPr>
      </w:pPr>
      <w:r>
        <w:rPr>
          <w:rFonts w:ascii="Times New Roman" w:hAnsi="Times New Roman"/>
          <w:sz w:val="20"/>
        </w:rPr>
        <w:t xml:space="preserve">We have examined the Registration Statement and the Certificate of Incorporation of the Company, which has been filed with the Commission as an exhibit to the Registration Statement. In addition, we have examined, and have relied as to matters of fact upon, originals, or duplicates or certified or conformed copies, of such records, agreements, documents and other instruments and such certificates or comparable documents of public officials and of officers and representatives of the Company and have made such other investigations as we have deemed relevant and necessary in connection with the opinions hereinafter set forth. </w:t>
      </w:r>
    </w:p>
    <w:p>
      <w:pPr>
        <w:pStyle w:val="TextBody"/>
        <w:bidi w:val="0"/>
        <w:spacing w:before="240" w:after="0"/>
        <w:jc w:val="left"/>
        <w:rPr>
          <w:rFonts w:ascii="Times New Roman" w:hAnsi="Times New Roman"/>
          <w:sz w:val="20"/>
        </w:rPr>
      </w:pPr>
      <w:r>
        <w:rPr>
          <w:rFonts w:ascii="Times New Roman" w:hAnsi="Times New Roman"/>
          <w:sz w:val="20"/>
        </w:rPr>
        <w:t xml:space="preserve">In rendering the opinions set forth below, we have assumed the genuineness of all signatures, including electronic signatures, the legal capacity of natural persons, the authenticity of all documents submitted to us as originals, the conformity to original documents of all documents submitted to us as duplicates or certified or conformed copies, and the authenticity of the originals of such latter documents. We also have assumed that, with respect to the issuance of any shares of Common Stock, the amount of valid consideration paid in respect of such shares will equal or exceed the par value of such shares. </w:t>
      </w:r>
    </w:p>
    <w:p>
      <w:pPr>
        <w:pStyle w:val="TextBody"/>
        <w:bidi w:val="0"/>
        <w:spacing w:before="0" w:after="0"/>
        <w:jc w:val="left"/>
        <w:rPr/>
      </w:pPr>
      <w:r>
        <w:rPr/>
        <w:t> </w:t>
      </w:r>
    </w:p>
    <w:tbl>
      <w:tblPr>
        <w:tblW w:w="18095" w:type="dxa"/>
        <w:jc w:val="center"/>
        <w:tblInd w:w="0" w:type="dxa"/>
        <w:tblLayout w:type="fixed"/>
        <w:tblCellMar>
          <w:top w:w="0" w:type="dxa"/>
          <w:left w:w="0" w:type="dxa"/>
          <w:bottom w:w="0" w:type="dxa"/>
          <w:right w:w="0" w:type="dxa"/>
        </w:tblCellMar>
      </w:tblPr>
      <w:tblGrid>
        <w:gridCol w:w="1340"/>
        <w:gridCol w:w="60"/>
        <w:gridCol w:w="935"/>
        <w:gridCol w:w="60"/>
        <w:gridCol w:w="1010"/>
        <w:gridCol w:w="60"/>
        <w:gridCol w:w="1235"/>
        <w:gridCol w:w="60"/>
        <w:gridCol w:w="1520"/>
        <w:gridCol w:w="60"/>
        <w:gridCol w:w="1205"/>
        <w:gridCol w:w="60"/>
        <w:gridCol w:w="1070"/>
        <w:gridCol w:w="60"/>
        <w:gridCol w:w="1670"/>
        <w:gridCol w:w="60"/>
        <w:gridCol w:w="1760"/>
        <w:gridCol w:w="60"/>
        <w:gridCol w:w="1385"/>
        <w:gridCol w:w="60"/>
        <w:gridCol w:w="1955"/>
        <w:gridCol w:w="60"/>
        <w:gridCol w:w="1400"/>
        <w:gridCol w:w="60"/>
        <w:gridCol w:w="890"/>
      </w:tblGrid>
      <w:tr>
        <w:trPr/>
        <w:tc>
          <w:tcPr>
            <w:tcW w:w="134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76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955"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890" w:type="dxa"/>
            <w:tcBorders/>
            <w:vAlign w:val="center"/>
          </w:tcPr>
          <w:p>
            <w:pPr>
              <w:pStyle w:val="TableContents"/>
              <w:bidi w:val="0"/>
              <w:spacing w:before="0" w:after="283"/>
              <w:jc w:val="left"/>
              <w:rPr>
                <w:sz w:val="4"/>
                <w:szCs w:val="4"/>
              </w:rPr>
            </w:pPr>
            <w:r>
              <w:rPr>
                <w:sz w:val="4"/>
                <w:szCs w:val="4"/>
              </w:rPr>
            </w:r>
          </w:p>
        </w:tc>
      </w:tr>
      <w:tr>
        <w:trPr/>
        <w:tc>
          <w:tcPr>
            <w:tcW w:w="1340" w:type="dxa"/>
            <w:tcBorders/>
            <w:vAlign w:val="bottom"/>
          </w:tcPr>
          <w:p>
            <w:pPr>
              <w:pStyle w:val="TableContents"/>
              <w:bidi w:val="0"/>
              <w:spacing w:before="0" w:after="283"/>
              <w:jc w:val="center"/>
              <w:rPr/>
            </w:pPr>
            <w:r>
              <w:rPr/>
              <w:br/>
              <w:t>NEW YORK  </w:t>
            </w:r>
          </w:p>
        </w:tc>
        <w:tc>
          <w:tcPr>
            <w:tcW w:w="60" w:type="dxa"/>
            <w:tcBorders/>
            <w:vAlign w:val="bottom"/>
          </w:tcPr>
          <w:p>
            <w:pPr>
              <w:pStyle w:val="TableContents"/>
              <w:bidi w:val="0"/>
              <w:spacing w:before="0" w:after="283"/>
              <w:jc w:val="left"/>
              <w:rPr/>
            </w:pPr>
            <w:r>
              <w:rPr/>
              <w:t> </w:t>
            </w:r>
          </w:p>
        </w:tc>
        <w:tc>
          <w:tcPr>
            <w:tcW w:w="935" w:type="dxa"/>
            <w:tcBorders/>
            <w:vAlign w:val="bottom"/>
          </w:tcPr>
          <w:p>
            <w:pPr>
              <w:pStyle w:val="TableContents"/>
              <w:bidi w:val="0"/>
              <w:spacing w:before="0" w:after="283"/>
              <w:jc w:val="center"/>
              <w:rPr/>
            </w:pPr>
            <w:r>
              <w:rPr/>
              <w:t>BEIJING</w:t>
            </w:r>
          </w:p>
        </w:tc>
        <w:tc>
          <w:tcPr>
            <w:tcW w:w="60" w:type="dxa"/>
            <w:tcBorders/>
            <w:vAlign w:val="bottom"/>
          </w:tcPr>
          <w:p>
            <w:pPr>
              <w:pStyle w:val="TableContents"/>
              <w:bidi w:val="0"/>
              <w:spacing w:before="0" w:after="283"/>
              <w:jc w:val="left"/>
              <w:rPr/>
            </w:pPr>
            <w:r>
              <w:rPr/>
              <w:t> </w:t>
            </w:r>
          </w:p>
        </w:tc>
        <w:tc>
          <w:tcPr>
            <w:tcW w:w="1010" w:type="dxa"/>
            <w:tcBorders/>
            <w:vAlign w:val="bottom"/>
          </w:tcPr>
          <w:p>
            <w:pPr>
              <w:pStyle w:val="TableContents"/>
              <w:bidi w:val="0"/>
              <w:spacing w:before="0" w:after="283"/>
              <w:jc w:val="center"/>
              <w:rPr/>
            </w:pPr>
            <w:r>
              <w:rPr/>
              <w:t>BOSTON</w:t>
            </w:r>
          </w:p>
        </w:tc>
        <w:tc>
          <w:tcPr>
            <w:tcW w:w="60" w:type="dxa"/>
            <w:tcBorders/>
            <w:vAlign w:val="bottom"/>
          </w:tcPr>
          <w:p>
            <w:pPr>
              <w:pStyle w:val="TableContents"/>
              <w:bidi w:val="0"/>
              <w:spacing w:before="0" w:after="283"/>
              <w:jc w:val="left"/>
              <w:rPr/>
            </w:pPr>
            <w:r>
              <w:rPr/>
              <w:t> </w:t>
            </w:r>
          </w:p>
        </w:tc>
        <w:tc>
          <w:tcPr>
            <w:tcW w:w="1235" w:type="dxa"/>
            <w:tcBorders/>
            <w:vAlign w:val="bottom"/>
          </w:tcPr>
          <w:p>
            <w:pPr>
              <w:pStyle w:val="TableContents"/>
              <w:bidi w:val="0"/>
              <w:spacing w:before="0" w:after="283"/>
              <w:jc w:val="center"/>
              <w:rPr/>
            </w:pPr>
            <w:r>
              <w:rPr/>
              <w:t>BRUSSELS</w:t>
            </w:r>
          </w:p>
        </w:tc>
        <w:tc>
          <w:tcPr>
            <w:tcW w:w="60" w:type="dxa"/>
            <w:tcBorders/>
            <w:vAlign w:val="bottom"/>
          </w:tcPr>
          <w:p>
            <w:pPr>
              <w:pStyle w:val="TableContents"/>
              <w:bidi w:val="0"/>
              <w:spacing w:before="0" w:after="283"/>
              <w:jc w:val="left"/>
              <w:rPr/>
            </w:pPr>
            <w:r>
              <w:rPr/>
              <w:t> </w:t>
            </w:r>
          </w:p>
        </w:tc>
        <w:tc>
          <w:tcPr>
            <w:tcW w:w="1520" w:type="dxa"/>
            <w:tcBorders/>
            <w:vAlign w:val="bottom"/>
          </w:tcPr>
          <w:p>
            <w:pPr>
              <w:pStyle w:val="TableContents"/>
              <w:bidi w:val="0"/>
              <w:spacing w:before="0" w:after="283"/>
              <w:jc w:val="center"/>
              <w:rPr/>
            </w:pPr>
            <w:r>
              <w:rPr/>
              <w:t>HONG KONG</w:t>
            </w:r>
          </w:p>
        </w:tc>
        <w:tc>
          <w:tcPr>
            <w:tcW w:w="60" w:type="dxa"/>
            <w:tcBorders/>
            <w:vAlign w:val="bottom"/>
          </w:tcPr>
          <w:p>
            <w:pPr>
              <w:pStyle w:val="TableContents"/>
              <w:bidi w:val="0"/>
              <w:spacing w:before="0" w:after="283"/>
              <w:jc w:val="left"/>
              <w:rPr/>
            </w:pPr>
            <w:r>
              <w:rPr/>
              <w:t> </w:t>
            </w:r>
          </w:p>
        </w:tc>
        <w:tc>
          <w:tcPr>
            <w:tcW w:w="1205" w:type="dxa"/>
            <w:tcBorders/>
            <w:vAlign w:val="bottom"/>
          </w:tcPr>
          <w:p>
            <w:pPr>
              <w:pStyle w:val="TableContents"/>
              <w:bidi w:val="0"/>
              <w:spacing w:before="0" w:after="283"/>
              <w:jc w:val="center"/>
              <w:rPr/>
            </w:pPr>
            <w:r>
              <w:rPr/>
              <w:t>HOUSTON</w:t>
            </w:r>
          </w:p>
        </w:tc>
        <w:tc>
          <w:tcPr>
            <w:tcW w:w="60" w:type="dxa"/>
            <w:tcBorders/>
            <w:vAlign w:val="bottom"/>
          </w:tcPr>
          <w:p>
            <w:pPr>
              <w:pStyle w:val="TableContents"/>
              <w:bidi w:val="0"/>
              <w:spacing w:before="0" w:after="283"/>
              <w:jc w:val="left"/>
              <w:rPr/>
            </w:pPr>
            <w:r>
              <w:rPr/>
              <w:t> </w:t>
            </w:r>
          </w:p>
        </w:tc>
        <w:tc>
          <w:tcPr>
            <w:tcW w:w="1070" w:type="dxa"/>
            <w:tcBorders/>
            <w:vAlign w:val="bottom"/>
          </w:tcPr>
          <w:p>
            <w:pPr>
              <w:pStyle w:val="TableContents"/>
              <w:bidi w:val="0"/>
              <w:spacing w:before="0" w:after="283"/>
              <w:jc w:val="center"/>
              <w:rPr/>
            </w:pPr>
            <w:r>
              <w:rPr/>
              <w:t>LONDON</w:t>
            </w:r>
          </w:p>
        </w:tc>
        <w:tc>
          <w:tcPr>
            <w:tcW w:w="60" w:type="dxa"/>
            <w:tcBorders/>
            <w:vAlign w:val="bottom"/>
          </w:tcPr>
          <w:p>
            <w:pPr>
              <w:pStyle w:val="TableContents"/>
              <w:bidi w:val="0"/>
              <w:spacing w:before="0" w:after="283"/>
              <w:jc w:val="left"/>
              <w:rPr/>
            </w:pPr>
            <w:r>
              <w:rPr/>
              <w:t> </w:t>
            </w:r>
          </w:p>
        </w:tc>
        <w:tc>
          <w:tcPr>
            <w:tcW w:w="1670" w:type="dxa"/>
            <w:tcBorders/>
            <w:vAlign w:val="bottom"/>
          </w:tcPr>
          <w:p>
            <w:pPr>
              <w:pStyle w:val="TableContents"/>
              <w:bidi w:val="0"/>
              <w:spacing w:before="0" w:after="283"/>
              <w:jc w:val="center"/>
              <w:rPr/>
            </w:pPr>
            <w:r>
              <w:rPr/>
              <w:t>LOS ANGELES</w:t>
            </w:r>
          </w:p>
        </w:tc>
        <w:tc>
          <w:tcPr>
            <w:tcW w:w="60" w:type="dxa"/>
            <w:tcBorders/>
            <w:vAlign w:val="bottom"/>
          </w:tcPr>
          <w:p>
            <w:pPr>
              <w:pStyle w:val="TableContents"/>
              <w:bidi w:val="0"/>
              <w:spacing w:before="0" w:after="283"/>
              <w:jc w:val="left"/>
              <w:rPr/>
            </w:pPr>
            <w:r>
              <w:rPr/>
              <w:t> </w:t>
            </w:r>
          </w:p>
        </w:tc>
        <w:tc>
          <w:tcPr>
            <w:tcW w:w="1760" w:type="dxa"/>
            <w:tcBorders/>
            <w:vAlign w:val="bottom"/>
          </w:tcPr>
          <w:p>
            <w:pPr>
              <w:pStyle w:val="TableContents"/>
              <w:bidi w:val="0"/>
              <w:spacing w:before="0" w:after="283"/>
              <w:jc w:val="center"/>
              <w:rPr/>
            </w:pPr>
            <w:r>
              <w:rPr/>
              <w:t>LUXEMBOURG</w:t>
            </w:r>
          </w:p>
        </w:tc>
        <w:tc>
          <w:tcPr>
            <w:tcW w:w="60" w:type="dxa"/>
            <w:tcBorders/>
            <w:vAlign w:val="bottom"/>
          </w:tcPr>
          <w:p>
            <w:pPr>
              <w:pStyle w:val="TableContents"/>
              <w:bidi w:val="0"/>
              <w:spacing w:before="0" w:after="283"/>
              <w:jc w:val="left"/>
              <w:rPr/>
            </w:pPr>
            <w:r>
              <w:rPr/>
              <w:t> </w:t>
            </w:r>
          </w:p>
        </w:tc>
        <w:tc>
          <w:tcPr>
            <w:tcW w:w="1385" w:type="dxa"/>
            <w:tcBorders/>
            <w:vAlign w:val="bottom"/>
          </w:tcPr>
          <w:p>
            <w:pPr>
              <w:pStyle w:val="TableContents"/>
              <w:bidi w:val="0"/>
              <w:spacing w:before="0" w:after="283"/>
              <w:jc w:val="center"/>
              <w:rPr/>
            </w:pPr>
            <w:r>
              <w:rPr/>
              <w:t>PALO ALTO</w:t>
            </w:r>
          </w:p>
        </w:tc>
        <w:tc>
          <w:tcPr>
            <w:tcW w:w="60" w:type="dxa"/>
            <w:tcBorders/>
            <w:vAlign w:val="bottom"/>
          </w:tcPr>
          <w:p>
            <w:pPr>
              <w:pStyle w:val="TableContents"/>
              <w:bidi w:val="0"/>
              <w:spacing w:before="0" w:after="283"/>
              <w:jc w:val="left"/>
              <w:rPr/>
            </w:pPr>
            <w:r>
              <w:rPr/>
              <w:t> </w:t>
            </w:r>
          </w:p>
        </w:tc>
        <w:tc>
          <w:tcPr>
            <w:tcW w:w="1955" w:type="dxa"/>
            <w:tcBorders/>
            <w:vAlign w:val="bottom"/>
          </w:tcPr>
          <w:p>
            <w:pPr>
              <w:pStyle w:val="TableContents"/>
              <w:bidi w:val="0"/>
              <w:spacing w:before="0" w:after="283"/>
              <w:jc w:val="center"/>
              <w:rPr/>
            </w:pPr>
            <w:r>
              <w:rPr/>
              <w:t>SAN FRANCISCO</w:t>
            </w:r>
          </w:p>
        </w:tc>
        <w:tc>
          <w:tcPr>
            <w:tcW w:w="60" w:type="dxa"/>
            <w:tcBorders/>
            <w:vAlign w:val="bottom"/>
          </w:tcPr>
          <w:p>
            <w:pPr>
              <w:pStyle w:val="TableContents"/>
              <w:bidi w:val="0"/>
              <w:spacing w:before="0" w:after="283"/>
              <w:jc w:val="left"/>
              <w:rPr/>
            </w:pPr>
            <w:r>
              <w:rPr/>
              <w:t> </w:t>
            </w:r>
          </w:p>
        </w:tc>
        <w:tc>
          <w:tcPr>
            <w:tcW w:w="1400" w:type="dxa"/>
            <w:tcBorders/>
            <w:vAlign w:val="bottom"/>
          </w:tcPr>
          <w:p>
            <w:pPr>
              <w:pStyle w:val="TableContents"/>
              <w:bidi w:val="0"/>
              <w:spacing w:before="0" w:after="283"/>
              <w:jc w:val="center"/>
              <w:rPr/>
            </w:pPr>
            <w:r>
              <w:rPr/>
              <w:t>SÃO PAULO</w:t>
            </w:r>
          </w:p>
        </w:tc>
        <w:tc>
          <w:tcPr>
            <w:tcW w:w="60" w:type="dxa"/>
            <w:tcBorders/>
            <w:vAlign w:val="bottom"/>
          </w:tcPr>
          <w:p>
            <w:pPr>
              <w:pStyle w:val="TableContents"/>
              <w:bidi w:val="0"/>
              <w:spacing w:before="0" w:after="283"/>
              <w:jc w:val="left"/>
              <w:rPr/>
            </w:pPr>
            <w:r>
              <w:rPr/>
              <w:t> </w:t>
            </w:r>
          </w:p>
        </w:tc>
        <w:tc>
          <w:tcPr>
            <w:tcW w:w="890" w:type="dxa"/>
            <w:tcBorders/>
            <w:vAlign w:val="bottom"/>
          </w:tcPr>
          <w:p>
            <w:pPr>
              <w:pStyle w:val="TableContents"/>
              <w:bidi w:val="0"/>
              <w:spacing w:before="0" w:after="283"/>
              <w:jc w:val="center"/>
              <w:rPr/>
            </w:pPr>
            <w:r>
              <w:rPr/>
              <w:t>TOKYO</w:t>
            </w:r>
          </w:p>
        </w:tc>
      </w:tr>
    </w:tbl>
    <w:p>
      <w:pPr>
        <w:pStyle w:val="HorizontalLine"/>
        <w:pBdr>
          <w:bottom w:val="double" w:sz="6" w:space="0" w:color="808080"/>
        </w:pBdr>
        <w:bidi w:val="0"/>
        <w:jc w:val="left"/>
        <w:rPr/>
      </w:pPr>
      <w:r>
        <w:br w:type="page"/>
      </w:r>
      <w:r>
        <w:rPr/>
      </w:r>
    </w:p>
    <w:p>
      <w:pPr>
        <w:pStyle w:val="TextBody"/>
        <w:bidi w:val="0"/>
        <w:spacing w:before="0" w:after="0"/>
        <w:jc w:val="left"/>
        <w:rPr>
          <w:rFonts w:ascii="Times New Roman" w:hAnsi="Times New Roman"/>
          <w:sz w:val="20"/>
        </w:rPr>
      </w:pPr>
      <w:r>
        <w:rPr>
          <w:rFonts w:ascii="Times New Roman" w:hAnsi="Times New Roman"/>
          <w:sz w:val="20"/>
        </w:rPr>
        <w:t xml:space="preserve">In rendering the opinions set forth below, we have assumed further that, at the time of issuance and delivery, as applicable, of each of the applicable shares of Common Stock, (1) the Company will be validly existing and in good standing under the law of the jurisdiction in which it is organized (2) the issuance and delivery, as applicable, by the Company of such Common Stock will not constitute a breach or violation of its organizational documents or violate the law of the jurisdiction in which it is organized or any other jurisdiction (except that no such assumption is made with respect to the Delaware General Corporation Law (“DGCL”), assuming there shall not have been any change in such law affecting the validity of such Common Stock) and (3) the issuance and delivery, as applicable, by the Company of such Common Stock (a) will not constitute a breach or default under any agreement or instrument which is binding upon the Company and (b) will comply with all applicable regulatory requirements. </w:t>
      </w:r>
    </w:p>
    <w:p>
      <w:pPr>
        <w:pStyle w:val="TextBody"/>
        <w:bidi w:val="0"/>
        <w:spacing w:before="240" w:after="0"/>
        <w:jc w:val="left"/>
        <w:rPr>
          <w:rFonts w:ascii="Times New Roman" w:hAnsi="Times New Roman"/>
          <w:sz w:val="20"/>
        </w:rPr>
      </w:pPr>
      <w:r>
        <w:rPr>
          <w:rFonts w:ascii="Times New Roman" w:hAnsi="Times New Roman"/>
          <w:sz w:val="20"/>
        </w:rPr>
        <w:t xml:space="preserve">Based upon the foregoing, and subject to the qualifications, assumptions and limitations stated herein, we are of the opinion that: </w:t>
      </w:r>
    </w:p>
    <w:p>
      <w:pPr>
        <w:pStyle w:val="TextBody"/>
        <w:bidi w:val="0"/>
        <w:spacing w:before="120" w:after="0"/>
        <w:jc w:val="left"/>
        <w:rPr>
          <w:rFonts w:ascii="Times New Roman" w:hAnsi="Times New Roman"/>
          <w:sz w:val="20"/>
        </w:rPr>
      </w:pPr>
      <w:r>
        <w:rPr>
          <w:rFonts w:ascii="Times New Roman" w:hAnsi="Times New Roman"/>
          <w:sz w:val="20"/>
        </w:rPr>
        <w:t xml:space="preserve">1.  Assuming (a) the taking of all necessary corporate action to authorize and approve the issuance of the Common Stock and the terms of the offering thereof so as not to violate any applicable law or agreement or instrument then binding on the Company and (b) due issuance and delivery of the Common Stock, upon payment therefor in accordance with the applicable definitive underwriting, purchase or similar agreement approved by the Board of Directors of the Company and otherwise in accordance with the provisions of such agreement, the Certificate of Incorporation and the DGCL, the Common Stock will be validly issued, fully paid and nonassessable.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Our opinion set forth above is subject to (i) the effects of bankruptcy, insolvency, fraudulent conveyance, reorganization, moratorium and other similar laws relating to or affecting creditors’ rights generally, (ii) general equitable principles (whether considered in a proceeding in equity or at law), and (iii) an implied covenant of good faith and fair dealing</w:t>
      </w:r>
      <w:r>
        <w:rPr>
          <w:rFonts w:ascii="Times New Roman" w:hAnsi="Times New Roman"/>
          <w:b/>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We do not express any opinion herein concerning any law other than the DGCL. </w:t>
      </w:r>
    </w:p>
    <w:p>
      <w:pPr>
        <w:pStyle w:val="TextBody"/>
        <w:bidi w:val="0"/>
        <w:spacing w:before="240" w:after="0"/>
        <w:jc w:val="left"/>
        <w:rPr>
          <w:rFonts w:ascii="Times New Roman" w:hAnsi="Times New Roman"/>
          <w:sz w:val="20"/>
        </w:rPr>
      </w:pPr>
      <w:r>
        <w:rPr>
          <w:rFonts w:ascii="Times New Roman" w:hAnsi="Times New Roman"/>
          <w:sz w:val="20"/>
        </w:rPr>
        <w:t xml:space="preserve">We hereby consent to the filing of this opinion letter as Exhibit 5 to the Registration Statement and to the use of our name under the caption “Legal Matters” in the Prospectus included in the Registration Statement.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4082"/>
      </w:tblGrid>
      <w:tr>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Very truly yours,</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 Simpson Thacher &amp; Bartlett LLP</w:t>
            </w:r>
          </w:p>
        </w:tc>
      </w:tr>
      <w:tr>
        <w:trPr>
          <w:trHeight w:val="240" w:hRule="atLeast"/>
        </w:trPr>
        <w:tc>
          <w:tcPr>
            <w:tcW w:w="4082" w:type="dxa"/>
            <w:tcBorders/>
            <w:vAlign w:val="center"/>
          </w:tcPr>
          <w:p>
            <w:pPr>
              <w:pStyle w:val="TableContents"/>
              <w:bidi w:val="0"/>
              <w:spacing w:before="0" w:after="283"/>
              <w:jc w:val="left"/>
              <w:rPr>
                <w:sz w:val="4"/>
                <w:szCs w:val="4"/>
              </w:rPr>
            </w:pPr>
            <w:r>
              <w:rPr>
                <w:sz w:val="4"/>
                <w:szCs w:val="4"/>
              </w:rPr>
            </w:r>
          </w:p>
        </w:tc>
      </w:tr>
      <w:tr>
        <w:trPr/>
        <w:tc>
          <w:tcPr>
            <w:tcW w:w="4082" w:type="dxa"/>
            <w:tcBorders/>
          </w:tcPr>
          <w:p>
            <w:pPr>
              <w:pStyle w:val="TableContents"/>
              <w:bidi w:val="0"/>
              <w:spacing w:before="0" w:after="283"/>
              <w:jc w:val="left"/>
              <w:rPr/>
            </w:pPr>
            <w:r>
              <w:rPr/>
              <w:t>SIMPSON THACHER &amp; BARTLETT LLP</w:t>
            </w:r>
          </w:p>
        </w:tc>
      </w:tr>
    </w:tbl>
    <w:p>
      <w:pPr>
        <w:pStyle w:val="TextBody"/>
        <w:bidi w:val="0"/>
        <w:spacing w:before="0" w:after="0"/>
        <w:jc w:val="right"/>
        <w:rPr>
          <w:rFonts w:ascii="Times New Roman" w:hAnsi="Times New Roman"/>
          <w:b/>
          <w:sz w:val="20"/>
        </w:rPr>
      </w:pPr>
      <w:bookmarkStart w:id="18" w:name="d130878dex231.htm"/>
      <w:bookmarkStart w:id="19" w:name="ksd130878dex231"/>
      <w:bookmarkEnd w:id="18"/>
      <w:bookmarkEnd w:id="19"/>
      <w:r>
        <w:rPr>
          <w:rFonts w:ascii="Times New Roman" w:hAnsi="Times New Roman"/>
          <w:b/>
          <w:sz w:val="20"/>
        </w:rPr>
        <w:t xml:space="preserve">Exhibit 23.1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REGISTERED PUBLIC ACCOUNTING FIRM </w:t>
      </w:r>
    </w:p>
    <w:p>
      <w:pPr>
        <w:pStyle w:val="TextBody"/>
        <w:bidi w:val="0"/>
        <w:spacing w:before="240" w:after="0"/>
        <w:jc w:val="left"/>
        <w:rPr>
          <w:rFonts w:ascii="Times New Roman" w:hAnsi="Times New Roman"/>
          <w:sz w:val="20"/>
        </w:rPr>
      </w:pPr>
      <w:r>
        <w:rPr>
          <w:rFonts w:ascii="Times New Roman" w:hAnsi="Times New Roman"/>
          <w:sz w:val="20"/>
        </w:rPr>
        <w:t xml:space="preserve">We have issued our report dated March 19, 2026, with respect to the consolidated financial statements of Intuitive Machines, Inc. included in the Annual Report on Form 10-K for the year ended December 31, 2025, which is incorporated by reference in this Registration Statement. We consent to incorporation by reference of the aforementioned report in this Registration Statement, and to the use of our name as it appears under the caption “Experts.” </w:t>
      </w:r>
    </w:p>
    <w:p>
      <w:pPr>
        <w:pStyle w:val="TextBody"/>
        <w:bidi w:val="0"/>
        <w:spacing w:before="240" w:after="0"/>
        <w:jc w:val="left"/>
        <w:rPr>
          <w:rFonts w:ascii="Times New Roman" w:hAnsi="Times New Roman"/>
          <w:sz w:val="20"/>
        </w:rPr>
      </w:pPr>
      <w:r>
        <w:rPr>
          <w:rFonts w:ascii="Times New Roman" w:hAnsi="Times New Roman"/>
          <w:sz w:val="20"/>
        </w:rPr>
        <w:t xml:space="preserve">/s/ GRANT THORNTON LLP </w:t>
      </w:r>
    </w:p>
    <w:p>
      <w:pPr>
        <w:pStyle w:val="TextBody"/>
        <w:bidi w:val="0"/>
        <w:spacing w:before="240" w:after="0"/>
        <w:jc w:val="left"/>
        <w:rPr>
          <w:rFonts w:ascii="Times New Roman" w:hAnsi="Times New Roman"/>
          <w:sz w:val="20"/>
        </w:rPr>
      </w:pPr>
      <w:r>
        <w:rPr>
          <w:rFonts w:ascii="Times New Roman" w:hAnsi="Times New Roman"/>
          <w:sz w:val="20"/>
        </w:rPr>
        <w:t xml:space="preserve">Houston, Texas </w:t>
      </w:r>
    </w:p>
    <w:p>
      <w:pPr>
        <w:pStyle w:val="TextBody"/>
        <w:bidi w:val="0"/>
        <w:spacing w:before="0" w:after="0"/>
        <w:jc w:val="left"/>
        <w:rPr>
          <w:rFonts w:ascii="Times New Roman" w:hAnsi="Times New Roman"/>
          <w:sz w:val="20"/>
        </w:rPr>
      </w:pPr>
      <w:r>
        <w:rPr>
          <w:rFonts w:ascii="Times New Roman" w:hAnsi="Times New Roman"/>
          <w:sz w:val="20"/>
        </w:rPr>
        <w:t xml:space="preserve">June 2, 2026 </w:t>
      </w:r>
    </w:p>
    <w:p>
      <w:pPr>
        <w:pStyle w:val="TextBody"/>
        <w:bidi w:val="0"/>
        <w:spacing w:before="0" w:after="0"/>
        <w:jc w:val="right"/>
        <w:rPr>
          <w:rFonts w:ascii="Times New Roman" w:hAnsi="Times New Roman"/>
          <w:b/>
          <w:sz w:val="20"/>
        </w:rPr>
      </w:pPr>
      <w:bookmarkStart w:id="20" w:name="d130878dex232.htm"/>
      <w:bookmarkStart w:id="21" w:name="ksd130878dex232"/>
      <w:bookmarkEnd w:id="20"/>
      <w:bookmarkEnd w:id="21"/>
      <w:r>
        <w:rPr>
          <w:rFonts w:ascii="Times New Roman" w:hAnsi="Times New Roman"/>
          <w:b/>
          <w:sz w:val="20"/>
        </w:rPr>
        <w:t xml:space="preserve">Exhibit 23.2 </w:t>
      </w:r>
      <w:r>
        <w:br w:type="page"/>
      </w:r>
    </w:p>
    <w:p>
      <w:pPr>
        <w:pStyle w:val="TextBody"/>
        <w:bidi w:val="0"/>
        <w:spacing w:before="240" w:after="0"/>
        <w:jc w:val="center"/>
        <w:rPr>
          <w:rFonts w:ascii="Times New Roman" w:hAnsi="Times New Roman"/>
          <w:b/>
          <w:sz w:val="20"/>
        </w:rPr>
      </w:pPr>
      <w:r>
        <w:rPr>
          <w:rFonts w:ascii="Times New Roman" w:hAnsi="Times New Roman"/>
          <w:b/>
          <w:sz w:val="20"/>
        </w:rPr>
        <w:t xml:space="preserve">Consent of Independent Auditors </w:t>
      </w:r>
    </w:p>
    <w:p>
      <w:pPr>
        <w:pStyle w:val="TextBody"/>
        <w:bidi w:val="0"/>
        <w:spacing w:before="240" w:after="0"/>
        <w:jc w:val="left"/>
        <w:rPr>
          <w:rFonts w:ascii="Times New Roman" w:hAnsi="Times New Roman"/>
          <w:sz w:val="20"/>
        </w:rPr>
      </w:pPr>
      <w:r>
        <w:rPr>
          <w:rFonts w:ascii="Times New Roman" w:hAnsi="Times New Roman"/>
          <w:sz w:val="20"/>
        </w:rPr>
        <w:t xml:space="preserve">We consent to the use of our report dated March 4, 2026, with respect to the consolidated financial statements of Lanteris Space Holdings, LLC, incorporated herein by reference and to the reference to our firm under the heading “Experts” in the prospectus. </w:t>
      </w:r>
    </w:p>
    <w:p>
      <w:pPr>
        <w:pStyle w:val="TextBody"/>
        <w:bidi w:val="0"/>
        <w:spacing w:before="240" w:after="0"/>
        <w:jc w:val="left"/>
        <w:rPr>
          <w:rFonts w:ascii="Times New Roman" w:hAnsi="Times New Roman"/>
          <w:sz w:val="20"/>
        </w:rPr>
      </w:pPr>
      <w:r>
        <w:rPr>
          <w:rFonts w:ascii="Times New Roman" w:hAnsi="Times New Roman"/>
          <w:sz w:val="20"/>
        </w:rPr>
        <w:t xml:space="preserve">/s/ KPMG LLP </w:t>
      </w:r>
    </w:p>
    <w:p>
      <w:pPr>
        <w:pStyle w:val="TextBody"/>
        <w:bidi w:val="0"/>
        <w:spacing w:before="240" w:after="0"/>
        <w:jc w:val="left"/>
        <w:rPr>
          <w:rFonts w:ascii="Times New Roman" w:hAnsi="Times New Roman"/>
          <w:sz w:val="20"/>
        </w:rPr>
      </w:pPr>
      <w:r>
        <w:rPr>
          <w:rFonts w:ascii="Times New Roman" w:hAnsi="Times New Roman"/>
          <w:sz w:val="20"/>
        </w:rPr>
        <w:t xml:space="preserve">Denver, Colorado </w:t>
      </w:r>
    </w:p>
    <w:p>
      <w:pPr>
        <w:pStyle w:val="TextBody"/>
        <w:bidi w:val="0"/>
        <w:spacing w:before="0" w:after="0"/>
        <w:jc w:val="left"/>
        <w:rPr>
          <w:rFonts w:ascii="Times New Roman" w:hAnsi="Times New Roman"/>
          <w:sz w:val="20"/>
        </w:rPr>
      </w:pPr>
      <w:r>
        <w:rPr>
          <w:rFonts w:ascii="Times New Roman" w:hAnsi="Times New Roman"/>
          <w:sz w:val="20"/>
        </w:rPr>
        <w:t xml:space="preserve">June 2, 2026 </w:t>
      </w:r>
    </w:p>
    <w:p>
      <w:pPr>
        <w:pStyle w:val="Normal"/>
        <w:bidi w:val="0"/>
        <w:spacing w:before="0" w:after="0"/>
        <w:jc w:val="left"/>
        <w:rPr>
          <w:sz w:val="4"/>
          <w:szCs w:val="4"/>
        </w:rPr>
      </w:pPr>
      <w:r>
        <w:rPr>
          <w:sz w:val="4"/>
          <w:szCs w:val="4"/>
        </w:rPr>
      </w:r>
      <w:bookmarkStart w:id="22" w:name="d130878dexfilingfees.htm"/>
      <w:bookmarkStart w:id="23" w:name="ksd130878dexfilingfees"/>
      <w:bookmarkStart w:id="24" w:name="d130878dexfilingfees.htm"/>
      <w:bookmarkStart w:id="25" w:name="ksd130878dexfilingfees"/>
      <w:bookmarkEnd w:id="24"/>
      <w:bookmarkEnd w:id="25"/>
      <w:r>
        <w:br w:type="page"/>
      </w:r>
    </w:p>
    <w:tbl>
      <w:tblPr>
        <w:tblW w:w="3574" w:type="dxa"/>
        <w:jc w:val="left"/>
        <w:tblInd w:w="0" w:type="dxa"/>
        <w:tblLayout w:type="fixed"/>
        <w:tblCellMar>
          <w:top w:w="28" w:type="dxa"/>
          <w:left w:w="28" w:type="dxa"/>
          <w:bottom w:w="28" w:type="dxa"/>
          <w:right w:w="28" w:type="dxa"/>
        </w:tblCellMar>
      </w:tblPr>
      <w:tblGrid>
        <w:gridCol w:w="3420"/>
        <w:gridCol w:w="154"/>
      </w:tblGrid>
      <w:tr>
        <w:trPr/>
        <w:tc>
          <w:tcPr>
            <w:tcW w:w="3574"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20"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420" w:type="dxa"/>
            <w:tcBorders/>
            <w:vAlign w:val="center"/>
          </w:tcPr>
          <w:p>
            <w:pPr>
              <w:pStyle w:val="TableContents"/>
              <w:bidi w:val="0"/>
              <w:spacing w:before="0" w:after="283"/>
              <w:jc w:val="left"/>
              <w:rPr>
                <w:b/>
              </w:rPr>
            </w:pPr>
            <w:r>
              <w:rPr>
                <w:b/>
              </w:rPr>
              <w:t xml:space="preserve">Intuitive Machines,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4924" w:type="dxa"/>
        <w:jc w:val="left"/>
        <w:tblInd w:w="0" w:type="dxa"/>
        <w:tblLayout w:type="fixed"/>
        <w:tblCellMar>
          <w:top w:w="28" w:type="dxa"/>
          <w:left w:w="28" w:type="dxa"/>
          <w:bottom w:w="28" w:type="dxa"/>
          <w:right w:w="28" w:type="dxa"/>
        </w:tblCellMar>
      </w:tblPr>
      <w:tblGrid>
        <w:gridCol w:w="1126"/>
        <w:gridCol w:w="226"/>
        <w:gridCol w:w="946"/>
        <w:gridCol w:w="991"/>
        <w:gridCol w:w="1276"/>
        <w:gridCol w:w="1186"/>
        <w:gridCol w:w="1156"/>
        <w:gridCol w:w="1156"/>
        <w:gridCol w:w="112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492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Class A Common Stock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right"/>
              <w:rPr/>
            </w:pPr>
            <w:r>
              <w:rPr/>
              <w:t xml:space="preserve">0.0001381 </w:t>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492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91"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0"/>
              <w:ind w:left="0" w:right="0" w:hanging="0"/>
              <w:jc w:val="right"/>
              <w:rPr/>
            </w:pPr>
            <w:bookmarkStart w:id="26" w:name="MaxAggtOfferingPrice"/>
            <w:bookmarkEnd w:id="26"/>
            <w:r>
              <w:rPr/>
              <w:t xml:space="preserve">$ 0.00 </w:t>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27" w:name="TotalFeeAmt"/>
            <w:bookmarkEnd w:id="2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8" w:name="TotalPreviouslyPaidAmt"/>
            <w:bookmarkEnd w:id="2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29" w:name="TotalOffsetAmt"/>
            <w:bookmarkEnd w:id="29"/>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53"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0" w:name="NetFeeAmt"/>
            <w:bookmarkEnd w:id="30"/>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2"/>
        <w:gridCol w:w="1296"/>
        <w:gridCol w:w="8697"/>
      </w:tblGrid>
      <w:tr>
        <w:trPr/>
        <w:tc>
          <w:tcPr>
            <w:tcW w:w="21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3" w:type="dxa"/>
            <w:gridSpan w:val="2"/>
            <w:tcBorders/>
            <w:vAlign w:val="center"/>
          </w:tcPr>
          <w:p>
            <w:pPr>
              <w:pStyle w:val="TableContents"/>
              <w:bidi w:val="0"/>
              <w:spacing w:before="0" w:after="283"/>
              <w:jc w:val="left"/>
              <w:rPr/>
            </w:pPr>
            <w:r>
              <w:rPr/>
              <w:t xml:space="preserve">(1) An indeterminate aggregate initial offering price or number of shares of the registrant's common stock is being registered as may from time to time be issued at indeterminate prices. (2) In accordance with Rules 456(b) and 457(r) under the Securities Act of 1933, as amended, the registrant is deferring payment of the entire registration fee. </w:t>
            </w:r>
          </w:p>
        </w:tc>
      </w:tr>
      <w:tr>
        <w:trPr/>
        <w:tc>
          <w:tcPr>
            <w:tcW w:w="1508" w:type="dxa"/>
            <w:gridSpan w:val="2"/>
            <w:tcBorders/>
            <w:vAlign w:val="center"/>
          </w:tcPr>
          <w:p>
            <w:pPr>
              <w:pStyle w:val="HorizontalLine"/>
              <w:pBdr>
                <w:bottom w:val="double" w:sz="2" w:space="0" w:color="808080"/>
              </w:pBdr>
              <w:bidi w:val="0"/>
              <w:spacing w:before="0" w:after="283"/>
              <w:jc w:val="left"/>
              <w:rPr/>
            </w:pPr>
            <w:r>
              <w:rPr/>
            </w:r>
          </w:p>
        </w:tc>
        <w:tc>
          <w:tcPr>
            <w:tcW w:w="869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Tahoma" w:cs="Noto Sans Devanagari"/>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1844452/000162828026019865/lunr-20251231.htm" TargetMode="External"/><Relationship Id="rId4" Type="http://schemas.openxmlformats.org/officeDocument/2006/relationships/hyperlink" Target="http://www.sec.gov/Archives/edgar/data/../../../ix?doc=/Archives/edgar/data/0001844452/000162828026035236/lunr-20260331.htm" TargetMode="External"/><Relationship Id="rId5" Type="http://schemas.openxmlformats.org/officeDocument/2006/relationships/hyperlink" Target="http://www.sec.gov/Archives/edgar/data/../../../ix?doc=/Archives/edgar/data/1844452/000119312526011200/d89967d8k.htm" TargetMode="External"/><Relationship Id="rId6" Type="http://schemas.openxmlformats.org/officeDocument/2006/relationships/hyperlink" Target="http://www.sec.gov/Archives/edgar/data/../../../ix?doc=/Archives/edgar/data/1844452/000162828026007275/lunr-20260205.htm" TargetMode="External"/><Relationship Id="rId7" Type="http://schemas.openxmlformats.org/officeDocument/2006/relationships/hyperlink" Target="http://www.sec.gov/Archives/edgar/data/../../../ix?doc=/Archives/edgar/data/1844452/000119312526068729/d51414d8k.htm" TargetMode="External"/><Relationship Id="rId8" Type="http://schemas.openxmlformats.org/officeDocument/2006/relationships/hyperlink" Target="http://www.sec.gov/Archives/edgar/data/../../../ix?doc=/Archives/edgar/data/1844452/000119312526082954/d103562d8k.htm" TargetMode="External"/><Relationship Id="rId9" Type="http://schemas.openxmlformats.org/officeDocument/2006/relationships/hyperlink" Target="http://www.sec.gov/Archives/edgar/data/../../../ix?doc=/Archives/edgar/data/1844452/000162828026034807/lunr-20260514.htm" TargetMode="External"/><Relationship Id="rId10" Type="http://schemas.openxmlformats.org/officeDocument/2006/relationships/hyperlink" Target="http://www.sec.gov/Archives/edgar/data/../../../ix?doc=/Archives/edgar/data/0001844452/000119312526137898/d132144d8ka.htm" TargetMode="External"/><Relationship Id="rId11" Type="http://schemas.openxmlformats.org/officeDocument/2006/relationships/hyperlink" Target="http://www.sec.gov/Archives/edgar/data/../../../ix?doc=/Archives/edgar/data/0001844452/000162828026027022/lunr-20260424.htm" TargetMode="External"/><Relationship Id="rId12" Type="http://schemas.openxmlformats.org/officeDocument/2006/relationships/hyperlink" Target="http://www.sec.gov/Archives/edgar/data/1844452/000121390023011021/ea173166-8a12b_intuitive.htm" TargetMode="External"/><Relationship Id="rId13" Type="http://schemas.openxmlformats.org/officeDocument/2006/relationships/hyperlink" Target="http://www.sec.gov/Archives/edgar/data/1844452/000184445225000023/ex410descriptionofcapitals.htm" TargetMode="External"/><Relationship Id="rId14" Type="http://schemas.openxmlformats.org/officeDocument/2006/relationships/hyperlink" Target="http://www.sec.gov/Archives/edgar/data/1844452/000121390023011495/ea173246ex3-1_intuitive.htm" TargetMode="External"/><Relationship Id="rId15" Type="http://schemas.openxmlformats.org/officeDocument/2006/relationships/hyperlink" Target="http://www.sec.gov/Archives/edgar/data/1844452/000121390023011495/ea173246ex3-2_intuitive.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41</Pages>
  <Words>18630</Words>
  <Characters>97905</Characters>
  <CharactersWithSpaces>116821</CharactersWithSpaces>
  <Paragraphs>1234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EX-23.2</dc:title>
</cp:coreProperties>
</file>