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Intuitive Machines,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9,813.00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4,995,206.00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4,995,206.00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4,995,206.00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SIG Brokerage,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4,995,206.00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140"/>
          </w:cols>
          <w:pgMar w:left="320" w:top="111" w:right="4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4,995,206.00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4,995,206.00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1"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4,985,393.00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4,995,206.00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4,985,393.00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4,995,206.00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4,995,206.00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ectPr>
          <w:pgSz w:w="11900" w:h="16838" w:orient="portrait"/>
          <w:cols w:equalWidth="0" w:num="2">
            <w:col w:w="1100" w:space="60"/>
            <w:col w:w="9980"/>
          </w:cols>
          <w:pgMar w:left="320" w:top="111" w:right="4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140"/>
          </w:cols>
          <w:pgMar w:left="320" w:top="111" w:right="4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BD, OO</w:t>
      </w:r>
    </w:p>
    <w:p>
      <w:pPr>
        <w:spacing w:after="0" w:line="2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Intuitive Machines,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13467 Columbia Shuttle Street, Houston, Texas 77059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56"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Class A Common Stock, $0.0001 par value per share (the "Shares"), of Intuitive Machines, Inc. (the "Company"). (i) G1 Execution Services, LLC (ii) SIG Brokerage, LP (iii) Susquehanna Securities, LLC Address or principal business office or, if none, residence:</w:t>
      </w:r>
    </w:p>
    <w:p>
      <w:pPr>
        <w:spacing w:after="0" w:line="189" w:lineRule="exact"/>
        <w:rPr>
          <w:rFonts w:ascii="Times New Roman" w:cs="Times New Roman" w:eastAsia="Times New Roman" w:hAnsi="Times New Roman"/>
          <w:sz w:val="22"/>
          <w:szCs w:val="22"/>
          <w:color w:val="auto"/>
        </w:rPr>
      </w:pPr>
    </w:p>
    <w:p>
      <w:pPr>
        <w:ind w:left="960" w:right="460" w:hanging="912"/>
        <w:spacing w:after="0" w:line="244"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G1 Execution Services, LLC is: 175 W. Jackson Blvd. Suite 1700 Chicago, IL 60604 The address of the principal business office of each of SIG Brokerage, LP and Susquehanna Securities, LLC is: 401 E. City Avenue Suite 220 Bala Cynwyd, PA 19004</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60" w:right="24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 and is incorporated herein by reference for each such Reporting Person. The number of Shares reported as</w:t>
      </w:r>
    </w:p>
    <w:p>
      <w:pPr>
        <w:sectPr>
          <w:pgSz w:w="11900" w:h="16838" w:orient="portrait"/>
          <w:cols w:equalWidth="0" w:num="1">
            <w:col w:w="11140"/>
          </w:cols>
          <w:pgMar w:left="320" w:top="112" w:right="439" w:bottom="0" w:gutter="0" w:footer="0" w:header="0"/>
        </w:sectPr>
      </w:pPr>
    </w:p>
    <w:bookmarkStart w:id="4" w:name="page5"/>
    <w:bookmarkEnd w:id="4"/>
    <w:p>
      <w:pPr>
        <w:ind w:left="920" w:right="180"/>
        <w:spacing w:after="0" w:line="244" w:lineRule="auto"/>
        <w:rPr>
          <w:sz w:val="20"/>
          <w:szCs w:val="20"/>
          <w:color w:val="auto"/>
        </w:rPr>
      </w:pPr>
      <w:r>
        <w:rPr>
          <w:rFonts w:ascii="Times New Roman" w:cs="Times New Roman" w:eastAsia="Times New Roman" w:hAnsi="Times New Roman"/>
          <w:sz w:val="22"/>
          <w:szCs w:val="22"/>
          <w:color w:val="auto"/>
        </w:rPr>
        <w:t>beneficially owned by Susquehanna Securities, LLC includes options to buy 4,868,500 Shares. The Company's Annual Report on Form 10-K, filed on March 19, 2026, indicates that there were 159,372,567 Shares outstanding as of March 11, 2026.</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SIG Brokerage, LP</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Susquehanna Securities, LLC</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INDEX EXHIBIT DESCRIPTION ________ ________ 99 Joint Filing Agreement* * Previously filed</w:t>
      </w:r>
    </w:p>
    <w:sectPr>
      <w:pgSz w:w="11900" w:h="16838" w:orient="portrait"/>
      <w:cols w:equalWidth="0" w:num="1">
        <w:col w:w="10099"/>
      </w:cols>
      <w:pgMar w:left="360" w:top="1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2026-05-15T11:32:23Z</dcterms:created>
  <dcterms:modified xsi:type="dcterms:W3CDTF">2026-05-15T11:32:23Z</dcterms:modified>
</cp:coreProperties>
</file>