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192"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color w:val="auto"/>
        </w:rPr>
        <w:t>Date of Report (Date of earliest event reported): June 8, 2026 (June 4, 2026)</w:t>
      </w:r>
    </w:p>
    <w:p>
      <w:pPr>
        <w:spacing w:after="0" w:line="18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INTUITIVE MACHINES,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460" w:type="dxa"/>
            <w:vAlign w:val="bottom"/>
            <w:gridSpan w:val="3"/>
          </w:tcPr>
          <w:p>
            <w:pPr>
              <w:jc w:val="right"/>
              <w:ind w:right="1370"/>
              <w:spacing w:after="0"/>
              <w:rPr>
                <w:sz w:val="20"/>
                <w:szCs w:val="20"/>
                <w:color w:val="auto"/>
              </w:rPr>
            </w:pPr>
            <w:r>
              <w:rPr>
                <w:rFonts w:ascii="Times New Roman" w:cs="Times New Roman" w:eastAsia="Times New Roman" w:hAnsi="Times New Roman"/>
                <w:sz w:val="18"/>
                <w:szCs w:val="18"/>
                <w:b w:val="1"/>
                <w:bCs w:val="1"/>
                <w:color w:val="auto"/>
              </w:rPr>
              <w:t>001-40823</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8"/>
              </w:rPr>
              <w:t>36-5056189</w:t>
            </w:r>
          </w:p>
        </w:tc>
      </w:tr>
      <w:tr>
        <w:trPr>
          <w:trHeight w:val="169"/>
        </w:trPr>
        <w:tc>
          <w:tcPr>
            <w:tcW w:w="2980" w:type="dxa"/>
            <w:vAlign w:val="bottom"/>
            <w:tcBorders>
              <w:top w:val="single" w:sz="8" w:color="auto"/>
            </w:tcBorders>
          </w:tcPr>
          <w:p>
            <w:pPr>
              <w:jc w:val="center"/>
              <w:ind w:left="610"/>
              <w:spacing w:after="0" w:line="169"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(Commission File Number)</w:t>
            </w:r>
          </w:p>
        </w:tc>
        <w:tc>
          <w:tcPr>
            <w:tcW w:w="8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840" w:type="dxa"/>
            <w:vAlign w:val="bottom"/>
            <w:tcBorders>
              <w:top w:val="single" w:sz="8" w:color="auto"/>
            </w:tcBorders>
          </w:tcPr>
          <w:p>
            <w:pPr>
              <w:jc w:val="center"/>
              <w:ind w:right="770"/>
              <w:spacing w:after="0" w:line="169"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8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72"/>
        </w:trPr>
        <w:tc>
          <w:tcPr>
            <w:tcW w:w="2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13467 Columbia Shuttle Street</w:t>
            </w:r>
          </w:p>
        </w:tc>
        <w:tc>
          <w:tcPr>
            <w:tcW w:w="2840" w:type="dxa"/>
            <w:vAlign w:val="bottom"/>
          </w:tcPr>
          <w:p>
            <w:pPr>
              <w:spacing w:after="0"/>
              <w:rPr>
                <w:sz w:val="24"/>
                <w:szCs w:val="24"/>
                <w:color w:val="auto"/>
              </w:rPr>
            </w:pPr>
          </w:p>
        </w:tc>
      </w:tr>
      <w:tr>
        <w:trPr>
          <w:trHeight w:val="220"/>
        </w:trPr>
        <w:tc>
          <w:tcPr>
            <w:tcW w:w="2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2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Houston, TX 77059</w:t>
            </w:r>
          </w:p>
        </w:tc>
        <w:tc>
          <w:tcPr>
            <w:tcW w:w="2840" w:type="dxa"/>
            <w:vAlign w:val="bottom"/>
          </w:tcPr>
          <w:p>
            <w:pPr>
              <w:spacing w:after="0"/>
              <w:rPr>
                <w:sz w:val="19"/>
                <w:szCs w:val="19"/>
                <w:color w:val="auto"/>
              </w:rPr>
            </w:pPr>
          </w:p>
        </w:tc>
      </w:tr>
      <w:tr>
        <w:trPr>
          <w:trHeight w:val="234"/>
        </w:trPr>
        <w:tc>
          <w:tcPr>
            <w:tcW w:w="2980" w:type="dxa"/>
            <w:vAlign w:val="bottom"/>
          </w:tcPr>
          <w:p>
            <w:pPr>
              <w:spacing w:after="0"/>
              <w:rPr>
                <w:sz w:val="20"/>
                <w:szCs w:val="20"/>
                <w:color w:val="auto"/>
              </w:rPr>
            </w:pPr>
          </w:p>
        </w:tc>
        <w:tc>
          <w:tcPr>
            <w:tcW w:w="540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2840" w:type="dxa"/>
            <w:vAlign w:val="bottom"/>
          </w:tcPr>
          <w:p>
            <w:pPr>
              <w:spacing w:after="0"/>
              <w:rPr>
                <w:sz w:val="20"/>
                <w:szCs w:val="20"/>
                <w:color w:val="auto"/>
              </w:rPr>
            </w:pPr>
          </w:p>
        </w:tc>
      </w:tr>
      <w:tr>
        <w:trPr>
          <w:trHeight w:val="392"/>
        </w:trPr>
        <w:tc>
          <w:tcPr>
            <w:tcW w:w="2980" w:type="dxa"/>
            <w:vAlign w:val="bottom"/>
          </w:tcPr>
          <w:p>
            <w:pPr>
              <w:spacing w:after="0"/>
              <w:rPr>
                <w:sz w:val="24"/>
                <w:szCs w:val="24"/>
                <w:color w:val="auto"/>
              </w:rPr>
            </w:pPr>
          </w:p>
        </w:tc>
        <w:tc>
          <w:tcPr>
            <w:tcW w:w="540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(281) 520-3703</w:t>
            </w:r>
          </w:p>
        </w:tc>
        <w:tc>
          <w:tcPr>
            <w:tcW w:w="2840" w:type="dxa"/>
            <w:vAlign w:val="bottom"/>
          </w:tcPr>
          <w:p>
            <w:pPr>
              <w:spacing w:after="0"/>
              <w:rPr>
                <w:sz w:val="24"/>
                <w:szCs w:val="24"/>
                <w:color w:val="auto"/>
              </w:rPr>
            </w:pPr>
          </w:p>
        </w:tc>
      </w:tr>
    </w:tbl>
    <w:p>
      <w:pPr>
        <w:spacing w:after="0" w:line="200" w:lineRule="exact"/>
        <w:rPr>
          <w:sz w:val="24"/>
          <w:szCs w:val="24"/>
          <w:color w:val="auto"/>
        </w:rPr>
      </w:pPr>
    </w:p>
    <w:p>
      <w:pPr>
        <w:spacing w:after="0" w:line="38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Wingdings" w:cs="Wingdings" w:eastAsia="Wingdings" w:hAnsi="Wingdings"/>
          <w:sz w:val="18"/>
          <w:szCs w:val="18"/>
          <w:b w:val="1"/>
          <w:bCs w:val="1"/>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Wingdings" w:cs="Wingdings" w:eastAsia="Wingdings" w:hAnsi="Wingdings"/>
          <w:sz w:val="18"/>
          <w:szCs w:val="18"/>
          <w:b w:val="1"/>
          <w:bCs w:val="1"/>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Wingdings" w:cs="Wingdings" w:eastAsia="Wingdings" w:hAnsi="Wingdings"/>
          <w:sz w:val="18"/>
          <w:szCs w:val="18"/>
          <w:b w:val="1"/>
          <w:bCs w:val="1"/>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7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40" w:type="dxa"/>
            <w:vAlign w:val="bottom"/>
          </w:tcPr>
          <w:p>
            <w:pPr>
              <w:spacing w:after="0"/>
              <w:rPr>
                <w:sz w:val="20"/>
                <w:szCs w:val="20"/>
                <w:color w:val="auto"/>
              </w:rPr>
            </w:pPr>
          </w:p>
        </w:tc>
      </w:tr>
      <w:tr>
        <w:trPr>
          <w:trHeight w:val="432"/>
        </w:trPr>
        <w:tc>
          <w:tcPr>
            <w:tcW w:w="5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5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LUNR</w:t>
            </w:r>
          </w:p>
        </w:tc>
        <w:tc>
          <w:tcPr>
            <w:tcW w:w="100" w:type="dxa"/>
            <w:vAlign w:val="bottom"/>
            <w:tcBorders>
              <w:top w:val="single" w:sz="8" w:color="CCEEFF"/>
            </w:tcBorders>
            <w:shd w:val="clear" w:color="auto" w:fill="CCEEFF"/>
          </w:tcPr>
          <w:p>
            <w:pPr>
              <w:spacing w:after="0"/>
              <w:rPr>
                <w:sz w:val="19"/>
                <w:szCs w:val="19"/>
                <w:color w:val="auto"/>
              </w:rPr>
            </w:pPr>
          </w:p>
        </w:tc>
        <w:tc>
          <w:tcPr>
            <w:tcW w:w="3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25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5"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x</w:t>
      </w:r>
    </w:p>
    <w:p>
      <w:pPr>
        <w:spacing w:after="0" w:line="19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787400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43"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Annual Meeting of Stockholders of Intuitive Machines Inc. (the “Company”) was held on June 4, 2026. Below are the final voting results for the following two proposals that were submitted to the Company’s stockholders, each of which is described in more detail in the Company’s definitive proxy statement for the Annual Meeting, filed with the Securities and Exchange Commission on April 24, 2026.</w:t>
      </w:r>
    </w:p>
    <w:p>
      <w:pPr>
        <w:spacing w:after="0" w:line="204"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8"/>
          <w:szCs w:val="18"/>
          <w:color w:val="auto"/>
        </w:rPr>
        <w:t>1.</w:t>
        <w:tab/>
        <w:t>Class III director nominees were elected for a term expiring in 2029.</w:t>
      </w: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3720" w:type="dxa"/>
            <w:vAlign w:val="bottom"/>
            <w:tcBorders>
              <w:top w:val="single" w:sz="8" w:color="auto"/>
              <w:left w:val="single" w:sz="8" w:color="auto"/>
              <w:right w:val="single" w:sz="8" w:color="auto"/>
            </w:tcBorders>
            <w:vMerge w:val="restart"/>
          </w:tcPr>
          <w:p>
            <w:pPr>
              <w:ind w:left="1500"/>
              <w:spacing w:after="0"/>
              <w:rPr>
                <w:sz w:val="20"/>
                <w:szCs w:val="20"/>
                <w:color w:val="auto"/>
              </w:rPr>
            </w:pPr>
            <w:r>
              <w:rPr>
                <w:rFonts w:ascii="Times New Roman" w:cs="Times New Roman" w:eastAsia="Times New Roman" w:hAnsi="Times New Roman"/>
                <w:sz w:val="16"/>
                <w:szCs w:val="16"/>
                <w:color w:val="auto"/>
              </w:rPr>
              <w:t>NOMINEE</w:t>
            </w:r>
          </w:p>
        </w:tc>
        <w:tc>
          <w:tcPr>
            <w:tcW w:w="2520" w:type="dxa"/>
            <w:vAlign w:val="bottom"/>
            <w:tcBorders>
              <w:top w:val="single" w:sz="8" w:color="auto"/>
              <w:right w:val="single" w:sz="8" w:color="auto"/>
            </w:tcBorders>
            <w:vMerge w:val="restart"/>
          </w:tcPr>
          <w:p>
            <w:pPr>
              <w:ind w:left="820"/>
              <w:spacing w:after="0"/>
              <w:rPr>
                <w:sz w:val="20"/>
                <w:szCs w:val="20"/>
                <w:color w:val="auto"/>
              </w:rPr>
            </w:pPr>
            <w:r>
              <w:rPr>
                <w:rFonts w:ascii="Times New Roman" w:cs="Times New Roman" w:eastAsia="Times New Roman" w:hAnsi="Times New Roman"/>
                <w:sz w:val="16"/>
                <w:szCs w:val="16"/>
                <w:color w:val="auto"/>
              </w:rPr>
              <w:t>VOTES FOR</w:t>
            </w:r>
          </w:p>
        </w:tc>
        <w:tc>
          <w:tcPr>
            <w:tcW w:w="25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VOTES AGAINST</w:t>
            </w:r>
          </w:p>
        </w:tc>
        <w:tc>
          <w:tcPr>
            <w:tcW w:w="2520" w:type="dxa"/>
            <w:vAlign w:val="bottom"/>
            <w:tcBorders>
              <w:top w:val="single" w:sz="8" w:color="auto"/>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BROKER</w:t>
            </w:r>
          </w:p>
        </w:tc>
        <w:tc>
          <w:tcPr>
            <w:tcW w:w="0" w:type="dxa"/>
            <w:vAlign w:val="bottom"/>
          </w:tcPr>
          <w:p>
            <w:pPr>
              <w:spacing w:after="0"/>
              <w:rPr>
                <w:sz w:val="1"/>
                <w:szCs w:val="1"/>
                <w:color w:val="auto"/>
              </w:rPr>
            </w:pPr>
          </w:p>
        </w:tc>
      </w:tr>
      <w:tr>
        <w:trPr>
          <w:trHeight w:val="213"/>
        </w:trPr>
        <w:tc>
          <w:tcPr>
            <w:tcW w:w="372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2520" w:type="dxa"/>
            <w:vAlign w:val="bottom"/>
            <w:tcBorders>
              <w:bottom w:val="single" w:sz="8" w:color="auto"/>
              <w:right w:val="single" w:sz="8" w:color="auto"/>
            </w:tcBorders>
            <w:vMerge w:val="continue"/>
          </w:tcPr>
          <w:p>
            <w:pPr>
              <w:spacing w:after="0"/>
              <w:rPr>
                <w:sz w:val="18"/>
                <w:szCs w:val="18"/>
                <w:color w:val="auto"/>
              </w:rPr>
            </w:pPr>
          </w:p>
        </w:tc>
        <w:tc>
          <w:tcPr>
            <w:tcW w:w="2500" w:type="dxa"/>
            <w:vAlign w:val="bottom"/>
            <w:tcBorders>
              <w:bottom w:val="single" w:sz="8" w:color="auto"/>
              <w:right w:val="single" w:sz="8" w:color="auto"/>
            </w:tcBorders>
            <w:vMerge w:val="continue"/>
          </w:tcPr>
          <w:p>
            <w:pPr>
              <w:spacing w:after="0"/>
              <w:rPr>
                <w:sz w:val="18"/>
                <w:szCs w:val="18"/>
                <w:color w:val="auto"/>
              </w:rPr>
            </w:pP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NON-VOTES</w:t>
            </w:r>
          </w:p>
        </w:tc>
        <w:tc>
          <w:tcPr>
            <w:tcW w:w="0" w:type="dxa"/>
            <w:vAlign w:val="bottom"/>
          </w:tcPr>
          <w:p>
            <w:pPr>
              <w:spacing w:after="0"/>
              <w:rPr>
                <w:sz w:val="1"/>
                <w:szCs w:val="1"/>
                <w:color w:val="auto"/>
              </w:rPr>
            </w:pPr>
          </w:p>
        </w:tc>
      </w:tr>
      <w:tr>
        <w:trPr>
          <w:trHeight w:val="226"/>
        </w:trPr>
        <w:tc>
          <w:tcPr>
            <w:tcW w:w="3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Dr. Kamal Ghaffarian</w:t>
            </w:r>
          </w:p>
        </w:tc>
        <w:tc>
          <w:tcPr>
            <w:tcW w:w="2520" w:type="dxa"/>
            <w:vAlign w:val="bottom"/>
            <w:tcBorders>
              <w:bottom w:val="single" w:sz="8" w:color="auto"/>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195,999,331</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22,328,731</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28,971,750</w:t>
            </w:r>
          </w:p>
        </w:tc>
        <w:tc>
          <w:tcPr>
            <w:tcW w:w="0" w:type="dxa"/>
            <w:vAlign w:val="bottom"/>
          </w:tcPr>
          <w:p>
            <w:pPr>
              <w:spacing w:after="0"/>
              <w:rPr>
                <w:sz w:val="1"/>
                <w:szCs w:val="1"/>
                <w:color w:val="auto"/>
              </w:rPr>
            </w:pPr>
          </w:p>
        </w:tc>
      </w:tr>
      <w:tr>
        <w:trPr>
          <w:trHeight w:val="223"/>
        </w:trPr>
        <w:tc>
          <w:tcPr>
            <w:tcW w:w="3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Stephen Altemus</w:t>
            </w:r>
          </w:p>
        </w:tc>
        <w:tc>
          <w:tcPr>
            <w:tcW w:w="2520" w:type="dxa"/>
            <w:vAlign w:val="bottom"/>
            <w:tcBorders>
              <w:bottom w:val="single" w:sz="8" w:color="auto"/>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207,762,049</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10,566,013</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28,971,750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8"/>
          <w:szCs w:val="18"/>
          <w:color w:val="auto"/>
        </w:rPr>
        <w:t>2.</w:t>
        <w:tab/>
        <w:t>Grant Thornton LLP was ratified as our independent registered public accounting firm for the fiscal year ending December 31, 2026.</w:t>
      </w: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3760" w:type="dxa"/>
            <w:vAlign w:val="bottom"/>
            <w:tcBorders>
              <w:top w:val="single" w:sz="8" w:color="auto"/>
              <w:left w:val="single" w:sz="8" w:color="auto"/>
              <w:bottom w:val="single" w:sz="8" w:color="auto"/>
              <w:right w:val="single" w:sz="8" w:color="auto"/>
            </w:tcBorders>
          </w:tcPr>
          <w:p>
            <w:pPr>
              <w:ind w:left="1440"/>
              <w:spacing w:after="0"/>
              <w:rPr>
                <w:sz w:val="20"/>
                <w:szCs w:val="20"/>
                <w:color w:val="auto"/>
              </w:rPr>
            </w:pPr>
            <w:r>
              <w:rPr>
                <w:rFonts w:ascii="Times New Roman" w:cs="Times New Roman" w:eastAsia="Times New Roman" w:hAnsi="Times New Roman"/>
                <w:sz w:val="16"/>
                <w:szCs w:val="16"/>
                <w:color w:val="auto"/>
              </w:rPr>
              <w:t>VOTES FOR</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VOTES AGAINST</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VOTES ABSTAINED</w:t>
            </w:r>
          </w:p>
        </w:tc>
      </w:tr>
      <w:tr>
        <w:trPr>
          <w:trHeight w:val="226"/>
        </w:trPr>
        <w:tc>
          <w:tcPr>
            <w:tcW w:w="3760" w:type="dxa"/>
            <w:vAlign w:val="bottom"/>
            <w:tcBorders>
              <w:left w:val="single" w:sz="8" w:color="auto"/>
              <w:bottom w:val="single" w:sz="8" w:color="auto"/>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246,639,121</w:t>
            </w:r>
          </w:p>
        </w:tc>
        <w:tc>
          <w:tcPr>
            <w:tcW w:w="3740" w:type="dxa"/>
            <w:vAlign w:val="bottom"/>
            <w:tcBorders>
              <w:bottom w:val="single" w:sz="8" w:color="auto"/>
              <w:right w:val="single" w:sz="8" w:color="auto"/>
            </w:tcBorders>
          </w:tcPr>
          <w:p>
            <w:pPr>
              <w:jc w:val="right"/>
              <w:ind w:right="1495"/>
              <w:spacing w:after="0"/>
              <w:rPr>
                <w:sz w:val="20"/>
                <w:szCs w:val="20"/>
                <w:color w:val="auto"/>
              </w:rPr>
            </w:pPr>
            <w:r>
              <w:rPr>
                <w:rFonts w:ascii="Times New Roman" w:cs="Times New Roman" w:eastAsia="Times New Roman" w:hAnsi="Times New Roman"/>
                <w:sz w:val="18"/>
                <w:szCs w:val="18"/>
                <w:color w:val="auto"/>
              </w:rPr>
              <w:t>280,218</w:t>
            </w:r>
          </w:p>
        </w:tc>
        <w:tc>
          <w:tcPr>
            <w:tcW w:w="3760" w:type="dxa"/>
            <w:vAlign w:val="bottom"/>
            <w:tcBorders>
              <w:bottom w:val="single" w:sz="8" w:color="auto"/>
              <w:right w:val="single" w:sz="8" w:color="auto"/>
            </w:tcBorders>
          </w:tcPr>
          <w:p>
            <w:pPr>
              <w:jc w:val="right"/>
              <w:ind w:right="1515"/>
              <w:spacing w:after="0"/>
              <w:rPr>
                <w:sz w:val="20"/>
                <w:szCs w:val="20"/>
                <w:color w:val="auto"/>
              </w:rPr>
            </w:pPr>
            <w:r>
              <w:rPr>
                <w:rFonts w:ascii="Times New Roman" w:cs="Times New Roman" w:eastAsia="Times New Roman" w:hAnsi="Times New Roman"/>
                <w:sz w:val="18"/>
                <w:szCs w:val="18"/>
                <w:color w:val="auto"/>
              </w:rPr>
              <w:t>380,473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89"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20"/>
        <w:spacing w:after="0"/>
        <w:tabs>
          <w:tab w:leader="none" w:pos="5320" w:val="left"/>
        </w:tabs>
        <w:rPr>
          <w:sz w:val="20"/>
          <w:szCs w:val="20"/>
          <w:color w:val="auto"/>
        </w:rPr>
      </w:pPr>
      <w:r>
        <w:rPr>
          <w:rFonts w:ascii="Times New Roman" w:cs="Times New Roman" w:eastAsia="Times New Roman" w:hAnsi="Times New Roman"/>
          <w:sz w:val="18"/>
          <w:szCs w:val="18"/>
          <w:color w:val="auto"/>
        </w:rPr>
        <w:t>Date: June 8, 2026</w:t>
      </w:r>
      <w:r>
        <w:rPr>
          <w:sz w:val="20"/>
          <w:szCs w:val="20"/>
          <w:color w:val="auto"/>
        </w:rPr>
        <w:tab/>
      </w:r>
      <w:r>
        <w:rPr>
          <w:rFonts w:ascii="Times New Roman" w:cs="Times New Roman" w:eastAsia="Times New Roman" w:hAnsi="Times New Roman"/>
          <w:sz w:val="17"/>
          <w:szCs w:val="17"/>
          <w:b w:val="1"/>
          <w:bCs w:val="1"/>
          <w:color w:val="auto"/>
        </w:rPr>
        <w:t>INTUITIVE MACHINES, INC.</w:t>
      </w:r>
    </w:p>
    <w:p>
      <w:pPr>
        <w:spacing w:after="0" w:line="189" w:lineRule="exact"/>
        <w:rPr>
          <w:sz w:val="20"/>
          <w:szCs w:val="20"/>
          <w:color w:val="auto"/>
        </w:rPr>
      </w:pPr>
    </w:p>
    <w:p>
      <w:pPr>
        <w:ind w:left="5340"/>
        <w:spacing w:after="0"/>
        <w:tabs>
          <w:tab w:leader="none" w:pos="5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McGrath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17145</wp:posOffset>
            </wp:positionV>
            <wp:extent cx="33947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Name: Peter McGrath</w:t>
      </w:r>
    </w:p>
    <w:p>
      <w:pPr>
        <w:spacing w:after="0" w:line="2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Title: Chief Financial Officer and Senior Vice President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2026-06-08T15:07:56Z</dcterms:created>
  <dcterms:modified xsi:type="dcterms:W3CDTF">2026-06-08T15:07:56Z</dcterms:modified>
</cp:coreProperties>
</file>