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Intuitive Machines,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Kamal Seyed Ghaffarian</w:t>
      </w:r>
    </w:p>
    <w:p>
      <w:pPr>
        <w:spacing w:after="0" w:line="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5937 Sunnyslope Drive,</w:t>
      </w:r>
    </w:p>
    <w:p>
      <w:pPr>
        <w:ind w:left="4000"/>
        <w:spacing w:after="0" w:line="230" w:lineRule="auto"/>
        <w:rPr>
          <w:sz w:val="20"/>
          <w:szCs w:val="20"/>
          <w:color w:val="auto"/>
        </w:rPr>
      </w:pPr>
      <w:r>
        <w:rPr>
          <w:rFonts w:ascii="Times New Roman" w:cs="Times New Roman" w:eastAsia="Times New Roman" w:hAnsi="Times New Roman"/>
          <w:sz w:val="22"/>
          <w:szCs w:val="22"/>
          <w:b w:val="1"/>
          <w:bCs w:val="1"/>
          <w:color w:val="0000FF"/>
        </w:rPr>
        <w:t>Naples, FL, 34119</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(301) 486-3150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Kamal Seyed Ghaffarian</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146,092.00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38,282,944.00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146,092.00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38,282,944.00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38,429,036.00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Ghaffarian Enterprises,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36,041,823.00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36,041,823.00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36,041,823.00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GM Enterprises,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2,241,121.00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2,241,121.00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2,241,121.00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Intuitive Machines,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13467 Columbia Shuttle Street, Houston, TEXAS , 77059.</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11 to Schedule 13D (this "Amendment No. 11") amends and supplements the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filed with the United States Securities and Exchange Commission on February 8, 2024 (as amended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date, the "Schedule 13D"), relating to the Class A common stock, par value $0.0001 per share (the "Class A Common Stock"), of Intuitive Machines, Inc., a Delaware corporation (the "Issuer"). Capitalized terms used herein without</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definition shall have the meaning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60"/>
        <w:spacing w:after="0" w:line="249" w:lineRule="auto"/>
        <w:rPr>
          <w:sz w:val="20"/>
          <w:szCs w:val="20"/>
          <w:color w:val="auto"/>
        </w:rPr>
      </w:pPr>
      <w:r>
        <w:rPr>
          <w:rFonts w:ascii="Times New Roman" w:cs="Times New Roman" w:eastAsia="Times New Roman" w:hAnsi="Times New Roman"/>
          <w:sz w:val="21"/>
          <w:szCs w:val="21"/>
          <w:color w:val="auto"/>
        </w:rPr>
        <w:t>Item 5 of the Schedule 13D is hereby amended and restated in its entirety with the following: The following sets forth, as of the date of this Schedule 13D, the aggregate number of shares of Class A Common Stock and percentage of Class A Common Stock beneficially owned by each of the Reporting Persons based on 160,452,309 shares of</w:t>
      </w:r>
    </w:p>
    <w:p>
      <w:pPr>
        <w:spacing w:after="0" w:line="1" w:lineRule="exact"/>
        <w:rPr>
          <w:sz w:val="20"/>
          <w:szCs w:val="20"/>
          <w:color w:val="auto"/>
        </w:rPr>
      </w:pPr>
    </w:p>
    <w:p>
      <w:pPr>
        <w:ind w:left="920" w:right="220" w:hanging="912"/>
        <w:spacing w:after="0" w:line="181"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Class A Common Stock outstanding as of May 7, 2026, as disclosed in the Issuer's Quarterly Report on Form 10-Q, as filed with the Securities and Exchange Commission on May 15, 2026. Kamal Seyed Ghaffarian Amount beneficially owned: 38,429,036 Percent of Class: 19.7% Ghaffarian Enterprises, LLC Amount beneficially owned:</w:t>
      </w:r>
    </w:p>
    <w:p>
      <w:pPr>
        <w:ind w:left="920"/>
        <w:spacing w:after="0" w:line="230"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36,041,823 Percent of Class: 18.7% GM Enterprises, LLC Amount beneficially owned: 2,241,121 Percent of Class:</w:t>
      </w: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1.4%</w:t>
      </w:r>
    </w:p>
    <w:p>
      <w:pPr>
        <w:spacing w:after="0" w:line="20"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Kamal Seyed Ghaffarian Sole Voting Power: 146,092 Shared Voting Power: 38,282,944 Sole Dispositive Power:</w:t>
      </w:r>
    </w:p>
    <w:p>
      <w:pPr>
        <w:spacing w:after="0" w:line="14" w:lineRule="exact"/>
        <w:rPr>
          <w:rFonts w:ascii="Times New Roman" w:cs="Times New Roman" w:eastAsia="Times New Roman" w:hAnsi="Times New Roman"/>
          <w:sz w:val="42"/>
          <w:szCs w:val="42"/>
          <w:color w:val="auto"/>
          <w:vertAlign w:val="subscript"/>
        </w:rPr>
      </w:pPr>
    </w:p>
    <w:p>
      <w:pPr>
        <w:ind w:left="920"/>
        <w:spacing w:after="0" w:line="230"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146,092 Shared Dispositive Power: 38,282,944 Ghaffarian Enterprises, LLC Sole Voting Power: 0 Shared Voting</w:t>
      </w:r>
    </w:p>
    <w:p>
      <w:pPr>
        <w:ind w:left="920"/>
        <w:spacing w:after="0" w:line="230"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Power: 36,041,823 Sole Dispositive Power: 0 Shared Dispositive Power: 36,041,823 GM Enterprises, LLC Sole</w:t>
      </w:r>
    </w:p>
    <w:p>
      <w:pPr>
        <w:ind w:left="920" w:right="220"/>
        <w:spacing w:after="0" w:line="241"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Voting Power: 0 Shared Voting Power: 2,241,121 Sole Dispositive Power: 0 Shared Dispositive Power: 2,241,121 The securities reported herein include (i) 34,788,176 Common Units, which may be redeemed for shares of Class A</w:t>
      </w:r>
    </w:p>
    <w:p>
      <w:pPr>
        <w:spacing w:after="0" w:line="1" w:lineRule="exact"/>
        <w:rPr>
          <w:rFonts w:ascii="Times New Roman" w:cs="Times New Roman" w:eastAsia="Times New Roman" w:hAnsi="Times New Roman"/>
          <w:sz w:val="42"/>
          <w:szCs w:val="42"/>
          <w:color w:val="auto"/>
          <w:vertAlign w:val="subscript"/>
        </w:rPr>
      </w:pPr>
    </w:p>
    <w:p>
      <w:pPr>
        <w:ind w:left="920" w:right="100" w:hanging="912"/>
        <w:spacing w:after="0" w:line="232"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on a one-to-one basis, of which 32,547,055 Common Units are held by Ghaffarian Enterprises, LLC and 2,241,121 Common Units are held by GM Enterprises, LLC; (ii) 3,494,768 shares of Class A Common Stock held directly by Ghaffarian Enterprises, LLC; and (iii) 146,092 shares of Class A Common Stock held directly by Dr. Ghaffarian. Dr. Ghaffarian is the sole managing member of GM Enterprises, LLC and is the sole trustee of a revocable trust that is the sole member of Ghaffarian Enterprises, LLC. As a result, Dr. Ghaffarian may be deemed to share beneficial ownership of the securities reported herein, but disclaims beneficial ownership.</w:t>
      </w:r>
    </w:p>
    <w:p>
      <w:pPr>
        <w:spacing w:after="0" w:line="20" w:lineRule="exact"/>
        <w:rPr>
          <w:rFonts w:ascii="Times New Roman" w:cs="Times New Roman" w:eastAsia="Times New Roman" w:hAnsi="Times New Roman"/>
          <w:sz w:val="22"/>
          <w:szCs w:val="22"/>
          <w:color w:val="auto"/>
        </w:rPr>
      </w:pPr>
    </w:p>
    <w:p>
      <w:pPr>
        <w:ind w:left="920" w:right="6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 the last 60 days, Ghaffarian Enterprises, LLC sold an aggregate of 709,545 shares of Class A Common Stock in open market transactions on the Nasdaq Stock Market pursuant to the Rule 10b5-1 trading plan adopted on December</w:t>
      </w:r>
    </w:p>
    <w:p>
      <w:pPr>
        <w:ind w:left="920" w:right="140" w:hanging="912"/>
        <w:spacing w:after="0" w:line="189"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4, 2025. Details by date, listing the number of shares of Class A Common Stock disposed of pursuant to the 10b5-1 trading plan and the weighted average price per share, are provided in Annex A. The Reporting Persons undertake to provide, upon request by the staff of the SEC, the Issuer, or a security holder of the Issuer, full information regarding the number of shares sold at each separate price for each transaction.</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60"/>
          </w:cols>
          <w:pgMar w:left="360" w:top="112" w:right="379" w:bottom="0" w:gutter="0" w:footer="0" w:header="0"/>
        </w:sectPr>
      </w:pPr>
    </w:p>
    <w:bookmarkStart w:id="4" w:name="page5"/>
    <w:bookmarkEnd w:id="4"/>
    <w:p>
      <w:pPr>
        <w:ind w:left="1260"/>
        <w:spacing w:after="0"/>
        <w:rPr>
          <w:sz w:val="20"/>
          <w:szCs w:val="20"/>
          <w:color w:val="auto"/>
        </w:rPr>
      </w:pPr>
      <w:r>
        <w:rPr>
          <w:rFonts w:ascii="Times New Roman" w:cs="Times New Roman" w:eastAsia="Times New Roman" w:hAnsi="Times New Roman"/>
          <w:sz w:val="22"/>
          <w:szCs w:val="22"/>
          <w:color w:val="auto"/>
        </w:rPr>
        <w:t>Kamal Seyed Ghaffarian</w:t>
      </w:r>
    </w:p>
    <w:p>
      <w:pPr>
        <w:spacing w:after="0" w:line="152" w:lineRule="exact"/>
        <w:rPr>
          <w:sz w:val="20"/>
          <w:szCs w:val="20"/>
          <w:color w:val="auto"/>
        </w:rPr>
      </w:pPr>
    </w:p>
    <w:p>
      <w:pPr>
        <w:ind w:left="260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Kamal Seyed Ghaffarian</w:t>
      </w:r>
    </w:p>
    <w:p>
      <w:pPr>
        <w:spacing w:after="0" w:line="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Name/Title: Kamal Seyed Ghaffarian</w:t>
      </w:r>
    </w:p>
    <w:p>
      <w:pPr>
        <w:spacing w:after="0" w:line="44" w:lineRule="exact"/>
        <w:rPr>
          <w:sz w:val="20"/>
          <w:szCs w:val="20"/>
          <w:color w:val="auto"/>
        </w:rPr>
      </w:pPr>
    </w:p>
    <w:p>
      <w:pPr>
        <w:ind w:left="260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07/01/2026</w:t>
      </w:r>
    </w:p>
    <w:p>
      <w:pPr>
        <w:spacing w:after="0" w:line="152" w:lineRule="exact"/>
        <w:rPr>
          <w:sz w:val="20"/>
          <w:szCs w:val="20"/>
          <w:color w:val="auto"/>
        </w:rPr>
      </w:pPr>
    </w:p>
    <w:tbl>
      <w:tblPr>
        <w:tblLayout w:type="fixed"/>
        <w:tblInd w:w="1000" w:type="dxa"/>
        <w:tblCellMar>
          <w:top w:w="0" w:type="dxa"/>
          <w:left w:w="0" w:type="dxa"/>
          <w:bottom w:w="0" w:type="dxa"/>
          <w:right w:w="0" w:type="dxa"/>
        </w:tblCellMar>
      </w:tblPr>
      <w:tr>
        <w:trPr>
          <w:trHeight w:val="282"/>
        </w:trPr>
        <w:tc>
          <w:tcPr>
            <w:tcW w:w="4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Ghaffarian Enterprises, LLC</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640" w:type="dxa"/>
            <w:vAlign w:val="bottom"/>
          </w:tcPr>
          <w:p>
            <w:pPr>
              <w:ind w:left="3580"/>
              <w:spacing w:after="0"/>
              <w:rPr>
                <w:sz w:val="20"/>
                <w:szCs w:val="20"/>
                <w:color w:val="auto"/>
              </w:rPr>
            </w:pPr>
            <w:r>
              <w:rPr>
                <w:rFonts w:ascii="Times New Roman" w:cs="Times New Roman" w:eastAsia="Times New Roman" w:hAnsi="Times New Roman"/>
                <w:sz w:val="22"/>
                <w:szCs w:val="22"/>
                <w:color w:val="auto"/>
              </w:rPr>
              <w:t>Signature:</w:t>
            </w:r>
          </w:p>
        </w:tc>
        <w:tc>
          <w:tcPr>
            <w:tcW w:w="3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Kamal Seyed Ghaffarian</w:t>
            </w:r>
          </w:p>
        </w:tc>
        <w:tc>
          <w:tcPr>
            <w:tcW w:w="0" w:type="dxa"/>
            <w:vAlign w:val="bottom"/>
          </w:tcPr>
          <w:p>
            <w:pPr>
              <w:spacing w:after="0"/>
              <w:rPr>
                <w:sz w:val="1"/>
                <w:szCs w:val="1"/>
                <w:color w:val="auto"/>
              </w:rPr>
            </w:pPr>
          </w:p>
        </w:tc>
      </w:tr>
      <w:tr>
        <w:trPr>
          <w:trHeight w:val="258"/>
        </w:trPr>
        <w:tc>
          <w:tcPr>
            <w:tcW w:w="4640" w:type="dxa"/>
            <w:vAlign w:val="bottom"/>
            <w:vMerge w:val="restart"/>
          </w:tcPr>
          <w:p>
            <w:pPr>
              <w:ind w:left="3580"/>
              <w:spacing w:after="0"/>
              <w:rPr>
                <w:sz w:val="20"/>
                <w:szCs w:val="20"/>
                <w:color w:val="auto"/>
              </w:rPr>
            </w:pPr>
            <w:r>
              <w:rPr>
                <w:rFonts w:ascii="Times New Roman" w:cs="Times New Roman" w:eastAsia="Times New Roman" w:hAnsi="Times New Roman"/>
                <w:sz w:val="22"/>
                <w:szCs w:val="22"/>
                <w:color w:val="auto"/>
                <w:w w:val="97"/>
              </w:rPr>
              <w:t>Name/Title:</w:t>
            </w:r>
          </w:p>
        </w:tc>
        <w:tc>
          <w:tcPr>
            <w:tcW w:w="38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Kamal Seyed Ghaffarian/Trustee of the Sole</w:t>
            </w:r>
          </w:p>
        </w:tc>
        <w:tc>
          <w:tcPr>
            <w:tcW w:w="0" w:type="dxa"/>
            <w:vAlign w:val="bottom"/>
          </w:tcPr>
          <w:p>
            <w:pPr>
              <w:spacing w:after="0"/>
              <w:rPr>
                <w:sz w:val="1"/>
                <w:szCs w:val="1"/>
                <w:color w:val="auto"/>
              </w:rPr>
            </w:pPr>
          </w:p>
        </w:tc>
      </w:tr>
      <w:tr>
        <w:trPr>
          <w:trHeight w:val="282"/>
        </w:trPr>
        <w:tc>
          <w:tcPr>
            <w:tcW w:w="4640" w:type="dxa"/>
            <w:vAlign w:val="bottom"/>
            <w:vMerge w:val="continue"/>
          </w:tcPr>
          <w:p>
            <w:pPr>
              <w:spacing w:after="0"/>
              <w:rPr>
                <w:sz w:val="24"/>
                <w:szCs w:val="24"/>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Member</w:t>
            </w:r>
          </w:p>
        </w:tc>
        <w:tc>
          <w:tcPr>
            <w:tcW w:w="0" w:type="dxa"/>
            <w:vAlign w:val="bottom"/>
          </w:tcPr>
          <w:p>
            <w:pPr>
              <w:spacing w:after="0"/>
              <w:rPr>
                <w:sz w:val="1"/>
                <w:szCs w:val="1"/>
                <w:color w:val="auto"/>
              </w:rPr>
            </w:pPr>
          </w:p>
        </w:tc>
      </w:tr>
      <w:tr>
        <w:trPr>
          <w:trHeight w:val="297"/>
        </w:trPr>
        <w:tc>
          <w:tcPr>
            <w:tcW w:w="4640" w:type="dxa"/>
            <w:vAlign w:val="bottom"/>
          </w:tcPr>
          <w:p>
            <w:pPr>
              <w:ind w:left="3580"/>
              <w:spacing w:after="0"/>
              <w:rPr>
                <w:sz w:val="20"/>
                <w:szCs w:val="20"/>
                <w:color w:val="auto"/>
              </w:rPr>
            </w:pPr>
            <w:r>
              <w:rPr>
                <w:rFonts w:ascii="Times New Roman" w:cs="Times New Roman" w:eastAsia="Times New Roman" w:hAnsi="Times New Roman"/>
                <w:sz w:val="22"/>
                <w:szCs w:val="22"/>
                <w:color w:val="auto"/>
              </w:rPr>
              <w:t>Date:</w:t>
            </w:r>
          </w:p>
        </w:tc>
        <w:tc>
          <w:tcPr>
            <w:tcW w:w="3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07/01/2026</w:t>
            </w:r>
          </w:p>
        </w:tc>
        <w:tc>
          <w:tcPr>
            <w:tcW w:w="0" w:type="dxa"/>
            <w:vAlign w:val="bottom"/>
          </w:tcPr>
          <w:p>
            <w:pPr>
              <w:spacing w:after="0"/>
              <w:rPr>
                <w:sz w:val="1"/>
                <w:szCs w:val="1"/>
                <w:color w:val="auto"/>
              </w:rPr>
            </w:pPr>
          </w:p>
        </w:tc>
      </w:tr>
      <w:tr>
        <w:trPr>
          <w:trHeight w:val="405"/>
        </w:trPr>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GM Enterprises, LLC</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640" w:type="dxa"/>
            <w:vAlign w:val="bottom"/>
          </w:tcPr>
          <w:p>
            <w:pPr>
              <w:ind w:left="3580"/>
              <w:spacing w:after="0"/>
              <w:rPr>
                <w:sz w:val="20"/>
                <w:szCs w:val="20"/>
                <w:color w:val="auto"/>
              </w:rPr>
            </w:pPr>
            <w:r>
              <w:rPr>
                <w:rFonts w:ascii="Times New Roman" w:cs="Times New Roman" w:eastAsia="Times New Roman" w:hAnsi="Times New Roman"/>
                <w:sz w:val="22"/>
                <w:szCs w:val="22"/>
                <w:color w:val="auto"/>
              </w:rPr>
              <w:t>Signature:</w:t>
            </w:r>
          </w:p>
        </w:tc>
        <w:tc>
          <w:tcPr>
            <w:tcW w:w="3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Kamal Seyed Ghaffarian</w:t>
            </w:r>
          </w:p>
        </w:tc>
        <w:tc>
          <w:tcPr>
            <w:tcW w:w="0" w:type="dxa"/>
            <w:vAlign w:val="bottom"/>
          </w:tcPr>
          <w:p>
            <w:pPr>
              <w:spacing w:after="0"/>
              <w:rPr>
                <w:sz w:val="1"/>
                <w:szCs w:val="1"/>
                <w:color w:val="auto"/>
              </w:rPr>
            </w:pPr>
          </w:p>
        </w:tc>
      </w:tr>
      <w:tr>
        <w:trPr>
          <w:trHeight w:val="258"/>
        </w:trPr>
        <w:tc>
          <w:tcPr>
            <w:tcW w:w="4640" w:type="dxa"/>
            <w:vAlign w:val="bottom"/>
            <w:vMerge w:val="restart"/>
          </w:tcPr>
          <w:p>
            <w:pPr>
              <w:ind w:left="3580"/>
              <w:spacing w:after="0"/>
              <w:rPr>
                <w:sz w:val="20"/>
                <w:szCs w:val="20"/>
                <w:color w:val="auto"/>
              </w:rPr>
            </w:pPr>
            <w:r>
              <w:rPr>
                <w:rFonts w:ascii="Times New Roman" w:cs="Times New Roman" w:eastAsia="Times New Roman" w:hAnsi="Times New Roman"/>
                <w:sz w:val="22"/>
                <w:szCs w:val="22"/>
                <w:color w:val="auto"/>
                <w:w w:val="97"/>
              </w:rPr>
              <w:t>Name/Title:</w:t>
            </w:r>
          </w:p>
        </w:tc>
        <w:tc>
          <w:tcPr>
            <w:tcW w:w="38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Kamal Seyed Ghaffarian/Trustee of the Sole</w:t>
            </w:r>
          </w:p>
        </w:tc>
        <w:tc>
          <w:tcPr>
            <w:tcW w:w="0" w:type="dxa"/>
            <w:vAlign w:val="bottom"/>
          </w:tcPr>
          <w:p>
            <w:pPr>
              <w:spacing w:after="0"/>
              <w:rPr>
                <w:sz w:val="1"/>
                <w:szCs w:val="1"/>
                <w:color w:val="auto"/>
              </w:rPr>
            </w:pPr>
          </w:p>
        </w:tc>
      </w:tr>
      <w:tr>
        <w:trPr>
          <w:trHeight w:val="282"/>
        </w:trPr>
        <w:tc>
          <w:tcPr>
            <w:tcW w:w="4640" w:type="dxa"/>
            <w:vAlign w:val="bottom"/>
            <w:vMerge w:val="continue"/>
          </w:tcPr>
          <w:p>
            <w:pPr>
              <w:spacing w:after="0"/>
              <w:rPr>
                <w:sz w:val="24"/>
                <w:szCs w:val="24"/>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Managing Member</w:t>
            </w:r>
          </w:p>
        </w:tc>
        <w:tc>
          <w:tcPr>
            <w:tcW w:w="0" w:type="dxa"/>
            <w:vAlign w:val="bottom"/>
          </w:tcPr>
          <w:p>
            <w:pPr>
              <w:spacing w:after="0"/>
              <w:rPr>
                <w:sz w:val="1"/>
                <w:szCs w:val="1"/>
                <w:color w:val="auto"/>
              </w:rPr>
            </w:pPr>
          </w:p>
        </w:tc>
      </w:tr>
      <w:tr>
        <w:trPr>
          <w:trHeight w:val="297"/>
        </w:trPr>
        <w:tc>
          <w:tcPr>
            <w:tcW w:w="4640" w:type="dxa"/>
            <w:vAlign w:val="bottom"/>
          </w:tcPr>
          <w:p>
            <w:pPr>
              <w:ind w:left="3580"/>
              <w:spacing w:after="0"/>
              <w:rPr>
                <w:sz w:val="20"/>
                <w:szCs w:val="20"/>
                <w:color w:val="auto"/>
              </w:rPr>
            </w:pPr>
            <w:r>
              <w:rPr>
                <w:rFonts w:ascii="Times New Roman" w:cs="Times New Roman" w:eastAsia="Times New Roman" w:hAnsi="Times New Roman"/>
                <w:sz w:val="22"/>
                <w:szCs w:val="22"/>
                <w:color w:val="auto"/>
              </w:rPr>
              <w:t>Date:</w:t>
            </w:r>
          </w:p>
        </w:tc>
        <w:tc>
          <w:tcPr>
            <w:tcW w:w="3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07/01/2026</w:t>
            </w:r>
          </w:p>
        </w:tc>
        <w:tc>
          <w:tcPr>
            <w:tcW w:w="0" w:type="dxa"/>
            <w:vAlign w:val="bottom"/>
          </w:tcPr>
          <w:p>
            <w:pPr>
              <w:spacing w:after="0"/>
              <w:rPr>
                <w:sz w:val="1"/>
                <w:szCs w:val="1"/>
                <w:color w:val="auto"/>
              </w:rPr>
            </w:pPr>
          </w:p>
        </w:tc>
      </w:tr>
    </w:tbl>
    <w:p>
      <w:pPr>
        <w:sectPr>
          <w:pgSz w:w="11900" w:h="16838" w:orient="portrait"/>
          <w:cols w:equalWidth="0" w:num="1">
            <w:col w:w="9500"/>
          </w:cols>
          <w:pgMar w:left="1440" w:top="166" w:right="95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80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w w:val="94"/>
              </w:rPr>
              <w:t>Annex A</w:t>
            </w:r>
          </w:p>
        </w:tc>
      </w:tr>
      <w:tr>
        <w:trPr>
          <w:trHeight w:val="216"/>
        </w:trPr>
        <w:tc>
          <w:tcPr>
            <w:tcW w:w="37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r>
      <w:tr>
        <w:trPr>
          <w:trHeight w:val="237"/>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Number of Shares</w:t>
            </w:r>
          </w:p>
        </w:tc>
        <w:tc>
          <w:tcPr>
            <w:tcW w:w="38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Weighted Average Price Per Share</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05/04/2026</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141,909</w:t>
            </w:r>
          </w:p>
        </w:tc>
        <w:tc>
          <w:tcPr>
            <w:tcW w:w="3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92,739 at $24.999; 49,170 at $25.4056</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18"/>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05/18/2026</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141,909</w:t>
            </w:r>
          </w:p>
        </w:tc>
        <w:tc>
          <w:tcPr>
            <w:tcW w:w="3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71,988 at $33.2734; 34,459 at $34.0914; 13,371</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 $35.0628; 7,889 at $36.3316; 7,051 at</w:t>
            </w:r>
          </w:p>
        </w:tc>
      </w:tr>
      <w:tr>
        <w:trPr>
          <w:trHeight w:val="234"/>
        </w:trPr>
        <w:tc>
          <w:tcPr>
            <w:tcW w:w="3740" w:type="dxa"/>
            <w:vAlign w:val="bottom"/>
            <w:tcBorders>
              <w:left w:val="single" w:sz="8" w:color="auto"/>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$37.3396; 7,151 at $37.9907</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18"/>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06/01/2026</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141,909</w:t>
            </w:r>
          </w:p>
        </w:tc>
        <w:tc>
          <w:tcPr>
            <w:tcW w:w="3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84,411 at $38.5046; 37,997 at $39.0917; 8,301 at</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$40.2487; 7,193 at $41.2591; 3,007 at $42.3506;</w:t>
            </w:r>
          </w:p>
        </w:tc>
      </w:tr>
      <w:tr>
        <w:trPr>
          <w:trHeight w:val="234"/>
        </w:trPr>
        <w:tc>
          <w:tcPr>
            <w:tcW w:w="3740" w:type="dxa"/>
            <w:vAlign w:val="bottom"/>
            <w:tcBorders>
              <w:left w:val="single" w:sz="8" w:color="auto"/>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 at $43.032</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18"/>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06/15/2026</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141,909</w:t>
            </w:r>
          </w:p>
        </w:tc>
        <w:tc>
          <w:tcPr>
            <w:tcW w:w="3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121,809 at $26.0322; 19,334 at $26.857; 766 at</w:t>
            </w:r>
          </w:p>
        </w:tc>
      </w:tr>
      <w:tr>
        <w:trPr>
          <w:trHeight w:val="234"/>
        </w:trPr>
        <w:tc>
          <w:tcPr>
            <w:tcW w:w="3740" w:type="dxa"/>
            <w:vAlign w:val="bottom"/>
            <w:tcBorders>
              <w:left w:val="single" w:sz="8" w:color="auto"/>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$27.7482</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06/29/2026</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141,909</w:t>
            </w:r>
          </w:p>
        </w:tc>
        <w:tc>
          <w:tcPr>
            <w:tcW w:w="3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94,899 at $20.2426; 47,010 at $20.8018</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2026-07-01T20:16:57Z</dcterms:created>
  <dcterms:modified xsi:type="dcterms:W3CDTF">2026-07-01T20:16:57Z</dcterms:modified>
</cp:coreProperties>
</file>