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3660" w:right="1620" w:hanging="3518"/>
        <w:spacing w:after="0" w:line="366" w:lineRule="auto"/>
        <w:tabs>
          <w:tab w:leader="none" w:pos="488"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5" w:lineRule="exact"/>
        <w:rPr>
          <w:sz w:val="24"/>
          <w:szCs w:val="24"/>
          <w:color w:val="auto"/>
        </w:rPr>
      </w:pPr>
    </w:p>
    <w:p>
      <w:pPr>
        <w:ind w:left="3780" w:right="1620" w:hanging="3624"/>
        <w:spacing w:after="0" w:line="360" w:lineRule="auto"/>
        <w:tabs>
          <w:tab w:leader="none" w:pos="486"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tbl>
      <w:tblPr>
        <w:tblLayout w:type="fixed"/>
        <w:tblInd w:w="10" w:type="dxa"/>
        <w:tblCellMar>
          <w:top w:w="0" w:type="dxa"/>
          <w:left w:w="0" w:type="dxa"/>
          <w:bottom w:w="0" w:type="dxa"/>
          <w:right w:w="0" w:type="dxa"/>
        </w:tblCellMar>
      </w:tblPr>
      <w:tr>
        <w:trPr>
          <w:trHeight w:val="220"/>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b w:val="1"/>
                <w:bCs w:val="1"/>
                <w:color w:val="auto"/>
              </w:rPr>
              <w:t>Commission file number 001-40823</w:t>
            </w:r>
          </w:p>
        </w:tc>
        <w:tc>
          <w:tcPr>
            <w:tcW w:w="3760" w:type="dxa"/>
            <w:vAlign w:val="bottom"/>
          </w:tcPr>
          <w:p>
            <w:pPr>
              <w:spacing w:after="0"/>
              <w:rPr>
                <w:sz w:val="19"/>
                <w:szCs w:val="19"/>
                <w:color w:val="auto"/>
              </w:rPr>
            </w:pPr>
          </w:p>
        </w:tc>
      </w:tr>
      <w:tr>
        <w:trPr>
          <w:trHeight w:val="234"/>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3760" w:type="dxa"/>
            <w:vAlign w:val="bottom"/>
          </w:tcPr>
          <w:p>
            <w:pPr>
              <w:spacing w:after="0"/>
              <w:rPr>
                <w:sz w:val="20"/>
                <w:szCs w:val="20"/>
                <w:color w:val="auto"/>
              </w:rPr>
            </w:pPr>
          </w:p>
        </w:tc>
      </w:tr>
      <w:tr>
        <w:trPr>
          <w:trHeight w:val="400"/>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25"/>
                <w:szCs w:val="25"/>
                <w:b w:val="1"/>
                <w:bCs w:val="1"/>
                <w:color w:val="auto"/>
              </w:rPr>
              <w:t>INTUITIVE MACHINES, INC.</w:t>
            </w:r>
          </w:p>
        </w:tc>
        <w:tc>
          <w:tcPr>
            <w:tcW w:w="3760" w:type="dxa"/>
            <w:vAlign w:val="bottom"/>
          </w:tcPr>
          <w:p>
            <w:pPr>
              <w:spacing w:after="0"/>
              <w:rPr>
                <w:sz w:val="24"/>
                <w:szCs w:val="24"/>
                <w:color w:val="auto"/>
              </w:rPr>
            </w:pPr>
          </w:p>
        </w:tc>
      </w:tr>
      <w:tr>
        <w:trPr>
          <w:trHeight w:val="216"/>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760" w:type="dxa"/>
            <w:vAlign w:val="bottom"/>
          </w:tcPr>
          <w:p>
            <w:pPr>
              <w:spacing w:after="0"/>
              <w:rPr>
                <w:sz w:val="18"/>
                <w:szCs w:val="18"/>
                <w:color w:val="auto"/>
              </w:rPr>
            </w:pPr>
          </w:p>
        </w:tc>
      </w:tr>
      <w:tr>
        <w:trPr>
          <w:trHeight w:val="234"/>
        </w:trPr>
        <w:tc>
          <w:tcPr>
            <w:tcW w:w="7500" w:type="dxa"/>
            <w:vAlign w:val="bottom"/>
            <w:gridSpan w:val="3"/>
          </w:tcPr>
          <w:p>
            <w:pPr>
              <w:jc w:val="center"/>
              <w:ind w:left="3652"/>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3760" w:type="dxa"/>
            <w:vAlign w:val="bottom"/>
          </w:tcPr>
          <w:p>
            <w:pPr>
              <w:spacing w:after="0"/>
              <w:rPr>
                <w:sz w:val="20"/>
                <w:szCs w:val="20"/>
                <w:color w:val="auto"/>
              </w:rPr>
            </w:pPr>
          </w:p>
        </w:tc>
      </w:tr>
      <w:tr>
        <w:trPr>
          <w:trHeight w:val="364"/>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jc w:val="right"/>
              <w:ind w:right="1696"/>
              <w:spacing w:after="0"/>
              <w:rPr>
                <w:sz w:val="20"/>
                <w:szCs w:val="20"/>
                <w:color w:val="auto"/>
              </w:rPr>
            </w:pPr>
            <w:r>
              <w:rPr>
                <w:rFonts w:ascii="Times New Roman" w:cs="Times New Roman" w:eastAsia="Times New Roman" w:hAnsi="Times New Roman"/>
                <w:sz w:val="18"/>
                <w:szCs w:val="18"/>
                <w:b w:val="1"/>
                <w:bCs w:val="1"/>
                <w:color w:val="auto"/>
              </w:rPr>
              <w:t>36-5056189</w:t>
            </w:r>
          </w:p>
        </w:tc>
      </w:tr>
      <w:tr>
        <w:trPr>
          <w:trHeight w:val="162"/>
        </w:trPr>
        <w:tc>
          <w:tcPr>
            <w:tcW w:w="4820" w:type="dxa"/>
            <w:vAlign w:val="bottom"/>
          </w:tcPr>
          <w:p>
            <w:pPr>
              <w:jc w:val="center"/>
              <w:ind w:right="332"/>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760" w:type="dxa"/>
            <w:vAlign w:val="bottom"/>
          </w:tcPr>
          <w:p>
            <w:pPr>
              <w:jc w:val="center"/>
              <w:ind w:right="59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820" w:type="dxa"/>
            <w:vAlign w:val="bottom"/>
          </w:tcPr>
          <w:p>
            <w:pPr>
              <w:jc w:val="center"/>
              <w:ind w:right="352"/>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760" w:type="dxa"/>
            <w:vAlign w:val="bottom"/>
          </w:tcPr>
          <w:p>
            <w:pPr>
              <w:jc w:val="center"/>
              <w:ind w:right="59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03"/>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8"/>
        </w:trPr>
        <w:tc>
          <w:tcPr>
            <w:tcW w:w="4820" w:type="dxa"/>
            <w:vAlign w:val="bottom"/>
          </w:tcPr>
          <w:p>
            <w:pPr>
              <w:jc w:val="center"/>
              <w:ind w:right="352"/>
              <w:spacing w:after="0"/>
              <w:rPr>
                <w:sz w:val="20"/>
                <w:szCs w:val="20"/>
                <w:color w:val="auto"/>
              </w:rPr>
            </w:pPr>
            <w:r>
              <w:rPr>
                <w:rFonts w:ascii="Times New Roman" w:cs="Times New Roman" w:eastAsia="Times New Roman" w:hAnsi="Times New Roman"/>
                <w:sz w:val="16"/>
                <w:szCs w:val="16"/>
                <w:b w:val="1"/>
                <w:bCs w:val="1"/>
                <w:color w:val="auto"/>
              </w:rPr>
              <w:t>Houston, Texas</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jc w:val="right"/>
              <w:ind w:right="1916"/>
              <w:spacing w:after="0"/>
              <w:rPr>
                <w:sz w:val="20"/>
                <w:szCs w:val="20"/>
                <w:color w:val="auto"/>
              </w:rPr>
            </w:pPr>
            <w:r>
              <w:rPr>
                <w:rFonts w:ascii="Times New Roman" w:cs="Times New Roman" w:eastAsia="Times New Roman" w:hAnsi="Times New Roman"/>
                <w:sz w:val="18"/>
                <w:szCs w:val="18"/>
                <w:b w:val="1"/>
                <w:bCs w:val="1"/>
                <w:color w:val="auto"/>
              </w:rPr>
              <w:t>77059</w:t>
            </w:r>
          </w:p>
        </w:tc>
      </w:tr>
      <w:tr>
        <w:trPr>
          <w:trHeight w:val="243"/>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760" w:type="dxa"/>
            <w:vAlign w:val="bottom"/>
          </w:tcPr>
          <w:p>
            <w:pPr>
              <w:jc w:val="center"/>
              <w:ind w:right="596"/>
              <w:spacing w:after="0"/>
              <w:rPr>
                <w:sz w:val="20"/>
                <w:szCs w:val="20"/>
                <w:color w:val="auto"/>
              </w:rPr>
            </w:pPr>
            <w:r>
              <w:rPr>
                <w:rFonts w:ascii="Times New Roman" w:cs="Times New Roman" w:eastAsia="Times New Roman" w:hAnsi="Times New Roman"/>
                <w:sz w:val="16"/>
                <w:szCs w:val="16"/>
                <w:color w:val="auto"/>
              </w:rPr>
              <w:t>(Zip Code)</w:t>
            </w:r>
          </w:p>
        </w:tc>
      </w:tr>
      <w:tr>
        <w:trPr>
          <w:trHeight w:val="411"/>
        </w:trPr>
        <w:tc>
          <w:tcPr>
            <w:tcW w:w="4820" w:type="dxa"/>
            <w:vAlign w:val="bottom"/>
          </w:tcPr>
          <w:p>
            <w:pPr>
              <w:spacing w:after="0"/>
              <w:rPr>
                <w:sz w:val="24"/>
                <w:szCs w:val="24"/>
                <w:color w:val="auto"/>
              </w:rPr>
            </w:pPr>
          </w:p>
        </w:tc>
        <w:tc>
          <w:tcPr>
            <w:tcW w:w="2680" w:type="dxa"/>
            <w:vAlign w:val="bottom"/>
            <w:gridSpan w:val="2"/>
          </w:tcPr>
          <w:p>
            <w:pPr>
              <w:jc w:val="center"/>
              <w:ind w:right="996"/>
              <w:spacing w:after="0"/>
              <w:rPr>
                <w:sz w:val="20"/>
                <w:szCs w:val="20"/>
                <w:color w:val="auto"/>
              </w:rPr>
            </w:pPr>
            <w:r>
              <w:rPr>
                <w:rFonts w:ascii="Times New Roman" w:cs="Times New Roman" w:eastAsia="Times New Roman" w:hAnsi="Times New Roman"/>
                <w:sz w:val="18"/>
                <w:szCs w:val="18"/>
                <w:b w:val="1"/>
                <w:bCs w:val="1"/>
                <w:color w:val="auto"/>
                <w:w w:val="99"/>
              </w:rPr>
              <w:t>(281) 520-3703</w:t>
            </w:r>
          </w:p>
        </w:tc>
        <w:tc>
          <w:tcPr>
            <w:tcW w:w="3760" w:type="dxa"/>
            <w:vAlign w:val="bottom"/>
          </w:tcPr>
          <w:p>
            <w:pPr>
              <w:spacing w:after="0"/>
              <w:rPr>
                <w:sz w:val="24"/>
                <w:szCs w:val="24"/>
                <w:color w:val="auto"/>
              </w:rPr>
            </w:pPr>
          </w:p>
        </w:tc>
      </w:tr>
      <w:tr>
        <w:trPr>
          <w:trHeight w:val="210"/>
        </w:trPr>
        <w:tc>
          <w:tcPr>
            <w:tcW w:w="7500" w:type="dxa"/>
            <w:vAlign w:val="bottom"/>
            <w:gridSpan w:val="3"/>
          </w:tcPr>
          <w:p>
            <w:pPr>
              <w:jc w:val="center"/>
              <w:ind w:left="367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760" w:type="dxa"/>
            <w:vAlign w:val="bottom"/>
          </w:tcPr>
          <w:p>
            <w:pPr>
              <w:spacing w:after="0"/>
              <w:rPr>
                <w:sz w:val="18"/>
                <w:szCs w:val="18"/>
                <w:color w:val="auto"/>
              </w:rPr>
            </w:pPr>
          </w:p>
        </w:tc>
      </w:tr>
      <w:tr>
        <w:trPr>
          <w:trHeight w:val="681"/>
        </w:trPr>
        <w:tc>
          <w:tcPr>
            <w:tcW w:w="482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35"/>
        </w:trPr>
        <w:tc>
          <w:tcPr>
            <w:tcW w:w="48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r>
      <w:tr>
        <w:trPr>
          <w:trHeight w:val="190"/>
        </w:trPr>
        <w:tc>
          <w:tcPr>
            <w:tcW w:w="4820" w:type="dxa"/>
            <w:vAlign w:val="bottom"/>
            <w:tcBorders>
              <w:left w:val="single" w:sz="8" w:color="auto"/>
              <w:bottom w:val="single" w:sz="8" w:color="auto"/>
            </w:tcBorders>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9"/>
        </w:trPr>
        <w:tc>
          <w:tcPr>
            <w:tcW w:w="4820" w:type="dxa"/>
            <w:vAlign w:val="bottom"/>
            <w:tcBorders>
              <w:left w:val="single" w:sz="8" w:color="auto"/>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54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69"/>
        </w:trPr>
        <w:tc>
          <w:tcPr>
            <w:tcW w:w="5360" w:type="dxa"/>
            <w:vAlign w:val="bottom"/>
            <w:tcBorders>
              <w:left w:val="single" w:sz="8" w:color="auto"/>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 at an</w:t>
            </w:r>
          </w:p>
        </w:tc>
        <w:tc>
          <w:tcPr>
            <w:tcW w:w="2140" w:type="dxa"/>
            <w:vAlign w:val="bottom"/>
            <w:tcBorders>
              <w:right w:val="single" w:sz="8" w:color="auto"/>
            </w:tcBorders>
          </w:tcPr>
          <w:p>
            <w:pPr>
              <w:spacing w:after="0"/>
              <w:rPr>
                <w:sz w:val="14"/>
                <w:szCs w:val="14"/>
                <w:color w:val="auto"/>
              </w:rPr>
            </w:pPr>
          </w:p>
        </w:tc>
        <w:tc>
          <w:tcPr>
            <w:tcW w:w="3760" w:type="dxa"/>
            <w:vAlign w:val="bottom"/>
            <w:tcBorders>
              <w:right w:val="single" w:sz="8" w:color="auto"/>
            </w:tcBorders>
          </w:tcPr>
          <w:p>
            <w:pPr>
              <w:spacing w:after="0"/>
              <w:rPr>
                <w:sz w:val="14"/>
                <w:szCs w:val="14"/>
                <w:color w:val="auto"/>
              </w:rPr>
            </w:pPr>
          </w:p>
        </w:tc>
      </w:tr>
      <w:tr>
        <w:trPr>
          <w:trHeight w:val="243"/>
        </w:trPr>
        <w:tc>
          <w:tcPr>
            <w:tcW w:w="4820" w:type="dxa"/>
            <w:vAlign w:val="bottom"/>
            <w:tcBorders>
              <w:left w:val="single" w:sz="8" w:color="auto"/>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54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LUNRW</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57"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32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8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Accelerated filer</w:t>
            </w:r>
          </w:p>
        </w:tc>
        <w:tc>
          <w:tcPr>
            <w:tcW w:w="1840" w:type="dxa"/>
            <w:vAlign w:val="bottom"/>
          </w:tcPr>
          <w:p>
            <w:pPr>
              <w:ind w:left="1680"/>
              <w:spacing w:after="0"/>
              <w:rPr>
                <w:sz w:val="20"/>
                <w:szCs w:val="20"/>
                <w:color w:val="auto"/>
              </w:rPr>
            </w:pPr>
            <w:r>
              <w:rPr>
                <w:rFonts w:ascii="Wingdings" w:cs="Wingdings" w:eastAsia="Wingdings" w:hAnsi="Wingdings"/>
                <w:sz w:val="18"/>
                <w:szCs w:val="18"/>
                <w:b w:val="1"/>
                <w:bCs w:val="1"/>
                <w:color w:val="auto"/>
                <w:w w:val="86"/>
              </w:rPr>
              <w:t>o</w:t>
            </w:r>
          </w:p>
        </w:tc>
        <w:tc>
          <w:tcPr>
            <w:tcW w:w="0" w:type="dxa"/>
            <w:vAlign w:val="bottom"/>
          </w:tcPr>
          <w:p>
            <w:pPr>
              <w:spacing w:after="0"/>
              <w:rPr>
                <w:sz w:val="1"/>
                <w:szCs w:val="1"/>
                <w:color w:val="auto"/>
              </w:rPr>
            </w:pPr>
          </w:p>
        </w:tc>
      </w:tr>
      <w:tr>
        <w:trPr>
          <w:trHeight w:val="35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780" w:type="dxa"/>
            <w:vAlign w:val="bottom"/>
            <w:gridSpan w:val="2"/>
          </w:tcPr>
          <w:p>
            <w:pPr>
              <w:jc w:val="right"/>
              <w:ind w:right="1550"/>
              <w:spacing w:after="0" w:line="351" w:lineRule="exact"/>
              <w:rPr>
                <w:sz w:val="20"/>
                <w:szCs w:val="20"/>
                <w:color w:val="auto"/>
              </w:rPr>
            </w:pPr>
            <w:r>
              <w:rPr>
                <w:rFonts w:ascii="Wingdings" w:cs="Wingdings" w:eastAsia="Wingdings" w:hAnsi="Wingdings"/>
                <w:sz w:val="35"/>
                <w:szCs w:val="35"/>
                <w:b w:val="1"/>
                <w:bCs w:val="1"/>
                <w:color w:val="auto"/>
                <w:vertAlign w:val="subscript"/>
              </w:rPr>
              <w:t>x</w:t>
            </w:r>
            <w:r>
              <w:rPr>
                <w:rFonts w:ascii="Times New Roman" w:cs="Times New Roman" w:eastAsia="Times New Roman" w:hAnsi="Times New Roman"/>
                <w:sz w:val="18"/>
                <w:szCs w:val="18"/>
                <w:color w:val="auto"/>
              </w:rPr>
              <w:t xml:space="preserve"> Smaller reporting company</w:t>
            </w:r>
          </w:p>
        </w:tc>
        <w:tc>
          <w:tcPr>
            <w:tcW w:w="1840" w:type="dxa"/>
            <w:vAlign w:val="bottom"/>
          </w:tcPr>
          <w:p>
            <w:pPr>
              <w:ind w:left="166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70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40" w:type="dxa"/>
            <w:vAlign w:val="bottom"/>
            <w:vMerge w:val="restart"/>
          </w:tcPr>
          <w:p>
            <w:pPr>
              <w:ind w:left="166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90"/>
        </w:trPr>
        <w:tc>
          <w:tcPr>
            <w:tcW w:w="34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5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November 8, 2024, the Registrant had 80,857,602 shares of Class A common stock, $0.0001 par value, 0 shares of Class B common stock, $0.0001 par value, and 59,489,192 shares of Class C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27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78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Page</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3051F2"/>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3051F2"/>
              </w:rPr>
              <w:t>Part I – Financial Information</w:t>
            </w:r>
          </w:p>
        </w:tc>
        <w:tc>
          <w:tcPr>
            <w:tcW w:w="7820" w:type="dxa"/>
            <w:vAlign w:val="bottom"/>
            <w:tcBorders>
              <w:bottom w:val="single" w:sz="8" w:color="CCEEFF"/>
            </w:tcBorders>
            <w:gridSpan w:val="15"/>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3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3051F2"/>
              </w:rPr>
              <w:t>Item 1. Financial Statements</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180" w:type="dxa"/>
            <w:vAlign w:val="bottom"/>
            <w:tcBorders>
              <w:top w:val="single" w:sz="8" w:color="3051F2"/>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1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Unaudited Condensed Consolidated Balance Sheets</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20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3051F2"/>
            </w:tcBorders>
            <w:shd w:val="clear" w:color="auto" w:fill="CCEEFF"/>
          </w:tcPr>
          <w:p>
            <w:pPr>
              <w:spacing w:after="0" w:line="20" w:lineRule="exact"/>
              <w:rPr>
                <w:sz w:val="1"/>
                <w:szCs w:val="1"/>
                <w:color w:val="auto"/>
              </w:rPr>
            </w:pPr>
          </w:p>
        </w:tc>
        <w:tc>
          <w:tcPr>
            <w:tcW w:w="180" w:type="dxa"/>
            <w:vAlign w:val="bottom"/>
            <w:tcBorders>
              <w:top w:val="single" w:sz="8" w:color="3051F2"/>
            </w:tcBorders>
            <w:shd w:val="clear" w:color="auto" w:fill="CCEEFF"/>
          </w:tcPr>
          <w:p>
            <w:pPr>
              <w:spacing w:after="0" w:line="20" w:lineRule="exact"/>
              <w:rPr>
                <w:sz w:val="1"/>
                <w:szCs w:val="1"/>
                <w:color w:val="auto"/>
              </w:rPr>
            </w:pPr>
          </w:p>
        </w:tc>
        <w:tc>
          <w:tcPr>
            <w:tcW w:w="260" w:type="dxa"/>
            <w:vAlign w:val="bottom"/>
            <w:tcBorders>
              <w:top w:val="single" w:sz="8" w:color="3051F2"/>
            </w:tcBorders>
            <w:shd w:val="clear" w:color="auto" w:fill="CCEEFF"/>
          </w:tcPr>
          <w:p>
            <w:pPr>
              <w:spacing w:after="0" w:line="20" w:lineRule="exact"/>
              <w:rPr>
                <w:sz w:val="1"/>
                <w:szCs w:val="1"/>
                <w:color w:val="auto"/>
              </w:rPr>
            </w:pPr>
          </w:p>
        </w:tc>
        <w:tc>
          <w:tcPr>
            <w:tcW w:w="560" w:type="dxa"/>
            <w:vAlign w:val="bottom"/>
            <w:tcBorders>
              <w:top w:val="single" w:sz="8" w:color="3051F2"/>
            </w:tcBorders>
            <w:shd w:val="clear" w:color="auto" w:fill="CCEEFF"/>
          </w:tcPr>
          <w:p>
            <w:pPr>
              <w:spacing w:after="0" w:line="20" w:lineRule="exact"/>
              <w:rPr>
                <w:sz w:val="1"/>
                <w:szCs w:val="1"/>
                <w:color w:val="auto"/>
              </w:rPr>
            </w:pPr>
          </w:p>
        </w:tc>
        <w:tc>
          <w:tcPr>
            <w:tcW w:w="1000" w:type="dxa"/>
            <w:vAlign w:val="bottom"/>
            <w:tcBorders>
              <w:top w:val="single" w:sz="8" w:color="3051F2"/>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3051F2"/>
              </w:rPr>
              <w:t>Unaudited Condensed Consolidated Statements of Operations</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180" w:type="dxa"/>
            <w:vAlign w:val="bottom"/>
            <w:tcBorders>
              <w:top w:val="single" w:sz="8" w:color="3051F2"/>
            </w:tcBorders>
          </w:tcPr>
          <w:p>
            <w:pPr>
              <w:spacing w:after="0" w:line="20" w:lineRule="exact"/>
              <w:rPr>
                <w:sz w:val="1"/>
                <w:szCs w:val="1"/>
                <w:color w:val="auto"/>
              </w:rPr>
            </w:pPr>
          </w:p>
        </w:tc>
        <w:tc>
          <w:tcPr>
            <w:tcW w:w="260" w:type="dxa"/>
            <w:vAlign w:val="bottom"/>
            <w:tcBorders>
              <w:top w:val="single" w:sz="8" w:color="3051F2"/>
            </w:tcBorders>
          </w:tcPr>
          <w:p>
            <w:pPr>
              <w:spacing w:after="0" w:line="20" w:lineRule="exact"/>
              <w:rPr>
                <w:sz w:val="1"/>
                <w:szCs w:val="1"/>
                <w:color w:val="auto"/>
              </w:rPr>
            </w:pPr>
          </w:p>
        </w:tc>
        <w:tc>
          <w:tcPr>
            <w:tcW w:w="560" w:type="dxa"/>
            <w:vAlign w:val="bottom"/>
            <w:tcBorders>
              <w:top w:val="single" w:sz="8" w:color="3051F2"/>
            </w:tcBorders>
          </w:tcPr>
          <w:p>
            <w:pPr>
              <w:spacing w:after="0" w:line="20" w:lineRule="exact"/>
              <w:rPr>
                <w:sz w:val="1"/>
                <w:szCs w:val="1"/>
                <w:color w:val="auto"/>
              </w:rPr>
            </w:pPr>
          </w:p>
        </w:tc>
        <w:tc>
          <w:tcPr>
            <w:tcW w:w="1000" w:type="dxa"/>
            <w:vAlign w:val="bottom"/>
            <w:tcBorders>
              <w:top w:val="single" w:sz="8" w:color="3051F2"/>
            </w:tcBorders>
          </w:tcPr>
          <w:p>
            <w:pPr>
              <w:spacing w:after="0" w:line="20" w:lineRule="exact"/>
              <w:rPr>
                <w:sz w:val="1"/>
                <w:szCs w:val="1"/>
                <w:color w:val="auto"/>
              </w:rPr>
            </w:pPr>
          </w:p>
        </w:tc>
        <w:tc>
          <w:tcPr>
            <w:tcW w:w="720" w:type="dxa"/>
            <w:vAlign w:val="bottom"/>
            <w:tcBorders>
              <w:top w:val="single" w:sz="8" w:color="3051F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980" w:type="dxa"/>
            <w:vAlign w:val="bottom"/>
            <w:tcBorders>
              <w:bottom w:val="single" w:sz="8" w:color="3051F2"/>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w w:val="99"/>
              </w:rPr>
              <w:t>Unaudited Condensed Consolidated Statements of Mezzanine Equity</w:t>
            </w:r>
          </w:p>
        </w:tc>
        <w:tc>
          <w:tcPr>
            <w:tcW w:w="4180" w:type="dxa"/>
            <w:vAlign w:val="bottom"/>
            <w:tcBorders>
              <w:bottom w:val="single" w:sz="8" w:color="CCEEFF"/>
            </w:tcBorders>
            <w:gridSpan w:val="3"/>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Unaudited Condensed Consolidated Statements of Shareholders’ Deficit</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16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Unaudited Condensed Consolidated Statements of Cash Flows</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20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3051F2"/>
            </w:tcBorders>
            <w:shd w:val="clear" w:color="auto" w:fill="CCEEFF"/>
          </w:tcPr>
          <w:p>
            <w:pPr>
              <w:spacing w:after="0" w:line="20" w:lineRule="exact"/>
              <w:rPr>
                <w:sz w:val="1"/>
                <w:szCs w:val="1"/>
                <w:color w:val="auto"/>
              </w:rPr>
            </w:pPr>
          </w:p>
        </w:tc>
        <w:tc>
          <w:tcPr>
            <w:tcW w:w="180" w:type="dxa"/>
            <w:vAlign w:val="bottom"/>
            <w:tcBorders>
              <w:top w:val="single" w:sz="8" w:color="3051F2"/>
            </w:tcBorders>
            <w:shd w:val="clear" w:color="auto" w:fill="CCEEFF"/>
          </w:tcPr>
          <w:p>
            <w:pPr>
              <w:spacing w:after="0" w:line="20" w:lineRule="exact"/>
              <w:rPr>
                <w:sz w:val="1"/>
                <w:szCs w:val="1"/>
                <w:color w:val="auto"/>
              </w:rPr>
            </w:pPr>
          </w:p>
        </w:tc>
        <w:tc>
          <w:tcPr>
            <w:tcW w:w="260" w:type="dxa"/>
            <w:vAlign w:val="bottom"/>
            <w:tcBorders>
              <w:top w:val="single" w:sz="8" w:color="3051F2"/>
            </w:tcBorders>
            <w:shd w:val="clear" w:color="auto" w:fill="CCEEFF"/>
          </w:tcPr>
          <w:p>
            <w:pPr>
              <w:spacing w:after="0" w:line="20" w:lineRule="exact"/>
              <w:rPr>
                <w:sz w:val="1"/>
                <w:szCs w:val="1"/>
                <w:color w:val="auto"/>
              </w:rPr>
            </w:pPr>
          </w:p>
        </w:tc>
        <w:tc>
          <w:tcPr>
            <w:tcW w:w="560" w:type="dxa"/>
            <w:vAlign w:val="bottom"/>
            <w:tcBorders>
              <w:top w:val="single" w:sz="8" w:color="3051F2"/>
            </w:tcBorders>
            <w:shd w:val="clear" w:color="auto" w:fill="CCEEFF"/>
          </w:tcPr>
          <w:p>
            <w:pPr>
              <w:spacing w:after="0" w:line="20" w:lineRule="exact"/>
              <w:rPr>
                <w:sz w:val="1"/>
                <w:szCs w:val="1"/>
                <w:color w:val="auto"/>
              </w:rPr>
            </w:pPr>
          </w:p>
        </w:tc>
        <w:tc>
          <w:tcPr>
            <w:tcW w:w="1000" w:type="dxa"/>
            <w:vAlign w:val="bottom"/>
            <w:tcBorders>
              <w:top w:val="single" w:sz="8" w:color="3051F2"/>
            </w:tcBorders>
            <w:shd w:val="clear" w:color="auto" w:fill="CCEEFF"/>
          </w:tcPr>
          <w:p>
            <w:pPr>
              <w:spacing w:after="0" w:line="20" w:lineRule="exact"/>
              <w:rPr>
                <w:sz w:val="1"/>
                <w:szCs w:val="1"/>
                <w:color w:val="auto"/>
              </w:rPr>
            </w:pPr>
          </w:p>
        </w:tc>
        <w:tc>
          <w:tcPr>
            <w:tcW w:w="720" w:type="dxa"/>
            <w:vAlign w:val="bottom"/>
            <w:tcBorders>
              <w:top w:val="single" w:sz="8" w:color="3051F2"/>
            </w:tcBorders>
            <w:shd w:val="clear" w:color="auto" w:fill="CCEEFF"/>
          </w:tcPr>
          <w:p>
            <w:pPr>
              <w:spacing w:after="0" w:line="20" w:lineRule="exact"/>
              <w:rPr>
                <w:sz w:val="1"/>
                <w:szCs w:val="1"/>
                <w:color w:val="auto"/>
              </w:rPr>
            </w:pPr>
          </w:p>
        </w:tc>
        <w:tc>
          <w:tcPr>
            <w:tcW w:w="60" w:type="dxa"/>
            <w:vAlign w:val="bottom"/>
            <w:tcBorders>
              <w:top w:val="single" w:sz="8" w:color="3051F2"/>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1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3051F2"/>
              </w:rPr>
              <w:t>Notes to Unaudited Condensed Consolidated Financial Statements</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180" w:type="dxa"/>
            <w:vAlign w:val="bottom"/>
            <w:tcBorders>
              <w:top w:val="single" w:sz="8" w:color="3051F2"/>
            </w:tcBorders>
          </w:tcPr>
          <w:p>
            <w:pPr>
              <w:spacing w:after="0" w:line="20" w:lineRule="exact"/>
              <w:rPr>
                <w:sz w:val="1"/>
                <w:szCs w:val="1"/>
                <w:color w:val="auto"/>
              </w:rPr>
            </w:pPr>
          </w:p>
        </w:tc>
        <w:tc>
          <w:tcPr>
            <w:tcW w:w="260" w:type="dxa"/>
            <w:vAlign w:val="bottom"/>
            <w:tcBorders>
              <w:top w:val="single" w:sz="8" w:color="3051F2"/>
            </w:tcBorders>
          </w:tcPr>
          <w:p>
            <w:pPr>
              <w:spacing w:after="0" w:line="20" w:lineRule="exact"/>
              <w:rPr>
                <w:sz w:val="1"/>
                <w:szCs w:val="1"/>
                <w:color w:val="auto"/>
              </w:rPr>
            </w:pPr>
          </w:p>
        </w:tc>
        <w:tc>
          <w:tcPr>
            <w:tcW w:w="560" w:type="dxa"/>
            <w:vAlign w:val="bottom"/>
            <w:tcBorders>
              <w:top w:val="single" w:sz="8" w:color="3051F2"/>
            </w:tcBorders>
          </w:tcPr>
          <w:p>
            <w:pPr>
              <w:spacing w:after="0" w:line="20" w:lineRule="exact"/>
              <w:rPr>
                <w:sz w:val="1"/>
                <w:szCs w:val="1"/>
                <w:color w:val="auto"/>
              </w:rPr>
            </w:pPr>
          </w:p>
        </w:tc>
        <w:tc>
          <w:tcPr>
            <w:tcW w:w="1000" w:type="dxa"/>
            <w:vAlign w:val="bottom"/>
            <w:tcBorders>
              <w:top w:val="single" w:sz="8" w:color="3051F2"/>
            </w:tcBorders>
          </w:tcPr>
          <w:p>
            <w:pPr>
              <w:spacing w:after="0" w:line="20" w:lineRule="exact"/>
              <w:rPr>
                <w:sz w:val="1"/>
                <w:szCs w:val="1"/>
                <w:color w:val="auto"/>
              </w:rPr>
            </w:pPr>
          </w:p>
        </w:tc>
        <w:tc>
          <w:tcPr>
            <w:tcW w:w="72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600" w:type="dxa"/>
            <w:vAlign w:val="bottom"/>
            <w:tcBorders>
              <w:bottom w:val="single" w:sz="8" w:color="3051F2"/>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w w:val="99"/>
              </w:rPr>
              <w:t>Item 2. Management’s Discussion and Analysis of Financial Condition and Results of Operations of Intuitive Machines</w:t>
            </w:r>
          </w:p>
        </w:tc>
        <w:tc>
          <w:tcPr>
            <w:tcW w:w="7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3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3051F2"/>
              </w:rPr>
              <w:t>Item 3. Quantitative and Qualitative Disclosures About Market Risk</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180" w:type="dxa"/>
            <w:vAlign w:val="bottom"/>
            <w:tcBorders>
              <w:top w:val="single" w:sz="8" w:color="3051F2"/>
            </w:tcBorders>
          </w:tcPr>
          <w:p>
            <w:pPr>
              <w:spacing w:after="0" w:line="20" w:lineRule="exact"/>
              <w:rPr>
                <w:sz w:val="1"/>
                <w:szCs w:val="1"/>
                <w:color w:val="auto"/>
              </w:rPr>
            </w:pPr>
          </w:p>
        </w:tc>
        <w:tc>
          <w:tcPr>
            <w:tcW w:w="260" w:type="dxa"/>
            <w:vAlign w:val="bottom"/>
            <w:tcBorders>
              <w:top w:val="single" w:sz="8" w:color="3051F2"/>
            </w:tcBorders>
          </w:tcPr>
          <w:p>
            <w:pPr>
              <w:spacing w:after="0" w:line="20" w:lineRule="exact"/>
              <w:rPr>
                <w:sz w:val="1"/>
                <w:szCs w:val="1"/>
                <w:color w:val="auto"/>
              </w:rPr>
            </w:pPr>
          </w:p>
        </w:tc>
        <w:tc>
          <w:tcPr>
            <w:tcW w:w="560" w:type="dxa"/>
            <w:vAlign w:val="bottom"/>
            <w:tcBorders>
              <w:top w:val="single" w:sz="8" w:color="3051F2"/>
            </w:tcBorders>
          </w:tcPr>
          <w:p>
            <w:pPr>
              <w:spacing w:after="0" w:line="20" w:lineRule="exact"/>
              <w:rPr>
                <w:sz w:val="1"/>
                <w:szCs w:val="1"/>
                <w:color w:val="auto"/>
              </w:rPr>
            </w:pPr>
          </w:p>
        </w:tc>
        <w:tc>
          <w:tcPr>
            <w:tcW w:w="1000" w:type="dxa"/>
            <w:vAlign w:val="bottom"/>
            <w:tcBorders>
              <w:top w:val="single" w:sz="8" w:color="3051F2"/>
            </w:tcBorders>
          </w:tcPr>
          <w:p>
            <w:pPr>
              <w:spacing w:after="0" w:line="20" w:lineRule="exact"/>
              <w:rPr>
                <w:sz w:val="1"/>
                <w:szCs w:val="1"/>
                <w:color w:val="auto"/>
              </w:rPr>
            </w:pPr>
          </w:p>
        </w:tc>
        <w:tc>
          <w:tcPr>
            <w:tcW w:w="72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240" w:type="dxa"/>
            <w:vAlign w:val="bottom"/>
            <w:tcBorders>
              <w:top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3051F2"/>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w w:val="98"/>
              </w:rPr>
              <w:t>Item 4. Controls and Procedures</w:t>
            </w:r>
          </w:p>
        </w:tc>
        <w:tc>
          <w:tcPr>
            <w:tcW w:w="7000" w:type="dxa"/>
            <w:vAlign w:val="bottom"/>
            <w:tcBorders>
              <w:bottom w:val="single" w:sz="8" w:color="CCEEFF"/>
            </w:tcBorders>
            <w:gridSpan w:val="10"/>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r>
      <w:tr>
        <w:trPr>
          <w:trHeight w:val="189"/>
        </w:trPr>
        <w:tc>
          <w:tcPr>
            <w:tcW w:w="20" w:type="dxa"/>
            <w:vAlign w:val="bottom"/>
          </w:tcPr>
          <w:p>
            <w:pPr>
              <w:spacing w:after="0"/>
              <w:rPr>
                <w:sz w:val="16"/>
                <w:szCs w:val="16"/>
                <w:color w:val="auto"/>
              </w:rPr>
            </w:pPr>
          </w:p>
        </w:tc>
        <w:tc>
          <w:tcPr>
            <w:tcW w:w="99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3051F2"/>
              </w:rPr>
              <w:t>Part II – Other Information</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3051F2"/>
            </w:tcBorders>
          </w:tcPr>
          <w:p>
            <w:pPr>
              <w:spacing w:after="0" w:line="20" w:lineRule="exact"/>
              <w:rPr>
                <w:sz w:val="1"/>
                <w:szCs w:val="1"/>
                <w:color w:val="auto"/>
              </w:rPr>
            </w:pPr>
          </w:p>
        </w:tc>
        <w:tc>
          <w:tcPr>
            <w:tcW w:w="10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3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1. Legal Proceedings</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80" w:type="dxa"/>
            <w:vAlign w:val="bottom"/>
            <w:tcBorders>
              <w:top w:val="single" w:sz="8" w:color="3051F2"/>
            </w:tcBorders>
            <w:gridSpan w:val="8"/>
          </w:tcPr>
          <w:p>
            <w:pPr>
              <w:spacing w:after="0" w:line="189" w:lineRule="exact"/>
              <w:rPr>
                <w:sz w:val="20"/>
                <w:szCs w:val="20"/>
                <w:color w:val="auto"/>
              </w:rPr>
            </w:pPr>
            <w:r>
              <w:rPr>
                <w:rFonts w:ascii="Times New Roman" w:cs="Times New Roman" w:eastAsia="Times New Roman" w:hAnsi="Times New Roman"/>
                <w:sz w:val="18"/>
                <w:szCs w:val="18"/>
                <w:color w:val="3051F2"/>
              </w:rPr>
              <w:t>Item 1A. Risk Factors</w:t>
            </w:r>
          </w:p>
        </w:tc>
        <w:tc>
          <w:tcPr>
            <w:tcW w:w="7440" w:type="dxa"/>
            <w:vAlign w:val="bottom"/>
            <w:tcBorders>
              <w:top w:val="single" w:sz="8" w:color="CCEEFF"/>
            </w:tcBorders>
            <w:gridSpan w:val="12"/>
          </w:tcPr>
          <w:p>
            <w:pPr>
              <w:spacing w:after="0"/>
              <w:rPr>
                <w:sz w:val="16"/>
                <w:szCs w:val="16"/>
                <w:color w:val="auto"/>
              </w:rPr>
            </w:pPr>
          </w:p>
        </w:tc>
        <w:tc>
          <w:tcPr>
            <w:tcW w:w="124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3051F2"/>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w w:val="99"/>
              </w:rPr>
              <w:t>Item 2. Unregistered Sales of Equity Securities and Use of Proceeds</w:t>
            </w:r>
          </w:p>
        </w:tc>
        <w:tc>
          <w:tcPr>
            <w:tcW w:w="4420" w:type="dxa"/>
            <w:vAlign w:val="bottom"/>
            <w:tcBorders>
              <w:bottom w:val="single" w:sz="8" w:color="CCEEFF"/>
            </w:tcBorders>
            <w:gridSpan w:val="5"/>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3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3051F2"/>
              </w:rPr>
              <w:t>Item 3. Defaults Upon Senior Securities</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180" w:type="dxa"/>
            <w:vAlign w:val="bottom"/>
            <w:tcBorders>
              <w:top w:val="single" w:sz="8" w:color="3051F2"/>
            </w:tcBorders>
          </w:tcPr>
          <w:p>
            <w:pPr>
              <w:spacing w:after="0" w:line="20" w:lineRule="exact"/>
              <w:rPr>
                <w:sz w:val="1"/>
                <w:szCs w:val="1"/>
                <w:color w:val="auto"/>
              </w:rPr>
            </w:pPr>
          </w:p>
        </w:tc>
        <w:tc>
          <w:tcPr>
            <w:tcW w:w="260" w:type="dxa"/>
            <w:vAlign w:val="bottom"/>
            <w:tcBorders>
              <w:top w:val="single" w:sz="8" w:color="3051F2"/>
            </w:tcBorders>
          </w:tcPr>
          <w:p>
            <w:pPr>
              <w:spacing w:after="0" w:line="20" w:lineRule="exact"/>
              <w:rPr>
                <w:sz w:val="1"/>
                <w:szCs w:val="1"/>
                <w:color w:val="auto"/>
              </w:rPr>
            </w:pPr>
          </w:p>
        </w:tc>
        <w:tc>
          <w:tcPr>
            <w:tcW w:w="560" w:type="dxa"/>
            <w:vAlign w:val="bottom"/>
            <w:tcBorders>
              <w:top w:val="single" w:sz="8" w:color="3051F2"/>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3051F2"/>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w w:val="98"/>
              </w:rPr>
              <w:t>Item 4. Mine Safety Disclosures</w:t>
            </w:r>
          </w:p>
        </w:tc>
        <w:tc>
          <w:tcPr>
            <w:tcW w:w="7000" w:type="dxa"/>
            <w:vAlign w:val="bottom"/>
            <w:tcBorders>
              <w:bottom w:val="single" w:sz="8" w:color="CCEEFF"/>
            </w:tcBorders>
            <w:gridSpan w:val="10"/>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32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3051F2"/>
              </w:rPr>
              <w:t>Item 5. Other Information</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3051F2"/>
            </w:tcBorders>
          </w:tcPr>
          <w:p>
            <w:pPr>
              <w:spacing w:after="0" w:line="20" w:lineRule="exact"/>
              <w:rPr>
                <w:sz w:val="1"/>
                <w:szCs w:val="1"/>
                <w:color w:val="auto"/>
              </w:rPr>
            </w:pPr>
          </w:p>
        </w:tc>
        <w:tc>
          <w:tcPr>
            <w:tcW w:w="98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2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32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6. Exhibits</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3051F2"/>
            </w:tcBorders>
            <w:shd w:val="clear" w:color="auto" w:fill="CCEEFF"/>
          </w:tcPr>
          <w:p>
            <w:pPr>
              <w:spacing w:after="0" w:line="20" w:lineRule="exact"/>
              <w:rPr>
                <w:sz w:val="1"/>
                <w:szCs w:val="1"/>
                <w:color w:val="auto"/>
              </w:rPr>
            </w:pPr>
          </w:p>
        </w:tc>
        <w:tc>
          <w:tcPr>
            <w:tcW w:w="60" w:type="dxa"/>
            <w:vAlign w:val="bottom"/>
            <w:tcBorders>
              <w:top w:val="single" w:sz="8" w:color="3051F2"/>
            </w:tcBorders>
            <w:shd w:val="clear" w:color="auto" w:fill="CCEEFF"/>
          </w:tcPr>
          <w:p>
            <w:pPr>
              <w:spacing w:after="0" w:line="20" w:lineRule="exact"/>
              <w:rPr>
                <w:sz w:val="1"/>
                <w:szCs w:val="1"/>
                <w:color w:val="auto"/>
              </w:rPr>
            </w:pPr>
          </w:p>
        </w:tc>
        <w:tc>
          <w:tcPr>
            <w:tcW w:w="98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9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3051F2"/>
              </w:rPr>
              <w:t>Signatures</w:t>
            </w: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r>
      <w:tr>
        <w:trPr>
          <w:trHeight w:val="1027"/>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as amended.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relating to our first mission to the Moon,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Quarterly Report:</w:t>
      </w:r>
    </w:p>
    <w:p>
      <w:pPr>
        <w:spacing w:after="0" w:line="35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the efforts of our key personnel and Board of Directors (the “Board”) to be successful;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manage our growth effectively and failure to win new contracts;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new companies;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unsatisfactory safety performance of our spaceflight systems or security incidents at our facilities;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commercial spaceflight to achieve the growth potential we expect;</w:t>
      </w:r>
    </w:p>
    <w:p>
      <w:pPr>
        <w:spacing w:after="0" w:line="14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launches, launch failures, failure of our satellites or lunar landers to reach their planned orbital locations, significant increases in the costs related to launches of satellites and lunar landers, and insufficient capacity available from satellite and lunar lander launch providers;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concentration;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single launch service provider;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commercial spaceflight, including any accident on launch or during the journey into space;</w:t>
      </w:r>
    </w:p>
    <w:p>
      <w:pPr>
        <w:spacing w:after="0" w:line="13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handling, production and disposition of potentially explosive and ignitable energetic materials and other dangerous chemicals in our operations;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for certain materials and supplied components;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operate in the expected manner or defects in our sub-systems;</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risks on contracts entered into with our customers and failure of our prime contractors to maintain their relationships with their counterparties and fulfill their contractual obligations;</w:t>
      </w:r>
    </w:p>
    <w:p>
      <w:pPr>
        <w:spacing w:after="0" w:line="8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laws and regulations relating to various aspects of our business and any changes in the funding levels of various governmental entities with which we do business;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the confidentiality of our trade secrets and unpatented know how;</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terms of third-party open source software our systems utilize;</w:t>
      </w:r>
    </w:p>
    <w:p>
      <w:pPr>
        <w:spacing w:after="0" w:line="14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 and to address and remediate existing material weaknesses in our internal control over financial reporting;</w:t>
      </w:r>
    </w:p>
    <w:p>
      <w:pPr>
        <w:spacing w:after="0" w:line="9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government’s budget deficit and the national debt, as well as any inability of the U.S. government to complete its budget process for any government fiscal year, and our dependence on U.S. government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U.S. export and import control laws and regulations and U.S. economic sanctions and trade control laws and regulations;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global macro-economic and political conditions (including as a result of a failure to raise the “debt ceiling”) and rising inflation;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losses and failure to achieve profitability in the future or failure of our business to generate sufficient funds to continue operations;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potential future litigation;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 and</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factors detailed under the section titled Part I, Item 1A. Risk Factors of our Annual Report on Form 10-K for the fiscal year ended December 31, 2023 (the “2023 Annual Report on Form 10-K”), the section titled Part I, Item 2, Management’s Discussion and Analysis of Financial Condition and Results of Operations and the section titled Part II., Item 1A. “Risk Factors” in this Quarterly Report and in our subsequent filings with the U.S. Securities and Exchange Commission (the “SEC”).</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3"/>
        </w:trPr>
        <w:tc>
          <w:tcPr>
            <w:tcW w:w="8180" w:type="dxa"/>
            <w:vAlign w:val="bottom"/>
          </w:tcPr>
          <w:p>
            <w:pPr>
              <w:jc w:val="center"/>
              <w:ind w:left="2999"/>
              <w:spacing w:after="0"/>
              <w:rPr>
                <w:sz w:val="20"/>
                <w:szCs w:val="20"/>
                <w:color w:val="auto"/>
              </w:rPr>
            </w:pPr>
            <w:r>
              <w:rPr>
                <w:rFonts w:ascii="Times New Roman" w:cs="Times New Roman" w:eastAsia="Times New Roman" w:hAnsi="Times New Roman"/>
                <w:sz w:val="16"/>
                <w:szCs w:val="16"/>
                <w:b w:val="1"/>
                <w:bCs w:val="1"/>
                <w:color w:val="auto"/>
              </w:rPr>
              <w:t>INTUITIVE MACHINES, INC.</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80" w:type="dxa"/>
            <w:vAlign w:val="bottom"/>
          </w:tcPr>
          <w:p>
            <w:pPr>
              <w:jc w:val="center"/>
              <w:ind w:left="299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80" w:type="dxa"/>
            <w:vAlign w:val="bottom"/>
          </w:tcPr>
          <w:p>
            <w:pPr>
              <w:jc w:val="center"/>
              <w:ind w:left="2999"/>
              <w:spacing w:after="0"/>
              <w:rPr>
                <w:sz w:val="20"/>
                <w:szCs w:val="20"/>
                <w:color w:val="auto"/>
              </w:rPr>
            </w:pPr>
            <w:r>
              <w:rPr>
                <w:rFonts w:ascii="Times New Roman" w:cs="Times New Roman" w:eastAsia="Times New Roman" w:hAnsi="Times New Roman"/>
                <w:sz w:val="16"/>
                <w:szCs w:val="16"/>
                <w:b w:val="1"/>
                <w:bCs w:val="1"/>
                <w:color w:val="auto"/>
              </w:rPr>
              <w:t>(in thousands, except share data and par value)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80" w:type="dxa"/>
            <w:vAlign w:val="bottom"/>
          </w:tcPr>
          <w:p>
            <w:pPr>
              <w:jc w:val="center"/>
              <w:ind w:left="29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5"/>
                <w:szCs w:val="15"/>
                <w:color w:val="auto"/>
              </w:rPr>
            </w:pPr>
          </w:p>
        </w:tc>
        <w:tc>
          <w:tcPr>
            <w:tcW w:w="1300" w:type="dxa"/>
            <w:vAlign w:val="bottom"/>
          </w:tcPr>
          <w:p>
            <w:pPr>
              <w:jc w:val="right"/>
              <w:ind w:right="199"/>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accounts receivable, net of allowance for expected credit losses of $440 and $0, respectively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31,611</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MEZZANINE EQUITY AND SHAREHOLDERS’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41,371</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non-current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30,550</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Earn-out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14,032</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229,335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137,480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Series A preferred stock subject to possible redemption, $0.0001 par value, 25,000,000 shares authorized, 5,000 and 26,000</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181,662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$0.0001 par value, 500,000,000 shares authorized, 81,351,656 and 22,279,876 shares issued, and</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80,101,656 and 21,029,876 outstanding</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 $0.0001 par value, 100,000,000 shares authorized, 0 shares issued and outstanding</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C common stock, $0.0001 par value, 100,000,000 shares authorized, 60,245,138 and 70,909,012 shares issued and</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1,250,000 shares, at cost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(12,825)</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 capital</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(248,619)</w:t>
            </w:r>
          </w:p>
        </w:tc>
        <w:tc>
          <w:tcPr>
            <w:tcW w:w="0" w:type="dxa"/>
            <w:vAlign w:val="bottom"/>
          </w:tcPr>
          <w:p>
            <w:pPr>
              <w:spacing w:after="0"/>
              <w:rPr>
                <w:sz w:val="1"/>
                <w:szCs w:val="1"/>
                <w:color w:val="auto"/>
              </w:rPr>
            </w:pPr>
          </w:p>
        </w:tc>
      </w:tr>
      <w:tr>
        <w:trPr>
          <w:trHeight w:val="207"/>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shareholders’ deficit attributable to the Company</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(261,435)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shareholders’ deficit</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(495,353)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(261,435)</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947"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Pr>
          <w:p>
            <w:pPr>
              <w:spacing w:after="0"/>
              <w:rPr>
                <w:sz w:val="16"/>
                <w:szCs w:val="16"/>
                <w:color w:val="auto"/>
              </w:rPr>
            </w:pPr>
          </w:p>
        </w:tc>
        <w:tc>
          <w:tcPr>
            <w:tcW w:w="2560" w:type="dxa"/>
            <w:vAlign w:val="bottom"/>
            <w:gridSpan w:val="4"/>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84"/>
        </w:trPr>
        <w:tc>
          <w:tcPr>
            <w:tcW w:w="55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2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73,688</w:t>
            </w:r>
          </w:p>
        </w:tc>
      </w:tr>
      <w:tr>
        <w:trPr>
          <w:trHeight w:val="22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 affiliated companies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 (see Note 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 (excluding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27,956</w:t>
            </w:r>
          </w:p>
        </w:tc>
      </w:tr>
      <w:tr>
        <w:trPr>
          <w:trHeight w:val="223"/>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102,588</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(53,628)</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61,066</w:t>
            </w:r>
          </w:p>
        </w:tc>
      </w:tr>
      <w:tr>
        <w:trPr>
          <w:trHeight w:val="22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2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securities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9"/>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r>
      <w:tr>
        <w:trPr>
          <w:trHeight w:val="175"/>
        </w:trPr>
        <w:tc>
          <w:tcPr>
            <w:tcW w:w="55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Net loss attributable to Intuitive Machines, LLC prior to the Business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(post Business Combination)</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(181,787)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w:t>
            </w:r>
          </w:p>
        </w:tc>
      </w:tr>
      <w:tr>
        <w:trPr>
          <w:trHeight w:val="23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w:t>
            </w:r>
          </w:p>
        </w:tc>
      </w:tr>
      <w:tr>
        <w:trPr>
          <w:trHeight w:val="23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53,335</w:t>
            </w:r>
          </w:p>
        </w:tc>
      </w:tr>
      <w:tr>
        <w:trPr>
          <w:trHeight w:val="230"/>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Preferred dividends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Class A common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Net income (loss) per share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67,072,014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17,411,217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52,971,882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16,294,029</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26,126,245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52,971,882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24,964,408</w:t>
            </w:r>
          </w:p>
        </w:tc>
      </w:tr>
    </w:tbl>
    <w:p>
      <w:pPr>
        <w:spacing w:after="0" w:line="2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As a result of the Business Combination, the capital structure changed and the net loss per share information for 2023 represents results after the Closing Date of the Business Combination, for the period from February 13, 2023 through September 30, 2023. See Note 1 - Business Description and Note 11 - Net Income (Loss) per Share for additional information.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428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60" w:type="dxa"/>
            <w:vAlign w:val="bottom"/>
          </w:tcPr>
          <w:p>
            <w:pPr>
              <w:spacing w:after="0"/>
              <w:rPr>
                <w:sz w:val="13"/>
                <w:szCs w:val="13"/>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9"/>
        </w:trPr>
        <w:tc>
          <w:tcPr>
            <w:tcW w:w="41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2"/>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2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218,160</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preferred dividends</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preferred stock discount</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Subsequent remeasurement of redeemable noncontrolling interests</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292,492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(25,679)</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28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484,973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180" w:type="dxa"/>
            <w:vAlign w:val="bottom"/>
          </w:tcPr>
          <w:p>
            <w:pPr>
              <w:spacing w:after="0"/>
              <w:rPr>
                <w:sz w:val="24"/>
                <w:szCs w:val="24"/>
                <w:color w:val="auto"/>
              </w:rPr>
            </w:pPr>
          </w:p>
        </w:tc>
        <w:tc>
          <w:tcPr>
            <w:tcW w:w="42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60" w:type="dxa"/>
            <w:vAlign w:val="bottom"/>
          </w:tcPr>
          <w:p>
            <w:pPr>
              <w:spacing w:after="0"/>
              <w:rPr>
                <w:sz w:val="13"/>
                <w:szCs w:val="13"/>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9"/>
        </w:trPr>
        <w:tc>
          <w:tcPr>
            <w:tcW w:w="41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2"/>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2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181,662</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Series A preferred stock (Note 7)</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Cumulative preferred dividends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preferred stock discount</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Subsequent remeasurement of redeemable noncontrolling interests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353,312</w:t>
            </w:r>
          </w:p>
        </w:tc>
        <w:tc>
          <w:tcPr>
            <w:tcW w:w="0" w:type="dxa"/>
            <w:vAlign w:val="bottom"/>
          </w:tcPr>
          <w:p>
            <w:pPr>
              <w:spacing w:after="0"/>
              <w:rPr>
                <w:sz w:val="1"/>
                <w:szCs w:val="1"/>
                <w:color w:val="auto"/>
              </w:rPr>
            </w:pPr>
          </w:p>
        </w:tc>
      </w:tr>
      <w:tr>
        <w:trPr>
          <w:trHeight w:val="196"/>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28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(50,001)</w:t>
            </w:r>
          </w:p>
        </w:tc>
        <w:tc>
          <w:tcPr>
            <w:tcW w:w="0" w:type="dxa"/>
            <w:vAlign w:val="bottom"/>
          </w:tcPr>
          <w:p>
            <w:pPr>
              <w:spacing w:after="0"/>
              <w:rPr>
                <w:sz w:val="1"/>
                <w:szCs w:val="1"/>
                <w:color w:val="auto"/>
              </w:rPr>
            </w:pPr>
          </w:p>
        </w:tc>
      </w:tr>
      <w:tr>
        <w:trPr>
          <w:trHeight w:val="22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2024</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484,973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5"/>
        </w:trPr>
        <w:tc>
          <w:tcPr>
            <w:tcW w:w="4180" w:type="dxa"/>
            <w:vAlign w:val="bottom"/>
          </w:tcPr>
          <w:p>
            <w:pPr>
              <w:spacing w:after="0"/>
              <w:rPr>
                <w:sz w:val="24"/>
                <w:szCs w:val="24"/>
                <w:color w:val="auto"/>
              </w:rPr>
            </w:pPr>
          </w:p>
        </w:tc>
        <w:tc>
          <w:tcPr>
            <w:tcW w:w="428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60" w:type="dxa"/>
            <w:vAlign w:val="bottom"/>
          </w:tcPr>
          <w:p>
            <w:pPr>
              <w:spacing w:after="0"/>
              <w:rPr>
                <w:sz w:val="13"/>
                <w:szCs w:val="13"/>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9"/>
        </w:trPr>
        <w:tc>
          <w:tcPr>
            <w:tcW w:w="41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01"/>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2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578,630</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preferred dividends</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Accretion of preferred stock discount</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Subsequent remeasurement of redeemable noncontrolling interests</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(300,905)</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(18,992)</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28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258,733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180" w:type="dxa"/>
            <w:vAlign w:val="bottom"/>
          </w:tcPr>
          <w:p>
            <w:pPr>
              <w:spacing w:after="0"/>
              <w:rPr>
                <w:sz w:val="24"/>
                <w:szCs w:val="24"/>
                <w:color w:val="auto"/>
              </w:rPr>
            </w:pPr>
          </w:p>
        </w:tc>
        <w:tc>
          <w:tcPr>
            <w:tcW w:w="42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6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160" w:type="dxa"/>
            <w:vAlign w:val="bottom"/>
          </w:tcPr>
          <w:p>
            <w:pPr>
              <w:spacing w:after="0"/>
              <w:rPr>
                <w:sz w:val="13"/>
                <w:szCs w:val="13"/>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09"/>
        </w:trPr>
        <w:tc>
          <w:tcPr>
            <w:tcW w:w="41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restart"/>
          </w:tcPr>
          <w:p>
            <w:pPr>
              <w:jc w:val="center"/>
              <w:ind w:right="8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1"/>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28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Series A preferred stock</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Cumulative preferred dividends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preferred stock discount</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Establishment of redeemable noncontrolling interests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(85,865)</w:t>
            </w:r>
          </w:p>
        </w:tc>
        <w:tc>
          <w:tcPr>
            <w:tcW w:w="0" w:type="dxa"/>
            <w:vAlign w:val="bottom"/>
          </w:tcPr>
          <w:p>
            <w:pPr>
              <w:spacing w:after="0"/>
              <w:rPr>
                <w:sz w:val="1"/>
                <w:szCs w:val="1"/>
                <w:color w:val="auto"/>
              </w:rPr>
            </w:pPr>
          </w:p>
        </w:tc>
      </w:tr>
      <w:tr>
        <w:trPr>
          <w:trHeight w:val="195"/>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Subsequent remeasurement of redeemable noncontrolling interests</w:t>
            </w:r>
          </w:p>
        </w:tc>
        <w:tc>
          <w:tcPr>
            <w:tcW w:w="28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384,289</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2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(39,691)</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28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26,000</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258,733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tcPr>
          <w:p>
            <w:pPr>
              <w:spacing w:after="0"/>
              <w:rPr>
                <w:sz w:val="11"/>
                <w:szCs w:val="11"/>
                <w:color w:val="auto"/>
              </w:rPr>
            </w:pPr>
          </w:p>
        </w:tc>
        <w:tc>
          <w:tcPr>
            <w:tcW w:w="154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6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96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960" w:type="dxa"/>
            <w:vAlign w:val="bottom"/>
            <w:tcBorders>
              <w:bottom w:val="single" w:sz="8" w:color="auto"/>
            </w:tcBorders>
            <w:gridSpan w:val="3"/>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78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vMerge w:val="restart"/>
          </w:tcPr>
          <w:p>
            <w:pPr>
              <w:spacing w:after="0"/>
              <w:rPr>
                <w:sz w:val="7"/>
                <w:szCs w:val="7"/>
                <w:color w:val="auto"/>
              </w:rPr>
            </w:pPr>
          </w:p>
        </w:tc>
        <w:tc>
          <w:tcPr>
            <w:tcW w:w="80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vMerge w:val="restart"/>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7"/>
                <w:szCs w:val="7"/>
                <w:color w:val="auto"/>
              </w:rPr>
            </w:pPr>
          </w:p>
        </w:tc>
        <w:tc>
          <w:tcPr>
            <w:tcW w:w="8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6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 the</w:t>
            </w:r>
          </w:p>
        </w:tc>
        <w:tc>
          <w:tcPr>
            <w:tcW w:w="200" w:type="dxa"/>
            <w:vAlign w:val="bottom"/>
          </w:tcPr>
          <w:p>
            <w:pPr>
              <w:spacing w:after="0"/>
              <w:rPr>
                <w:sz w:val="7"/>
                <w:szCs w:val="7"/>
                <w:color w:val="auto"/>
              </w:rPr>
            </w:pPr>
          </w:p>
        </w:tc>
        <w:tc>
          <w:tcPr>
            <w:tcW w:w="680" w:type="dxa"/>
            <w:vAlign w:val="bottom"/>
            <w:vMerge w:val="restart"/>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NCI</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jc w:val="center"/>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2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56"/>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June 30, 2024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62,469,364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66,109,012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(12,825)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(217,057)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(229,869)</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(229,081)</w:t>
            </w:r>
          </w:p>
        </w:tc>
        <w:tc>
          <w:tcPr>
            <w:tcW w:w="0" w:type="dxa"/>
            <w:vAlign w:val="bottom"/>
          </w:tcPr>
          <w:p>
            <w:pPr>
              <w:spacing w:after="0"/>
              <w:rPr>
                <w:sz w:val="1"/>
                <w:szCs w:val="1"/>
                <w:color w:val="auto"/>
              </w:rPr>
            </w:pPr>
          </w:p>
        </w:tc>
      </w:tr>
      <w:tr>
        <w:trPr>
          <w:trHeight w:val="156"/>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1,285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1,285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1,285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Cumulative preferred dividends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56"/>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Accretion of preferred stock discount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200" w:type="dxa"/>
            <w:vAlign w:val="bottom"/>
            <w:shd w:val="clear" w:color="auto" w:fill="CCEEFF"/>
          </w:tcPr>
          <w:p>
            <w:pPr>
              <w:ind w:left="10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57,449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options exercised</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 vested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21,940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RSUs and PSUs</w:t>
            </w: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100"/>
              <w:spacing w:after="0" w:line="130" w:lineRule="exact"/>
              <w:rPr>
                <w:sz w:val="20"/>
                <w:szCs w:val="20"/>
                <w:color w:val="auto"/>
              </w:rPr>
            </w:pPr>
            <w:r>
              <w:rPr>
                <w:rFonts w:ascii="Times New Roman" w:cs="Times New Roman" w:eastAsia="Times New Roman" w:hAnsi="Times New Roman"/>
                <w:sz w:val="12"/>
                <w:szCs w:val="12"/>
                <w:color w:val="auto"/>
              </w:rPr>
              <w:t>Class A common stock issued for Class C</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5,863,874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(5,863,874)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canceled</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Distribution to noncontrolling interests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200" w:type="dxa"/>
            <w:vAlign w:val="bottom"/>
            <w:shd w:val="clear" w:color="auto" w:fill="CCEEFF"/>
          </w:tcPr>
          <w:p>
            <w:pPr>
              <w:ind w:left="100"/>
              <w:spacing w:after="0" w:line="127" w:lineRule="exact"/>
              <w:rPr>
                <w:sz w:val="20"/>
                <w:szCs w:val="20"/>
                <w:color w:val="auto"/>
              </w:rPr>
            </w:pPr>
            <w:r>
              <w:rPr>
                <w:rFonts w:ascii="Times New Roman" w:cs="Times New Roman" w:eastAsia="Times New Roman" w:hAnsi="Times New Roman"/>
                <w:sz w:val="12"/>
                <w:szCs w:val="12"/>
                <w:color w:val="auto"/>
                <w:w w:val="99"/>
              </w:rPr>
              <w:t>Issuance of Class A Common Stock related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12,939,029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80,451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80,452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80,452</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 the ATM Program (Note 7)</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Tax receivable agreement - obligation to</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partners</w:t>
            </w: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100"/>
              <w:spacing w:after="0" w:line="130" w:lineRule="exact"/>
              <w:rPr>
                <w:sz w:val="20"/>
                <w:szCs w:val="20"/>
                <w:color w:val="auto"/>
              </w:rPr>
            </w:pPr>
            <w:r>
              <w:rPr>
                <w:rFonts w:ascii="Times New Roman" w:cs="Times New Roman" w:eastAsia="Times New Roman" w:hAnsi="Times New Roman"/>
                <w:sz w:val="12"/>
                <w:szCs w:val="12"/>
                <w:color w:val="auto"/>
              </w:rPr>
              <w:t>Subsequent remeasurement of redeemable</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(80,951)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(211,541)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(292,492)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(292,492)</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w:t>
            </w: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Net income attributable to noncontrolling</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668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668</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w:t>
            </w: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income attributable to the Company</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(55,400)</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(55,400)</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September 30,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81,351,656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60,245,138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6</w:t>
            </w:r>
          </w:p>
        </w:tc>
        <w:tc>
          <w:tcPr>
            <w:tcW w:w="80" w:type="dxa"/>
            <w:vAlign w:val="bottom"/>
          </w:tcPr>
          <w:p>
            <w:pPr>
              <w:spacing w:after="0"/>
              <w:rPr>
                <w:sz w:val="15"/>
                <w:szCs w:val="15"/>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(12,825)</w:t>
            </w:r>
          </w:p>
        </w:tc>
        <w:tc>
          <w:tcPr>
            <w:tcW w:w="80" w:type="dxa"/>
            <w:vAlign w:val="bottom"/>
          </w:tcPr>
          <w:p>
            <w:pPr>
              <w:spacing w:after="0"/>
              <w:rPr>
                <w:sz w:val="15"/>
                <w:szCs w:val="15"/>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(483,998)</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(496,809)</w:t>
            </w:r>
          </w:p>
        </w:tc>
        <w:tc>
          <w:tcPr>
            <w:tcW w:w="80" w:type="dxa"/>
            <w:vAlign w:val="bottom"/>
          </w:tcPr>
          <w:p>
            <w:pPr>
              <w:spacing w:after="0"/>
              <w:rPr>
                <w:sz w:val="15"/>
                <w:szCs w:val="15"/>
                <w:color w:val="auto"/>
              </w:rPr>
            </w:pP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1,456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(495,353)</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tcPr>
          <w:p>
            <w:pPr>
              <w:spacing w:after="0"/>
              <w:rPr>
                <w:sz w:val="10"/>
                <w:szCs w:val="10"/>
                <w:color w:val="auto"/>
              </w:rPr>
            </w:pPr>
          </w:p>
        </w:tc>
        <w:tc>
          <w:tcPr>
            <w:tcW w:w="154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6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Shareholders’</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96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960" w:type="dxa"/>
            <w:vAlign w:val="bottom"/>
            <w:tcBorders>
              <w:bottom w:val="single" w:sz="8" w:color="auto"/>
            </w:tcBorders>
            <w:gridSpan w:val="3"/>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Borders>
              <w:bottom w:val="single" w:sz="8" w:color="auto"/>
            </w:tcBorders>
            <w:gridSpan w:val="3"/>
            <w:vMerge w:val="continue"/>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78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vMerge w:val="restart"/>
          </w:tcPr>
          <w:p>
            <w:pPr>
              <w:spacing w:after="0"/>
              <w:rPr>
                <w:sz w:val="7"/>
                <w:szCs w:val="7"/>
                <w:color w:val="auto"/>
              </w:rPr>
            </w:pPr>
          </w:p>
        </w:tc>
        <w:tc>
          <w:tcPr>
            <w:tcW w:w="80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vMerge w:val="restart"/>
          </w:tcPr>
          <w:p>
            <w:pPr>
              <w:spacing w:after="0"/>
              <w:rPr>
                <w:sz w:val="7"/>
                <w:szCs w:val="7"/>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Treasury Stock</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7"/>
                <w:szCs w:val="7"/>
                <w:color w:val="auto"/>
              </w:rPr>
            </w:pPr>
          </w:p>
        </w:tc>
        <w:tc>
          <w:tcPr>
            <w:tcW w:w="88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60" w:type="dxa"/>
            <w:vAlign w:val="bottom"/>
            <w:gridSpan w:val="3"/>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 the</w:t>
            </w:r>
          </w:p>
        </w:tc>
        <w:tc>
          <w:tcPr>
            <w:tcW w:w="200" w:type="dxa"/>
            <w:vAlign w:val="bottom"/>
          </w:tcPr>
          <w:p>
            <w:pPr>
              <w:spacing w:after="0"/>
              <w:rPr>
                <w:sz w:val="7"/>
                <w:szCs w:val="7"/>
                <w:color w:val="auto"/>
              </w:rPr>
            </w:pPr>
          </w:p>
        </w:tc>
        <w:tc>
          <w:tcPr>
            <w:tcW w:w="680" w:type="dxa"/>
            <w:vAlign w:val="bottom"/>
            <w:vMerge w:val="restart"/>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NCI</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jc w:val="center"/>
              <w:ind w:right="63"/>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22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December 31,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22,279,876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70,909,012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(248,619)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(261,435)</w:t>
            </w:r>
          </w:p>
        </w:tc>
        <w:tc>
          <w:tcPr>
            <w:tcW w:w="0" w:type="dxa"/>
            <w:vAlign w:val="bottom"/>
          </w:tcPr>
          <w:p>
            <w:pPr>
              <w:spacing w:after="0"/>
              <w:rPr>
                <w:sz w:val="1"/>
                <w:szCs w:val="1"/>
                <w:color w:val="auto"/>
              </w:rPr>
            </w:pPr>
          </w:p>
        </w:tc>
      </w:tr>
      <w:tr>
        <w:trPr>
          <w:trHeight w:val="165"/>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7,180</w:t>
            </w:r>
          </w:p>
        </w:tc>
        <w:tc>
          <w:tcPr>
            <w:tcW w:w="0" w:type="dxa"/>
            <w:vAlign w:val="bottom"/>
          </w:tcPr>
          <w:p>
            <w:pPr>
              <w:spacing w:after="0"/>
              <w:rPr>
                <w:sz w:val="1"/>
                <w:szCs w:val="1"/>
                <w:color w:val="auto"/>
              </w:rPr>
            </w:pPr>
          </w:p>
        </w:tc>
      </w:tr>
      <w:tr>
        <w:trPr>
          <w:trHeight w:val="166"/>
        </w:trPr>
        <w:tc>
          <w:tcPr>
            <w:tcW w:w="2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Cumulative preferred dividends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0" w:type="dxa"/>
            <w:vAlign w:val="bottom"/>
          </w:tcPr>
          <w:p>
            <w:pPr>
              <w:spacing w:after="0"/>
              <w:rPr>
                <w:sz w:val="1"/>
                <w:szCs w:val="1"/>
                <w:color w:val="auto"/>
              </w:rPr>
            </w:pPr>
          </w:p>
        </w:tc>
      </w:tr>
      <w:tr>
        <w:trPr>
          <w:trHeight w:val="155"/>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Accretion of preferred stock discount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200" w:type="dxa"/>
            <w:vAlign w:val="bottom"/>
            <w:shd w:val="clear" w:color="auto" w:fill="CCEEFF"/>
          </w:tcPr>
          <w:p>
            <w:pPr>
              <w:ind w:left="100"/>
              <w:spacing w:after="0" w:line="127" w:lineRule="exact"/>
              <w:rPr>
                <w:sz w:val="20"/>
                <w:szCs w:val="20"/>
                <w:color w:val="auto"/>
              </w:rPr>
            </w:pPr>
            <w:r>
              <w:rPr>
                <w:rFonts w:ascii="Times New Roman" w:cs="Times New Roman" w:eastAsia="Times New Roman" w:hAnsi="Times New Roman"/>
                <w:sz w:val="12"/>
                <w:szCs w:val="12"/>
                <w:color w:val="auto"/>
              </w:rPr>
              <w:t>Conversion of Series A preferred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7,738,743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23,120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23,120</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(Note 7)</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 warrants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19,123,633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127,579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127,581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127,581</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exercised</w:t>
            </w: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100"/>
              <w:spacing w:after="0" w:line="130" w:lineRule="exact"/>
              <w:rPr>
                <w:sz w:val="20"/>
                <w:szCs w:val="20"/>
                <w:color w:val="auto"/>
              </w:rPr>
            </w:pPr>
            <w:r>
              <w:rPr>
                <w:rFonts w:ascii="Times New Roman" w:cs="Times New Roman" w:eastAsia="Times New Roman" w:hAnsi="Times New Roman"/>
                <w:sz w:val="12"/>
                <w:szCs w:val="12"/>
                <w:color w:val="auto"/>
              </w:rPr>
              <w:t>Class A common stock issued related to</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3,487,278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loan conversion (Notes 5 and 7)</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227,820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163</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options exercised</w:t>
            </w: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100"/>
              <w:spacing w:after="0" w:line="130" w:lineRule="exact"/>
              <w:rPr>
                <w:sz w:val="20"/>
                <w:szCs w:val="20"/>
                <w:color w:val="auto"/>
              </w:rPr>
            </w:pPr>
            <w:r>
              <w:rPr>
                <w:rFonts w:ascii="Times New Roman" w:cs="Times New Roman" w:eastAsia="Times New Roman" w:hAnsi="Times New Roman"/>
                <w:sz w:val="12"/>
                <w:szCs w:val="12"/>
                <w:color w:val="auto"/>
              </w:rPr>
              <w:t>Class A common stock issued for vested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1,308,820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(2,153)</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RSUs and PSUs</w:t>
            </w: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 Class C</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10,663,874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(10,663,874)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canceled</w:t>
            </w: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Distribution to noncontrolling interests</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w w:val="99"/>
              </w:rPr>
              <w:t>Issuance of Class A Common Stock related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16,521,612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1"/>
                <w:szCs w:val="11"/>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97,495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97,497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97,497</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 the ATM Program (Note 7)</w:t>
            </w: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100"/>
              <w:spacing w:after="0" w:line="130" w:lineRule="exact"/>
              <w:rPr>
                <w:sz w:val="20"/>
                <w:szCs w:val="20"/>
                <w:color w:val="auto"/>
              </w:rPr>
            </w:pPr>
            <w:r>
              <w:rPr>
                <w:rFonts w:ascii="Times New Roman" w:cs="Times New Roman" w:eastAsia="Times New Roman" w:hAnsi="Times New Roman"/>
                <w:sz w:val="12"/>
                <w:szCs w:val="12"/>
                <w:color w:val="auto"/>
              </w:rPr>
              <w:t>Tax receivable agreement - obligation to</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partners</w:t>
            </w: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00" w:type="dxa"/>
            <w:vAlign w:val="bottom"/>
          </w:tcPr>
          <w:p>
            <w:pPr>
              <w:ind w:left="100"/>
              <w:spacing w:after="0" w:line="127" w:lineRule="exact"/>
              <w:rPr>
                <w:sz w:val="20"/>
                <w:szCs w:val="20"/>
                <w:color w:val="auto"/>
              </w:rPr>
            </w:pPr>
            <w:r>
              <w:rPr>
                <w:rFonts w:ascii="Times New Roman" w:cs="Times New Roman" w:eastAsia="Times New Roman" w:hAnsi="Times New Roman"/>
                <w:sz w:val="12"/>
                <w:szCs w:val="12"/>
                <w:color w:val="auto"/>
              </w:rPr>
              <w:t>Subsequent remeasurement of redeemable</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(252,148)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auto"/>
              </w:rPr>
              <w:t>(101,164)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(353,312)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(353,312)</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noncontrolling interests</w:t>
            </w: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100"/>
              <w:spacing w:after="0" w:line="130" w:lineRule="exact"/>
              <w:rPr>
                <w:sz w:val="20"/>
                <w:szCs w:val="20"/>
                <w:color w:val="auto"/>
              </w:rPr>
            </w:pPr>
            <w:r>
              <w:rPr>
                <w:rFonts w:ascii="Times New Roman" w:cs="Times New Roman" w:eastAsia="Times New Roman" w:hAnsi="Times New Roman"/>
                <w:sz w:val="12"/>
                <w:szCs w:val="12"/>
                <w:color w:val="auto"/>
              </w:rPr>
              <w:t>Net income attributable to noncontrolling</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2,429</w:t>
            </w:r>
          </w:p>
        </w:tc>
        <w:tc>
          <w:tcPr>
            <w:tcW w:w="0" w:type="dxa"/>
            <w:vAlign w:val="bottom"/>
          </w:tcPr>
          <w:p>
            <w:pPr>
              <w:spacing w:after="0"/>
              <w:rPr>
                <w:sz w:val="1"/>
                <w:szCs w:val="1"/>
                <w:color w:val="auto"/>
              </w:rPr>
            </w:pPr>
          </w:p>
        </w:tc>
      </w:tr>
      <w:tr>
        <w:trPr>
          <w:trHeight w:val="157"/>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interest</w:t>
            </w: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Net loss attributable to the Company</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(134,215)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(134,215)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(134,215)</w:t>
            </w:r>
          </w:p>
        </w:tc>
        <w:tc>
          <w:tcPr>
            <w:tcW w:w="0" w:type="dxa"/>
            <w:vAlign w:val="bottom"/>
          </w:tcPr>
          <w:p>
            <w:pPr>
              <w:spacing w:after="0"/>
              <w:rPr>
                <w:sz w:val="1"/>
                <w:szCs w:val="1"/>
                <w:color w:val="auto"/>
              </w:rPr>
            </w:pPr>
          </w:p>
        </w:tc>
      </w:tr>
      <w:tr>
        <w:trPr>
          <w:trHeight w:val="19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September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81,351,656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60,245,138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(483,998)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(496,809)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1,456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(495,353)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540" w:top="90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540" w:top="900" w:right="539" w:bottom="144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1180" w:type="dxa"/>
            <w:vAlign w:val="bottom"/>
            <w:gridSpan w:val="4"/>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Members Units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center"/>
              <w:ind w:left="182"/>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8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8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8"/>
        </w:trPr>
        <w:tc>
          <w:tcPr>
            <w:tcW w:w="1940" w:type="dxa"/>
            <w:vAlign w:val="bottom"/>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vMerge w:val="restart"/>
          </w:tcPr>
          <w:p>
            <w:pPr>
              <w:spacing w:after="0"/>
              <w:rPr>
                <w:sz w:val="7"/>
                <w:szCs w:val="7"/>
                <w:color w:val="auto"/>
              </w:rPr>
            </w:pPr>
          </w:p>
        </w:tc>
        <w:tc>
          <w:tcPr>
            <w:tcW w:w="76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5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7"/>
                <w:szCs w:val="7"/>
                <w:color w:val="auto"/>
              </w:rPr>
            </w:pPr>
          </w:p>
        </w:tc>
        <w:tc>
          <w:tcPr>
            <w:tcW w:w="68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vMerge w:val="restart"/>
          </w:tcPr>
          <w:p>
            <w:pPr>
              <w:spacing w:after="0"/>
              <w:rPr>
                <w:sz w:val="7"/>
                <w:szCs w:val="7"/>
                <w:color w:val="auto"/>
              </w:rPr>
            </w:pPr>
          </w:p>
        </w:tc>
        <w:tc>
          <w:tcPr>
            <w:tcW w:w="78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restart"/>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20" w:type="dxa"/>
            <w:vAlign w:val="bottom"/>
          </w:tcPr>
          <w:p>
            <w:pPr>
              <w:spacing w:after="0"/>
              <w:rPr>
                <w:sz w:val="7"/>
                <w:szCs w:val="7"/>
                <w:color w:val="auto"/>
              </w:rPr>
            </w:pPr>
          </w:p>
        </w:tc>
        <w:tc>
          <w:tcPr>
            <w:tcW w:w="66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7"/>
                <w:szCs w:val="7"/>
                <w:color w:val="auto"/>
              </w:rPr>
            </w:pPr>
          </w:p>
        </w:tc>
        <w:tc>
          <w:tcPr>
            <w:tcW w:w="8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7"/>
                <w:szCs w:val="7"/>
                <w:color w:val="auto"/>
              </w:rPr>
            </w:pPr>
          </w:p>
        </w:tc>
        <w:tc>
          <w:tcPr>
            <w:tcW w:w="800" w:type="dxa"/>
            <w:vAlign w:val="bottom"/>
          </w:tcPr>
          <w:p>
            <w:pPr>
              <w:jc w:val="center"/>
              <w:ind w:right="23"/>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56"/>
        </w:trPr>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June 30, 2023</w:t>
            </w: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17,301,489</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70,640,188</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w w:val="97"/>
              </w:rPr>
              <w:t>(12,825)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(661,205)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(674,021)</w:t>
            </w:r>
          </w:p>
        </w:tc>
        <w:tc>
          <w:tcPr>
            <w:tcW w:w="0" w:type="dxa"/>
            <w:vAlign w:val="bottom"/>
          </w:tcPr>
          <w:p>
            <w:pPr>
              <w:spacing w:after="0"/>
              <w:rPr>
                <w:sz w:val="1"/>
                <w:szCs w:val="1"/>
                <w:color w:val="auto"/>
              </w:rPr>
            </w:pPr>
          </w:p>
        </w:tc>
      </w:tr>
      <w:tr>
        <w:trPr>
          <w:trHeight w:val="156"/>
        </w:trPr>
        <w:tc>
          <w:tcPr>
            <w:tcW w:w="2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1,556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Member distributions</w:t>
            </w: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64,328</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268,824</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3,168</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(6,857)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(3,689)</w:t>
            </w:r>
          </w:p>
        </w:tc>
        <w:tc>
          <w:tcPr>
            <w:tcW w:w="0" w:type="dxa"/>
            <w:vAlign w:val="bottom"/>
          </w:tcPr>
          <w:p>
            <w:pPr>
              <w:spacing w:after="0"/>
              <w:rPr>
                <w:sz w:val="1"/>
                <w:szCs w:val="1"/>
                <w:color w:val="auto"/>
              </w:rPr>
            </w:pPr>
          </w:p>
        </w:tc>
      </w:tr>
      <w:tr>
        <w:trPr>
          <w:trHeight w:val="156"/>
        </w:trPr>
        <w:tc>
          <w:tcPr>
            <w:tcW w:w="2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Cumulative preferred dividends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 of preferred stock discount</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7"/>
        </w:trPr>
        <w:tc>
          <w:tcPr>
            <w:tcW w:w="25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A common stock issued related</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4,705,883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to Private Placement (Note 7)</w:t>
            </w:r>
          </w:p>
        </w:tc>
        <w:tc>
          <w:tcPr>
            <w:tcW w:w="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580" w:type="dxa"/>
            <w:vAlign w:val="bottom"/>
            <w:gridSpan w:val="2"/>
            <w:shd w:val="clear" w:color="auto" w:fill="CCEEFF"/>
          </w:tcPr>
          <w:p>
            <w:pPr>
              <w:ind w:left="80"/>
              <w:spacing w:after="0" w:line="130" w:lineRule="exact"/>
              <w:rPr>
                <w:sz w:val="20"/>
                <w:szCs w:val="20"/>
                <w:color w:val="auto"/>
              </w:rPr>
            </w:pPr>
            <w:r>
              <w:rPr>
                <w:rFonts w:ascii="Times New Roman" w:cs="Times New Roman" w:eastAsia="Times New Roman" w:hAnsi="Times New Roman"/>
                <w:sz w:val="12"/>
                <w:szCs w:val="12"/>
                <w:color w:val="auto"/>
              </w:rPr>
              <w:t>Class A common stock issued for</w:t>
            </w:r>
          </w:p>
        </w:tc>
        <w:tc>
          <w:tcPr>
            <w:tcW w:w="3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155,722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0" w:type="dxa"/>
            <w:vAlign w:val="bottom"/>
          </w:tcPr>
          <w:p>
            <w:pPr>
              <w:spacing w:after="0"/>
              <w:rPr>
                <w:sz w:val="1"/>
                <w:szCs w:val="1"/>
                <w:color w:val="auto"/>
              </w:rPr>
            </w:pPr>
          </w:p>
        </w:tc>
      </w:tr>
      <w:tr>
        <w:trPr>
          <w:trHeight w:val="157"/>
        </w:trPr>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 options exercised</w:t>
            </w:r>
          </w:p>
        </w:tc>
        <w:tc>
          <w:tcPr>
            <w:tcW w:w="30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5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Class B canceled</w:t>
            </w:r>
          </w:p>
        </w:tc>
        <w:tc>
          <w:tcPr>
            <w:tcW w:w="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Partner capital</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127"/>
        </w:trPr>
        <w:tc>
          <w:tcPr>
            <w:tcW w:w="25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Subsequent remeasurement of</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304,828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300,905</w:t>
            </w:r>
          </w:p>
        </w:tc>
        <w:tc>
          <w:tcPr>
            <w:tcW w:w="0" w:type="dxa"/>
            <w:vAlign w:val="bottom"/>
          </w:tcPr>
          <w:p>
            <w:pPr>
              <w:spacing w:after="0"/>
              <w:rPr>
                <w:sz w:val="1"/>
                <w:szCs w:val="1"/>
                <w:color w:val="auto"/>
              </w:rPr>
            </w:pPr>
          </w:p>
        </w:tc>
      </w:tr>
      <w:tr>
        <w:trPr>
          <w:trHeight w:val="153"/>
        </w:trPr>
        <w:tc>
          <w:tcPr>
            <w:tcW w:w="25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Other</w:t>
            </w:r>
          </w:p>
        </w:tc>
        <w:tc>
          <w:tcPr>
            <w:tcW w:w="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27"/>
        </w:trPr>
        <w:tc>
          <w:tcPr>
            <w:tcW w:w="2580" w:type="dxa"/>
            <w:vAlign w:val="bottom"/>
            <w:gridSpan w:val="2"/>
          </w:tcPr>
          <w:p>
            <w:pPr>
              <w:ind w:left="80"/>
              <w:spacing w:after="0" w:line="127" w:lineRule="exact"/>
              <w:rPr>
                <w:sz w:val="20"/>
                <w:szCs w:val="20"/>
                <w:color w:val="auto"/>
              </w:rPr>
            </w:pPr>
            <w:r>
              <w:rPr>
                <w:rFonts w:ascii="Times New Roman" w:cs="Times New Roman" w:eastAsia="Times New Roman" w:hAnsi="Times New Roman"/>
                <w:sz w:val="12"/>
                <w:szCs w:val="12"/>
                <w:color w:val="auto"/>
              </w:rPr>
              <w:t>Net income attributable to the</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33,303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33,303</w:t>
            </w:r>
          </w:p>
        </w:tc>
        <w:tc>
          <w:tcPr>
            <w:tcW w:w="0" w:type="dxa"/>
            <w:vAlign w:val="bottom"/>
          </w:tcPr>
          <w:p>
            <w:pPr>
              <w:spacing w:after="0"/>
              <w:rPr>
                <w:sz w:val="1"/>
                <w:szCs w:val="1"/>
                <w:color w:val="auto"/>
              </w:rPr>
            </w:pPr>
          </w:p>
        </w:tc>
      </w:tr>
      <w:tr>
        <w:trPr>
          <w:trHeight w:val="153"/>
        </w:trPr>
        <w:tc>
          <w:tcPr>
            <w:tcW w:w="1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Company</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September 30, 2023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22,237,988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70,909,012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w w:val="97"/>
              </w:rPr>
              <w:t>(12,825)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(329,932)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(342,748)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1180" w:type="dxa"/>
            <w:vAlign w:val="bottom"/>
            <w:gridSpan w:val="3"/>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Members Units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4"/>
          </w:tcPr>
          <w:p>
            <w:pPr>
              <w:jc w:val="center"/>
              <w:ind w:left="182"/>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8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gridSpan w:val="3"/>
          </w:tcPr>
          <w:p>
            <w:pPr>
              <w:jc w:val="center"/>
              <w:ind w:left="422"/>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Class C</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88"/>
        </w:trPr>
        <w:tc>
          <w:tcPr>
            <w:tcW w:w="1940" w:type="dxa"/>
            <w:vAlign w:val="bottom"/>
          </w:tcPr>
          <w:p>
            <w:pPr>
              <w:spacing w:after="0"/>
              <w:rPr>
                <w:sz w:val="7"/>
                <w:szCs w:val="7"/>
                <w:color w:val="auto"/>
              </w:rPr>
            </w:pPr>
          </w:p>
        </w:tc>
        <w:tc>
          <w:tcPr>
            <w:tcW w:w="86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vMerge w:val="restart"/>
          </w:tcPr>
          <w:p>
            <w:pPr>
              <w:spacing w:after="0"/>
              <w:rPr>
                <w:sz w:val="7"/>
                <w:szCs w:val="7"/>
                <w:color w:val="auto"/>
              </w:rPr>
            </w:pPr>
          </w:p>
        </w:tc>
        <w:tc>
          <w:tcPr>
            <w:tcW w:w="5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vMerge w:val="restart"/>
          </w:tcPr>
          <w:p>
            <w:pPr>
              <w:spacing w:after="0"/>
              <w:rPr>
                <w:sz w:val="7"/>
                <w:szCs w:val="7"/>
                <w:color w:val="auto"/>
              </w:rPr>
            </w:pPr>
          </w:p>
        </w:tc>
        <w:tc>
          <w:tcPr>
            <w:tcW w:w="76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5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vMerge w:val="restart"/>
          </w:tcPr>
          <w:p>
            <w:pPr>
              <w:spacing w:after="0"/>
              <w:rPr>
                <w:sz w:val="7"/>
                <w:szCs w:val="7"/>
                <w:color w:val="auto"/>
              </w:rPr>
            </w:pPr>
          </w:p>
        </w:tc>
        <w:tc>
          <w:tcPr>
            <w:tcW w:w="68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vMerge w:val="restart"/>
          </w:tcPr>
          <w:p>
            <w:pPr>
              <w:spacing w:after="0"/>
              <w:rPr>
                <w:sz w:val="7"/>
                <w:szCs w:val="7"/>
                <w:color w:val="auto"/>
              </w:rPr>
            </w:pPr>
          </w:p>
        </w:tc>
        <w:tc>
          <w:tcPr>
            <w:tcW w:w="780" w:type="dxa"/>
            <w:vAlign w:val="bottom"/>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vMerge w:val="restart"/>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20" w:type="dxa"/>
            <w:vAlign w:val="bottom"/>
          </w:tcPr>
          <w:p>
            <w:pPr>
              <w:spacing w:after="0"/>
              <w:rPr>
                <w:sz w:val="7"/>
                <w:szCs w:val="7"/>
                <w:color w:val="auto"/>
              </w:rPr>
            </w:pPr>
          </w:p>
        </w:tc>
        <w:tc>
          <w:tcPr>
            <w:tcW w:w="66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7"/>
                <w:szCs w:val="7"/>
                <w:color w:val="auto"/>
              </w:rPr>
            </w:pPr>
          </w:p>
        </w:tc>
        <w:tc>
          <w:tcPr>
            <w:tcW w:w="8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7"/>
                <w:szCs w:val="7"/>
                <w:color w:val="auto"/>
              </w:rPr>
            </w:pPr>
          </w:p>
        </w:tc>
        <w:tc>
          <w:tcPr>
            <w:tcW w:w="800" w:type="dxa"/>
            <w:vAlign w:val="bottom"/>
          </w:tcPr>
          <w:p>
            <w:pPr>
              <w:jc w:val="center"/>
              <w:ind w:right="22"/>
              <w:spacing w:after="0" w:line="88"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56"/>
        </w:trPr>
        <w:tc>
          <w:tcPr>
            <w:tcW w:w="19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December 31,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122,505,500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14,967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(65,859)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(50,891)</w:t>
            </w:r>
          </w:p>
        </w:tc>
        <w:tc>
          <w:tcPr>
            <w:tcW w:w="0" w:type="dxa"/>
            <w:vAlign w:val="bottom"/>
          </w:tcPr>
          <w:p>
            <w:pPr>
              <w:spacing w:after="0"/>
              <w:rPr>
                <w:sz w:val="1"/>
                <w:szCs w:val="1"/>
                <w:color w:val="auto"/>
              </w:rPr>
            </w:pPr>
          </w:p>
        </w:tc>
      </w:tr>
      <w:tr>
        <w:trPr>
          <w:trHeight w:val="156"/>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Issuance of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155"/>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Effects of Business Combination</w:t>
            </w: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Recapitalization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(122,527,000)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13,736,932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68,140,188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47,438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47,445</w:t>
            </w:r>
          </w:p>
        </w:tc>
        <w:tc>
          <w:tcPr>
            <w:tcW w:w="0" w:type="dxa"/>
            <w:vAlign w:val="bottom"/>
          </w:tcPr>
          <w:p>
            <w:pPr>
              <w:spacing w:after="0"/>
              <w:rPr>
                <w:sz w:val="1"/>
                <w:szCs w:val="1"/>
                <w:color w:val="auto"/>
              </w:rPr>
            </w:pPr>
          </w:p>
        </w:tc>
      </w:tr>
      <w:tr>
        <w:trPr>
          <w:trHeight w:val="165"/>
        </w:trPr>
        <w:tc>
          <w:tcPr>
            <w:tcW w:w="1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Conversion of SAFE Agreements</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2,066,666</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20,667</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20,667</w:t>
            </w:r>
          </w:p>
        </w:tc>
        <w:tc>
          <w:tcPr>
            <w:tcW w:w="0" w:type="dxa"/>
            <w:vAlign w:val="bottom"/>
          </w:tcPr>
          <w:p>
            <w:pPr>
              <w:spacing w:after="0"/>
              <w:rPr>
                <w:sz w:val="1"/>
                <w:szCs w:val="1"/>
                <w:color w:val="auto"/>
              </w:rPr>
            </w:pPr>
          </w:p>
        </w:tc>
      </w:tr>
      <w:tr>
        <w:trPr>
          <w:trHeight w:val="127"/>
        </w:trPr>
        <w:tc>
          <w:tcPr>
            <w:tcW w:w="194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Issuance of warrants to preferred</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173</w:t>
            </w:r>
          </w:p>
        </w:tc>
        <w:tc>
          <w:tcPr>
            <w:tcW w:w="0" w:type="dxa"/>
            <w:vAlign w:val="bottom"/>
          </w:tcPr>
          <w:p>
            <w:pPr>
              <w:spacing w:after="0"/>
              <w:rPr>
                <w:sz w:val="1"/>
                <w:szCs w:val="1"/>
                <w:color w:val="auto"/>
              </w:rPr>
            </w:pPr>
          </w:p>
        </w:tc>
      </w:tr>
      <w:tr>
        <w:trPr>
          <w:trHeight w:val="15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shareholders</w:t>
            </w: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Transaction costs</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(24,445)</w:t>
            </w:r>
          </w:p>
        </w:tc>
        <w:tc>
          <w:tcPr>
            <w:tcW w:w="0" w:type="dxa"/>
            <w:vAlign w:val="bottom"/>
          </w:tcPr>
          <w:p>
            <w:pPr>
              <w:spacing w:after="0"/>
              <w:rPr>
                <w:sz w:val="1"/>
                <w:szCs w:val="1"/>
                <w:color w:val="auto"/>
              </w:rPr>
            </w:pPr>
          </w:p>
        </w:tc>
      </w:tr>
      <w:tr>
        <w:trPr>
          <w:trHeight w:val="127"/>
        </w:trPr>
        <w:tc>
          <w:tcPr>
            <w:tcW w:w="194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Establishment of the earn-out</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(99,659)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(99,659)</w:t>
            </w:r>
          </w:p>
        </w:tc>
        <w:tc>
          <w:tcPr>
            <w:tcW w:w="0" w:type="dxa"/>
            <w:vAlign w:val="bottom"/>
          </w:tcPr>
          <w:p>
            <w:pPr>
              <w:spacing w:after="0"/>
              <w:rPr>
                <w:sz w:val="1"/>
                <w:szCs w:val="1"/>
                <w:color w:val="auto"/>
              </w:rPr>
            </w:pPr>
          </w:p>
        </w:tc>
      </w:tr>
      <w:tr>
        <w:trPr>
          <w:trHeight w:val="15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liabilities</w:t>
            </w: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ind w:left="80"/>
              <w:spacing w:after="0" w:line="130" w:lineRule="exact"/>
              <w:rPr>
                <w:sz w:val="20"/>
                <w:szCs w:val="20"/>
                <w:color w:val="auto"/>
              </w:rPr>
            </w:pPr>
            <w:r>
              <w:rPr>
                <w:rFonts w:ascii="Times New Roman" w:cs="Times New Roman" w:eastAsia="Times New Roman" w:hAnsi="Times New Roman"/>
                <w:sz w:val="12"/>
                <w:szCs w:val="12"/>
                <w:color w:val="auto"/>
              </w:rPr>
              <w:t>Establishment of redeemable</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85,865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85,865</w:t>
            </w: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noncontrolling interest</w:t>
            </w:r>
          </w:p>
        </w:tc>
        <w:tc>
          <w:tcPr>
            <w:tcW w:w="9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40" w:type="dxa"/>
            <w:vAlign w:val="bottom"/>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Activities subsequent to the Business</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Combination</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2,647</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2,647</w:t>
            </w:r>
          </w:p>
        </w:tc>
        <w:tc>
          <w:tcPr>
            <w:tcW w:w="0" w:type="dxa"/>
            <w:vAlign w:val="bottom"/>
          </w:tcPr>
          <w:p>
            <w:pPr>
              <w:spacing w:after="0"/>
              <w:rPr>
                <w:sz w:val="1"/>
                <w:szCs w:val="1"/>
                <w:color w:val="auto"/>
              </w:rPr>
            </w:pPr>
          </w:p>
        </w:tc>
      </w:tr>
      <w:tr>
        <w:trPr>
          <w:trHeight w:val="155"/>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Member distributions</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64,328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268,824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Cumulative preferred dividends</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w:t>
            </w:r>
          </w:p>
        </w:tc>
        <w:tc>
          <w:tcPr>
            <w:tcW w:w="0" w:type="dxa"/>
            <w:vAlign w:val="bottom"/>
          </w:tcPr>
          <w:p>
            <w:pPr>
              <w:spacing w:after="0"/>
              <w:rPr>
                <w:sz w:val="1"/>
                <w:szCs w:val="1"/>
                <w:color w:val="auto"/>
              </w:rPr>
            </w:pPr>
          </w:p>
        </w:tc>
      </w:tr>
      <w:tr>
        <w:trPr>
          <w:trHeight w:val="166"/>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Accretion of preferred stock discount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(12,825)</w:t>
            </w:r>
          </w:p>
        </w:tc>
        <w:tc>
          <w:tcPr>
            <w:tcW w:w="0" w:type="dxa"/>
            <w:vAlign w:val="bottom"/>
          </w:tcPr>
          <w:p>
            <w:pPr>
              <w:spacing w:after="0"/>
              <w:rPr>
                <w:sz w:val="1"/>
                <w:szCs w:val="1"/>
                <w:color w:val="auto"/>
              </w:rPr>
            </w:pPr>
          </w:p>
        </w:tc>
      </w:tr>
      <w:tr>
        <w:trPr>
          <w:trHeight w:val="127"/>
        </w:trPr>
        <w:tc>
          <w:tcPr>
            <w:tcW w:w="194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1,402,106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16,124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16,124</w:t>
            </w:r>
          </w:p>
        </w:tc>
        <w:tc>
          <w:tcPr>
            <w:tcW w:w="0" w:type="dxa"/>
            <w:vAlign w:val="bottom"/>
          </w:tcPr>
          <w:p>
            <w:pPr>
              <w:spacing w:after="0"/>
              <w:rPr>
                <w:sz w:val="1"/>
                <w:szCs w:val="1"/>
                <w:color w:val="auto"/>
              </w:rPr>
            </w:pPr>
          </w:p>
        </w:tc>
      </w:tr>
      <w:tr>
        <w:trPr>
          <w:trHeight w:val="15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warrants exercised</w:t>
            </w: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ind w:left="80"/>
              <w:spacing w:after="0" w:line="130" w:lineRule="exact"/>
              <w:rPr>
                <w:sz w:val="20"/>
                <w:szCs w:val="20"/>
                <w:color w:val="auto"/>
              </w:rPr>
            </w:pPr>
            <w:r>
              <w:rPr>
                <w:rFonts w:ascii="Times New Roman" w:cs="Times New Roman" w:eastAsia="Times New Roman" w:hAnsi="Times New Roman"/>
                <w:sz w:val="12"/>
                <w:szCs w:val="12"/>
                <w:color w:val="auto"/>
              </w:rPr>
              <w:t>Class A common stock issued related</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4,705,883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 Private Placement (Note 7)</w:t>
            </w:r>
          </w:p>
        </w:tc>
        <w:tc>
          <w:tcPr>
            <w:tcW w:w="9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94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Class A common stock issued for</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155,722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0" w:type="dxa"/>
            <w:vAlign w:val="bottom"/>
          </w:tcPr>
          <w:p>
            <w:pPr>
              <w:spacing w:after="0"/>
              <w:rPr>
                <w:sz w:val="1"/>
                <w:szCs w:val="1"/>
                <w:color w:val="auto"/>
              </w:rPr>
            </w:pPr>
          </w:p>
        </w:tc>
      </w:tr>
      <w:tr>
        <w:trPr>
          <w:trHeight w:val="15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 options exercised</w:t>
            </w: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ind w:left="80"/>
              <w:spacing w:after="0" w:line="130" w:lineRule="exact"/>
              <w:rPr>
                <w:sz w:val="20"/>
                <w:szCs w:val="20"/>
                <w:color w:val="auto"/>
              </w:rPr>
            </w:pPr>
            <w:r>
              <w:rPr>
                <w:rFonts w:ascii="Times New Roman" w:cs="Times New Roman" w:eastAsia="Times New Roman" w:hAnsi="Times New Roman"/>
                <w:sz w:val="12"/>
                <w:szCs w:val="12"/>
                <w:color w:val="auto"/>
              </w:rPr>
              <w:t>Class A common stock issued for</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Class B canceled</w:t>
            </w:r>
          </w:p>
        </w:tc>
        <w:tc>
          <w:tcPr>
            <w:tcW w:w="9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Partner capital</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Recapitalization adjustment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27"/>
        </w:trPr>
        <w:tc>
          <w:tcPr>
            <w:tcW w:w="194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Issuance of Class A Common Stock</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95,785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834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834</w:t>
            </w:r>
          </w:p>
        </w:tc>
        <w:tc>
          <w:tcPr>
            <w:tcW w:w="0" w:type="dxa"/>
            <w:vAlign w:val="bottom"/>
          </w:tcPr>
          <w:p>
            <w:pPr>
              <w:spacing w:after="0"/>
              <w:rPr>
                <w:sz w:val="1"/>
                <w:szCs w:val="1"/>
                <w:color w:val="auto"/>
              </w:rPr>
            </w:pPr>
          </w:p>
        </w:tc>
      </w:tr>
      <w:tr>
        <w:trPr>
          <w:trHeight w:val="153"/>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related to Equity Facility</w:t>
            </w:r>
          </w:p>
        </w:tc>
        <w:tc>
          <w:tcPr>
            <w:tcW w:w="9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ind w:left="80"/>
              <w:spacing w:after="0" w:line="130" w:lineRule="exact"/>
              <w:rPr>
                <w:sz w:val="20"/>
                <w:szCs w:val="20"/>
                <w:color w:val="auto"/>
              </w:rPr>
            </w:pPr>
            <w:r>
              <w:rPr>
                <w:rFonts w:ascii="Times New Roman" w:cs="Times New Roman" w:eastAsia="Times New Roman" w:hAnsi="Times New Roman"/>
                <w:sz w:val="12"/>
                <w:szCs w:val="12"/>
                <w:color w:val="auto"/>
              </w:rPr>
              <w:t>Issuance of Class C common stock</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19,375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19,376</w:t>
            </w: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related to earn-out awards</w:t>
            </w:r>
          </w:p>
        </w:tc>
        <w:tc>
          <w:tcPr>
            <w:tcW w:w="9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40" w:type="dxa"/>
            <w:vAlign w:val="bottom"/>
            <w:shd w:val="clear" w:color="auto" w:fill="CCEEFF"/>
          </w:tcPr>
          <w:p>
            <w:pPr>
              <w:ind w:left="80"/>
              <w:spacing w:after="0" w:line="127" w:lineRule="exact"/>
              <w:rPr>
                <w:sz w:val="20"/>
                <w:szCs w:val="20"/>
                <w:color w:val="auto"/>
              </w:rPr>
            </w:pPr>
            <w:r>
              <w:rPr>
                <w:rFonts w:ascii="Times New Roman" w:cs="Times New Roman" w:eastAsia="Times New Roman" w:hAnsi="Times New Roman"/>
                <w:sz w:val="12"/>
                <w:szCs w:val="12"/>
                <w:color w:val="auto"/>
              </w:rPr>
              <w:t>Subsequent remeasurement of</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(84,480)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(299,809)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(384,289)</w:t>
            </w: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redeemable noncontrolling interests</w:t>
            </w:r>
          </w:p>
        </w:tc>
        <w:tc>
          <w:tcPr>
            <w:tcW w:w="9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860" w:type="dxa"/>
            <w:vAlign w:val="bottom"/>
            <w:gridSpan w:val="3"/>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940" w:type="dxa"/>
            <w:vAlign w:val="bottom"/>
          </w:tcPr>
          <w:p>
            <w:pPr>
              <w:ind w:left="80"/>
              <w:spacing w:after="0" w:line="127" w:lineRule="exact"/>
              <w:rPr>
                <w:sz w:val="20"/>
                <w:szCs w:val="20"/>
                <w:color w:val="auto"/>
              </w:rPr>
            </w:pPr>
            <w:r>
              <w:rPr>
                <w:rFonts w:ascii="Times New Roman" w:cs="Times New Roman" w:eastAsia="Times New Roman" w:hAnsi="Times New Roman"/>
                <w:sz w:val="12"/>
                <w:szCs w:val="12"/>
                <w:color w:val="auto"/>
              </w:rPr>
              <w:t>Net income attributable to the</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53,335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53,335</w:t>
            </w:r>
          </w:p>
        </w:tc>
        <w:tc>
          <w:tcPr>
            <w:tcW w:w="0" w:type="dxa"/>
            <w:vAlign w:val="bottom"/>
          </w:tcPr>
          <w:p>
            <w:pPr>
              <w:spacing w:after="0"/>
              <w:rPr>
                <w:sz w:val="1"/>
                <w:szCs w:val="1"/>
                <w:color w:val="auto"/>
              </w:rPr>
            </w:pPr>
          </w:p>
        </w:tc>
      </w:tr>
      <w:tr>
        <w:trPr>
          <w:trHeight w:val="153"/>
        </w:trPr>
        <w:tc>
          <w:tcPr>
            <w:tcW w:w="1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Company</w:t>
            </w: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September 30, 2023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22,237,988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70,909,012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(329,932)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(342,748)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722"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INTUITIVE MACHINES,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(181,787)</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Bad debt expense (recovery)</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Impairment of property and equipment (see Note 4)</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SAFE Agreements</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(61,066)</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(10,259)</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Loss on issuance of securities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6,729</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Contract assets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 net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6,995</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 affiliated companies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r>
      <w:tr>
        <w:trPr>
          <w:trHeight w:val="18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Contract liabilities – current and long-term</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(6,285)</w:t>
            </w:r>
          </w:p>
        </w:tc>
      </w:tr>
      <w:tr>
        <w:trPr>
          <w:trHeight w:val="192"/>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liabilities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23,260</w:t>
            </w:r>
          </w:p>
        </w:tc>
      </w:tr>
      <w:tr>
        <w:trPr>
          <w:trHeight w:val="18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(22,933)</w:t>
            </w: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(27,668)</w:t>
            </w:r>
          </w:p>
        </w:tc>
      </w:tr>
      <w:tr>
        <w:trPr>
          <w:trHeight w:val="185"/>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(27,668)</w:t>
            </w:r>
          </w:p>
        </w:tc>
      </w:tr>
      <w:tr>
        <w:trPr>
          <w:trHeight w:val="16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Business Combination</w:t>
            </w:r>
          </w:p>
        </w:tc>
        <w:tc>
          <w:tcPr>
            <w:tcW w:w="9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Series A Preferred Stock</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(9,371)</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loans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securities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Member distributions</w:t>
            </w:r>
          </w:p>
        </w:tc>
        <w:tc>
          <w:tcPr>
            <w:tcW w:w="9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(7,952)</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withholding taxes from share-based awards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purchase agreement termination</w:t>
            </w:r>
          </w:p>
        </w:tc>
        <w:tc>
          <w:tcPr>
            <w:tcW w:w="9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12,730</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 exercised</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16,124</w:t>
            </w:r>
          </w:p>
        </w:tc>
      </w:tr>
      <w:tr>
        <w:trPr>
          <w:trHeight w:val="18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Contributions from (distributions to) noncontrolling interests</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5"/>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65,489</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14,888</w:t>
            </w:r>
          </w:p>
        </w:tc>
      </w:tr>
      <w:tr>
        <w:trPr>
          <w:trHeight w:val="19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25,826</w:t>
            </w:r>
          </w:p>
        </w:tc>
      </w:tr>
      <w:tr>
        <w:trPr>
          <w:trHeight w:val="18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the period</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40,714</w:t>
            </w: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restricted cash</w:t>
            </w: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the period</w:t>
            </w:r>
          </w:p>
        </w:tc>
        <w:tc>
          <w:tcPr>
            <w:tcW w:w="9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89,605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40,652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interest, net</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taxes</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operating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liabilities</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costs</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SAFE Agreements</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20,667</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 Common Stock related to Equity Facility (Note 7)</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Series A preferred stock (Note 7)</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23,120</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dividends</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r>
    </w:tbl>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826" w:right="3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1" w:name="page12"/>
    <w:bookmarkEnd w:id="11"/>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DESCRIPTION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Intuitive Machines, Inc. (formerly known as Inflection Point Acquisition Corp. or “IPAX”), collectively with its subsidiaries (the “Company,” “IM,” “Intuitive Machines,” “we,” “us” or “our”) designs, manufactures and operates space products and services. Intuitive Machines’ near-term focus is to create and operate space systems and space infrastructure on and in the vicinity of the Moon that enable scientific and human exploration and utilization of lunar resources to support sustainable human presence on the Moon and exploration to Mars and beyond. Intuitive Machines offers its customers the flexibility needed to pioneer a thriving and diverse lunar economy designed to enable a permanent presence in lunar orbit and on the lunar surface. IM is currently headquartered in Houston, Texas.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(“Nasdaq”).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IPAX Business Combination</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16, 2022, IPAX entered into a certain Business Combination Agreement (the “Business Combination Agreement”) by and between IPAX and Intuitive Machines, LLC, a Delaware limited liability company (formerly, a Texas limited liability company). On February 10,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connection with the Transactions, the Company was reorganized into an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condensed consolidated financial statements of the Company represent a continuation of the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the Business Combination, approximately $34.1 million of cash held in trust, net of redemptions by IPAX’s public shareholders, became available for use by the Company as well as proceeds received from the contemporaneous sale of preferred stock in connection with the closing of a PIPE investment. In addition, the Company entered into a common stock purchase agreement, dated September 16, 2022 (the “Cantor Purchase Agreement”) relating to an equity facility under which shares of newly issued Intuitive Machines Class A common stock, par value $0.0001 per share (the “Class A Common Stock”) may be sold to CF Principal Investments LLC (“CFPI”), at the Company’s discretion, up to the lesser of (i.) $50.0 million and (ii) the “exchange cap” specified therein, subject to certain customary conditions and limitations set for in the Cantor Purchase Agreement. Beginning on February 14, 2023, the Company’s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Class A Common Stock and warrants to purchase the Class A Common Stock at an exercise price of $11.50 per share (the “Public Warrants”) began trading on Nasdaq under the symbols “LUNR” and “LUNRW,”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and related notes have been prepared in accordance with United States generally accepted accounting principles (“GAAP”) for interim reporting and pursuant to the rules and regulations of the SEC. Certain information and footnote disclosures normally included in annual financial statements prepared in accordance with GAAP have been condensed or omitted pursuant to such rules and regulations relating to interim financial statements. Our condensed consolidated financial statements include the accounts of Intuitive Machines, the accounts of Intuitive Aviation Inc. (“IA” or “Intuitive Aviation”), a wholly owned subsidiary, Space Network Solutions, LLC (“SNS” or “Space Network Solutions”) a majority-owned subsidiary, and IX, LLC, a variable interest entity (“VIE”) for which we are the primary beneficiary. All intercompany balances and transactions have been eliminated in consolidation.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Company’s audited consolidated financial statements as of and for the years ended December 31, 2023 and 2022 contained in our Annual Report on Form 10-K, filed with the SEC on March 25, 2024. Operating results for the three and nine months ended September 30, 2024 are not necessarily indicative of the results that may be expected for the year ending December 31, 2024. Management’s opinion is that all adjustments for a fair statement of the results for the interim periods have been made, and all adjustments are of a normal recurring nature or a description of the nature and amount of any adjustments other than normal recurring adjustments have been appropriately disclosed.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did not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GAAP requires us to make estimates and assumptions that affect the amounts reported in the condensed consolidated financial statements and the accompanying notes. Due to the inherent uncertainty involved in making estimates, actual results could differ from those estimates.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All of the Company’s assets are maintained in the United States.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customers are defined as those individually comprising more than 10% of the Company’s total revenue. There was one major customer that accounted for 90% and 91%, respectively, of the Company’s total revenue for the three and nine months ended September 30, 2024, and accounted for 52% and 65%, respectively, of the Company’s total revenue for the three and nine months ended September 30, 2023. The largest customer’s accounts receivable balance was 91% and 80% as of September 30, 2024 and December 31, 2023, respectively.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suppliers are defined as those individually comprising more than 10% of the annual goods or services purchased. For the nine months ended September 30, 2024 and 2023, there was one major supplier that accounted for 14% and 23%, respectively, of the goods and services purchased, and no major supplier for the three months ended September 30, 2024 and 2023. As of September 30, 2024, there was one major supplier that accounted for 10% of the accounts payable balance and no major supplier as of December 31, 2023 with an accounts payable balance representing more than 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For the three and nine months ended September 30, 2024, we recorded impairment charges of approximately $5.0 million within our condensed consolidated statements of operations associated with construction in progress of certain assets under development by a third party subcontractor that were not in compliance according to the specifications under contract. No impairment charges were recorded for the three and nine months ended September 30, 2023. See Note 4 for further discussion of our impairment loss on property and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the Company commenced two new lease agreements. In September 2024, the Company entered into a building and land lease agreement in Maryland. This facility is intended to provide space for the designing, building, and testing of space-flight mechanisms and electro-mechanical systems for use in space or on the lunar surface. The lease agreement has an initial term of 10 years, 3 months. As of September 30, 2024, the Company recorded right-of-use assets of $3.1 million and operating lease liabilities of $3.1 million. Also, in August 2024, we entered into a facility lease agreement in Arizona to support operations and data analysis of NASA’s Lunar Reconnaissance Orbiter and ShadowCam cameras and imagery. The lease agreement has an initial term of 52 months. As of September 30, 2024, the Company recorded non-cash right-of-use assets of $1.2 million and non-cash operating lease liabilities of $1.2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September 30, 2024 and for the three and nine months ended September 30, 2024 and 2023, and related notes were prepared on the basis of a going concern, which contemplates that the Company will be able to realize assets and discharge liabilities in the normal course of business.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the Company had cash and cash equivalents of $89.6 million and working capital of $73.0 million. The Company has historically funded its operations through internally generated cash on hand, proceeds from sales of its capital stock including the execution of SAFE Agreements, our At The Market Offering program (the “ATM” Program) with Cantor (as described below), proceeds from warrant exercises, and proceeds from the issuance of bank debt. For the nine months ended September 30, 2024, the Company received approximately $161.4 million in gross proceeds from warrant exercises, sales of stock under our ATM program and other equity transactions, as further described in Notes 7 and 8.</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as discussed in Notes 1 and 7, the Company entered into the Cantor Purchase Agreement, pursuant to which the Company may direct CFPI, at the Company’s discretion, to purchase up to the lesser of (i) $50.0 million of newly issued shares of Class A Common Stock and (ii) the “exchange cap” specified therein, subject to certain customary conditions and limitations set forth in the agreement. The Cantor Purchase Agreement contractually terminated on September 1, 2024. Additionally, in April 2024, the Company and Cantor entered into a Controlled Equity Offering Sales Agreement with Cantor acting as the Company’s exclusive sales agent for the sale of newly issued shares of Class A Common Stock for aggregate proceeds up to $100.0 million, as further described in Note 7 as the ATM Program. Pursuant to the ATM program, the Company raised approximately $97.5 million, net of $2.5 million in transaction fees, during the second and third quarters of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the cash and cash equivalents as of September 30, 2024, will be sufficient to fund the short-term liquidity needs and the execution of the business plan through at least the twelve-month period from the date the financial statements are issued.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Transaction costs consist of direct legal, consulting, audit and other fees related to the consummation of the Business Combination and related transactions as described further in Note 1. These costs were initially capitalized as incurred and recorded as prepaid expenses in our condensed consolidated balance sheets and totaled $5.3 million as of December 31, 2022. Upon the completion of the Business Combination, transaction costs directly related to the issuance of shares were netted against the proceeds from the merger and recorded as an offset in additional paid-in capital upon consummation of the transactions. Total transaction costs charged to additional paid in capital were approximately $24.4 million during the nine months ended September 30, 2023. Approximately, $9.4 million in transaction costs were paid by Intuitive Machines, LLC during the nine months ended September 30, 2023. The remaining difference was paid by Intuitive Machines, LLC in 2022 or by IPAX prior to the closing of the Business Combination.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business entities, the new standard is effective for annual periods beginning after December 15, 2024, with early adoption permitted. An entity may apply the amendments in this ASU prospectively by providing the revised disclosures for the period ending December 31, 2025 and continue to provide the pre-ASU disclosures for the prior periods or may apply the amendments retrospectively by providing the revised disclosures for all period presented. The Company is assessing the potential impact of adopting the ASU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It requires a public entity to disclose the title and position of the Chief Operating Decision Maker.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The ASU will require additional disclosures within the footnotes to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other current liabilities consisted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accruals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 financing</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 shares liability (see Note 7)</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Immaterial Error Corrections to Previously Issued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we identified and corrected immaterial errors affecting previously issued financial statements related to historical estimated contract losses on certain lunar payload services contracts. These errors were due to the improper inclusion of constrained variable consideration in determining estimated contract losses from fiscal year 2020 through the second quarter of fiscal year 2024. Additionally, we corrected several other immaterial errors previously identified within the same reporting periods.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2024, the cumulative error for all periods previously was an understatement of Net income attributable to the Company of approximately $5.1 million impacting Contract liabilities (current and non-current) and Accounts payable – affiliated companies in our consolidated balance sheets and Cost of revenues (excluding depreciation) and General and administrative expense (excluding depreciation) in our consolidated statements of operations. The errors had no impact to total operating cash flows in our previously reported cash flows. We assessed the materiality of the errors, both quantitatively and qualitatively, in accordance with the SEC’s SAB No. 99 and SAB No. 108, and concluded these errors were not material to any of our previously issued quarterly or annual financial statements. In order to correctly present the errors noted above, previously issued financial statements have been revised and are presented as “As Corrected” in the tables below.</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effect of the corrections on the consolidated balance sheets at December 31, 2023, September 30, 2023, and December 31, 2022 are as follows (in thousands):</w:t>
      </w: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Balance Sheet Amounts:</w:t>
            </w:r>
          </w:p>
        </w:tc>
        <w:tc>
          <w:tcPr>
            <w:tcW w:w="200" w:type="dxa"/>
            <w:vAlign w:val="bottom"/>
          </w:tcPr>
          <w:p>
            <w:pPr>
              <w:spacing w:after="0"/>
              <w:rPr>
                <w:sz w:val="11"/>
                <w:szCs w:val="11"/>
                <w:color w:val="auto"/>
              </w:rPr>
            </w:pPr>
          </w:p>
        </w:tc>
        <w:tc>
          <w:tcPr>
            <w:tcW w:w="1320" w:type="dxa"/>
            <w:vAlign w:val="bottom"/>
          </w:tcPr>
          <w:p>
            <w:pPr>
              <w:jc w:val="right"/>
              <w:ind w:right="28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4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2,293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45,511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center"/>
              <w:ind w:left="721"/>
              <w:spacing w:after="0"/>
              <w:rPr>
                <w:sz w:val="20"/>
                <w:szCs w:val="20"/>
                <w:color w:val="auto"/>
              </w:rPr>
            </w:pPr>
            <w:r>
              <w:rPr>
                <w:rFonts w:ascii="Times New Roman" w:cs="Times New Roman" w:eastAsia="Times New Roman" w:hAnsi="Times New Roman"/>
                <w:sz w:val="16"/>
                <w:szCs w:val="16"/>
                <w:color w:val="auto"/>
              </w:rPr>
              <w:t>(4,140)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83,380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center"/>
              <w:ind w:left="721"/>
              <w:spacing w:after="0"/>
              <w:rPr>
                <w:sz w:val="20"/>
                <w:szCs w:val="20"/>
                <w:color w:val="auto"/>
              </w:rPr>
            </w:pPr>
            <w:r>
              <w:rPr>
                <w:rFonts w:ascii="Times New Roman" w:cs="Times New Roman" w:eastAsia="Times New Roman" w:hAnsi="Times New Roman"/>
                <w:sz w:val="16"/>
                <w:szCs w:val="16"/>
                <w:color w:val="auto"/>
              </w:rPr>
              <w:t>(1,847)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81,533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139,327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center"/>
              <w:ind w:left="721"/>
              <w:spacing w:after="0"/>
              <w:rPr>
                <w:sz w:val="20"/>
                <w:szCs w:val="20"/>
                <w:color w:val="auto"/>
              </w:rPr>
            </w:pPr>
            <w:r>
              <w:rPr>
                <w:rFonts w:ascii="Times New Roman" w:cs="Times New Roman" w:eastAsia="Times New Roman" w:hAnsi="Times New Roman"/>
                <w:sz w:val="16"/>
                <w:szCs w:val="16"/>
                <w:color w:val="auto"/>
              </w:rPr>
              <w:t>(1,847)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1,847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(248,619)</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shareholders’ deficit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1,847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Balance Sheet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4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1,853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49,679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100,907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97,655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non-current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162,948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159,482</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(333,398)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3,466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(329,932)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deficit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3,466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(342,748)</w:t>
            </w:r>
          </w:p>
        </w:tc>
        <w:tc>
          <w:tcPr>
            <w:tcW w:w="0" w:type="dxa"/>
            <w:vAlign w:val="bottom"/>
          </w:tcPr>
          <w:p>
            <w:pPr>
              <w:spacing w:after="0"/>
              <w:rPr>
                <w:sz w:val="1"/>
                <w:szCs w:val="1"/>
                <w:color w:val="auto"/>
              </w:rPr>
            </w:pPr>
          </w:p>
        </w:tc>
      </w:tr>
      <w:tr>
        <w:trPr>
          <w:trHeight w:val="787"/>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Balance Sheet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180" w:type="dxa"/>
            <w:vAlign w:val="bottom"/>
          </w:tcPr>
          <w:p>
            <w:pPr>
              <w:spacing w:after="0"/>
              <w:rPr>
                <w:sz w:val="11"/>
                <w:szCs w:val="11"/>
                <w:color w:val="auto"/>
              </w:rPr>
            </w:pPr>
          </w:p>
        </w:tc>
        <w:tc>
          <w:tcPr>
            <w:tcW w:w="14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904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56,656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95,180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86,069</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non-current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2,383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124,623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117,895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6,728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shareholders’ deficit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6,728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the corrections on the consolidated statement of operations for the fiscal years ended December 31, 2023 and 2022 are as follows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Consolidated Statement of Operations Amounts:</w:t>
            </w:r>
          </w:p>
        </w:tc>
        <w:tc>
          <w:tcPr>
            <w:tcW w:w="200" w:type="dxa"/>
            <w:vAlign w:val="bottom"/>
          </w:tcPr>
          <w:p>
            <w:pPr>
              <w:spacing w:after="0"/>
              <w:rPr>
                <w:sz w:val="11"/>
                <w:szCs w:val="11"/>
                <w:color w:val="auto"/>
              </w:rPr>
            </w:pPr>
          </w:p>
        </w:tc>
        <w:tc>
          <w:tcPr>
            <w:tcW w:w="1320" w:type="dxa"/>
            <w:vAlign w:val="bottom"/>
          </w:tcPr>
          <w:p>
            <w:pPr>
              <w:jc w:val="right"/>
              <w:ind w:right="281"/>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79,521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79,551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97,523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3,521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101,044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2,949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32,946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135,758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4,912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140,670</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15,062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15,022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Intuitive Machines, LLC prior to the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(post Business Combination)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20,773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62,804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61,762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shareholders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60,461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59,419</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Consolidated Statement of Operations Amounts:</w:t>
            </w:r>
          </w:p>
        </w:tc>
        <w:tc>
          <w:tcPr>
            <w:tcW w:w="200" w:type="dxa"/>
            <w:vAlign w:val="bottom"/>
          </w:tcPr>
          <w:p>
            <w:pPr>
              <w:spacing w:after="0"/>
              <w:rPr>
                <w:sz w:val="11"/>
                <w:szCs w:val="11"/>
                <w:color w:val="auto"/>
              </w:rPr>
            </w:pPr>
          </w:p>
        </w:tc>
        <w:tc>
          <w:tcPr>
            <w:tcW w:w="1320" w:type="dxa"/>
            <w:vAlign w:val="bottom"/>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85,946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87,112</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75,513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1,475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76,988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14,868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15,771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91,453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2,378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93,831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(5,507)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(6,719)</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(6,428)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(7,640)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(6,405)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(7,617)</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Intuitive Machines, LLC prior to the Business Combination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(6,405)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(7,617)</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the corrections on the condensed consolidated statement of operations for the three months ended March 31, 2024 and 2023 are as follows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80" w:type="dxa"/>
            <w:vAlign w:val="bottom"/>
            <w:gridSpan w:val="4"/>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1"/>
                <w:szCs w:val="11"/>
                <w:color w:val="auto"/>
              </w:rPr>
            </w:pPr>
          </w:p>
        </w:tc>
        <w:tc>
          <w:tcPr>
            <w:tcW w:w="11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73,068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73,219</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51,552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9,359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17,143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78,468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75,994</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2,625</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2,625</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(118,031)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(120,656)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2,625</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(post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2,625</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(118,031)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1,774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851</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(97,486)</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A common shareholders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(98,808)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851</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(97,957)</w:t>
            </w:r>
          </w:p>
        </w:tc>
        <w:tc>
          <w:tcPr>
            <w:tcW w:w="0" w:type="dxa"/>
            <w:vAlign w:val="bottom"/>
          </w:tcPr>
          <w:p>
            <w:pPr>
              <w:spacing w:after="0"/>
              <w:rPr>
                <w:sz w:val="1"/>
                <w:szCs w:val="1"/>
                <w:color w:val="auto"/>
              </w:rPr>
            </w:pPr>
          </w:p>
        </w:tc>
      </w:tr>
      <w:tr>
        <w:trPr>
          <w:trHeight w:val="273"/>
        </w:trPr>
        <w:tc>
          <w:tcPr>
            <w:tcW w:w="6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of Class A common stock - basic and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773"/>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4"/>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11"/>
                <w:szCs w:val="11"/>
                <w:color w:val="auto"/>
              </w:rPr>
            </w:pPr>
          </w:p>
        </w:tc>
        <w:tc>
          <w:tcPr>
            <w:tcW w:w="11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23,126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1,006</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24,132</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8,777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487</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32,199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1,493</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33,692</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Intuitive Machines, LLC prior to the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(post Business Combination)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A common shareholders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of Class A common stock - basic and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The effect of the corrections on the condensed consolidated statement of operations for the three and six months ended June 30, 2024 and 2023 are as follows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1"/>
                <w:szCs w:val="11"/>
                <w:color w:val="auto"/>
              </w:rPr>
            </w:pPr>
          </w:p>
        </w:tc>
        <w:tc>
          <w:tcPr>
            <w:tcW w:w="120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41,408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47,838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590</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9,264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9,264</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12,057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69,582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674</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15,981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674</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15,981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674</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(post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15,981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674</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283</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18,280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shareholders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18,143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391</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18,534</w:t>
            </w:r>
          </w:p>
        </w:tc>
        <w:tc>
          <w:tcPr>
            <w:tcW w:w="0" w:type="dxa"/>
            <w:vAlign w:val="bottom"/>
          </w:tcPr>
          <w:p>
            <w:pPr>
              <w:spacing w:after="0"/>
              <w:rPr>
                <w:sz w:val="1"/>
                <w:szCs w:val="1"/>
                <w:color w:val="auto"/>
              </w:rPr>
            </w:pPr>
          </w:p>
        </w:tc>
      </w:tr>
      <w:tr>
        <w:trPr>
          <w:trHeight w:val="259"/>
        </w:trPr>
        <w:tc>
          <w:tcPr>
            <w:tcW w:w="6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0.33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0.29</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792"/>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4"/>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1"/>
                <w:szCs w:val="11"/>
                <w:color w:val="auto"/>
              </w:rPr>
            </w:pPr>
          </w:p>
        </w:tc>
        <w:tc>
          <w:tcPr>
            <w:tcW w:w="120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22,481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582</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8,376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403</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31,176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985</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15,249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18,777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(post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18,777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17,792</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29,521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29,537</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shareholders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28,866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28,882</w:t>
            </w:r>
          </w:p>
        </w:tc>
        <w:tc>
          <w:tcPr>
            <w:tcW w:w="0" w:type="dxa"/>
            <w:vAlign w:val="bottom"/>
          </w:tcPr>
          <w:p>
            <w:pPr>
              <w:spacing w:after="0"/>
              <w:rPr>
                <w:sz w:val="1"/>
                <w:szCs w:val="1"/>
                <w:color w:val="auto"/>
              </w:rPr>
            </w:pPr>
          </w:p>
        </w:tc>
      </w:tr>
      <w:tr>
        <w:trPr>
          <w:trHeight w:val="273"/>
        </w:trPr>
        <w:tc>
          <w:tcPr>
            <w:tcW w:w="6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1.84</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4"/>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1"/>
                <w:szCs w:val="11"/>
                <w:color w:val="auto"/>
              </w:rPr>
            </w:pPr>
          </w:p>
        </w:tc>
        <w:tc>
          <w:tcPr>
            <w:tcW w:w="12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114,476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384</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114,860</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99,390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98,268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 - affiliated companies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18,623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29,200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148,050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145,135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(33,574)</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3,299</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3,299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(101,376)</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(104,675)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3,299</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(101,376)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(post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(104,675)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3,299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(101,376)</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(26,379)</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2,057</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Company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1,242</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A common shareholders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(80,665)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1,242</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(79,423)</w:t>
            </w:r>
          </w:p>
        </w:tc>
        <w:tc>
          <w:tcPr>
            <w:tcW w:w="0" w:type="dxa"/>
            <w:vAlign w:val="bottom"/>
          </w:tcPr>
          <w:p>
            <w:pPr>
              <w:spacing w:after="0"/>
              <w:rPr>
                <w:sz w:val="1"/>
                <w:szCs w:val="1"/>
                <w:color w:val="auto"/>
              </w:rPr>
            </w:pPr>
          </w:p>
        </w:tc>
      </w:tr>
      <w:tr>
        <w:trPr>
          <w:trHeight w:val="259"/>
        </w:trPr>
        <w:tc>
          <w:tcPr>
            <w:tcW w:w="6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of Class A common stock - basic and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0.03</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787"/>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4"/>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1"/>
                <w:szCs w:val="11"/>
                <w:color w:val="auto"/>
              </w:rPr>
            </w:pPr>
          </w:p>
        </w:tc>
        <w:tc>
          <w:tcPr>
            <w:tcW w:w="12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45,607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1,588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47,195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17,153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890</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63,375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Intuitive Machines, LLC prior to the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(post Business Combination)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1,081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20,161</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shareholders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19,178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19,049</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0.83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The effect of the corrections on the condensed consolidated statement of operations for the three and nine months ended September 30, 2023 are as follows (in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25,768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9,853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35,950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(23,219)</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15,701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14,916</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15,096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(post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15,096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(18,992)</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33,651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33,303</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shareholders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32,977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32,629</w:t>
            </w:r>
          </w:p>
        </w:tc>
        <w:tc>
          <w:tcPr>
            <w:tcW w:w="0" w:type="dxa"/>
            <w:vAlign w:val="bottom"/>
          </w:tcPr>
          <w:p>
            <w:pPr>
              <w:spacing w:after="0"/>
              <w:rPr>
                <w:sz w:val="1"/>
                <w:szCs w:val="1"/>
                <w:color w:val="auto"/>
              </w:rPr>
            </w:pPr>
          </w:p>
        </w:tc>
      </w:tr>
      <w:tr>
        <w:trPr>
          <w:trHeight w:val="273"/>
        </w:trPr>
        <w:tc>
          <w:tcPr>
            <w:tcW w:w="66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1.89</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1.29</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792"/>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Revised Condensed Consolidated Statement of Operations Amounts:</w:t>
            </w:r>
          </w:p>
        </w:tc>
        <w:tc>
          <w:tcPr>
            <w:tcW w:w="200" w:type="dxa"/>
            <w:vAlign w:val="bottom"/>
          </w:tcPr>
          <w:p>
            <w:pPr>
              <w:spacing w:after="0"/>
              <w:rPr>
                <w:sz w:val="11"/>
                <w:szCs w:val="11"/>
                <w:color w:val="auto"/>
              </w:rPr>
            </w:pPr>
          </w:p>
        </w:tc>
        <w:tc>
          <w:tcPr>
            <w:tcW w:w="1320" w:type="dxa"/>
            <w:vAlign w:val="bottom"/>
          </w:tcPr>
          <w:p>
            <w:pPr>
              <w:jc w:val="center"/>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80" w:type="dxa"/>
            <w:vAlign w:val="bottom"/>
          </w:tcPr>
          <w:p>
            <w:pPr>
              <w:spacing w:after="0"/>
              <w:rPr>
                <w:sz w:val="11"/>
                <w:szCs w:val="11"/>
                <w:color w:val="auto"/>
              </w:rPr>
            </w:pPr>
          </w:p>
        </w:tc>
        <w:tc>
          <w:tcPr>
            <w:tcW w:w="1300" w:type="dxa"/>
            <w:vAlign w:val="bottom"/>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2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Corrected</w:t>
            </w:r>
          </w:p>
        </w:tc>
        <w:tc>
          <w:tcPr>
            <w:tcW w:w="0" w:type="dxa"/>
            <w:vAlign w:val="bottom"/>
          </w:tcPr>
          <w:p>
            <w:pPr>
              <w:spacing w:after="0"/>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(excluding depreciation)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71,375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73,688</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 (excluding depreciation)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27,006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99,325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102,588</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(50,365)</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10,718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10,426</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Intuitive Machines, LLC prior to the Business Combination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(post Business Combination)</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16,177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redeemable noncontrolling interest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53,812</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shareholders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52,155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51,678</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3.20</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 -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2.16</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contract type. The following table provides information about disaggregated revenue for the three and nine months ended September 30, 2024 and 2023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4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56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3"/>
        </w:trPr>
        <w:tc>
          <w:tcPr>
            <w:tcW w:w="2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2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r>
      <w:tr>
        <w:trPr>
          <w:trHeight w:val="20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Contract Type</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reimbursable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8"/>
        </w:trPr>
        <w:tc>
          <w:tcPr>
            <w:tcW w:w="2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condensed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condensed consolidated balance sheets. Long-term deferred revenue and provisions for loss contracts are recorded in long-term contract liabilities on our condensed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contract assets as of September 30, 2024 and December 31,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associated with deferred contract costs for subcontracted launch services was recorded in cost of revenue and was $2.5 million and $8.7 million, respectively, for the three and nine months ended September 30, 2024, and $7.1 million and $25.1 million, respectively, for the three and nine months ended September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contract liabilities as of September 30, 2024 and December 31, 2023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 – current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loss provision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launch costs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 – current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 – long-term</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loss provision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contract liabilities – long-term</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Revenue recognized from amounts included in contract liabilities at the beginning of the period was $8.4 million and $33.4 million during the nine months ended September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Contracts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contract loss occurs when the current estimate of the consideration that we expect to receive is less than the current estimate of total estimating costs to complete the contract. For purposes of determining the existence of or amount of a contract loss, we consider total contract consideration, including any variable consideration constrained for revenue recognition purposes. We may experience favorable or unfavorable changes to contract losses from time to time due to changes in estimated contract costs and modifications that result in changes to contract price. We recorded net losses related to contracts with customers of $1.7 million and $22.8 million, respectively, for the three and nine months ended September 30, 2024, and $15.4 million and $25.6 million, respectively, for the three and nine months ended September 30,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status of these loss contracts was as follows:</w:t>
      </w:r>
    </w:p>
    <w:p>
      <w:pPr>
        <w:spacing w:after="0" w:line="158" w:lineRule="exact"/>
        <w:rPr>
          <w:sz w:val="20"/>
          <w:szCs w:val="20"/>
          <w:color w:val="auto"/>
        </w:rPr>
      </w:pPr>
    </w:p>
    <w:p>
      <w:pPr>
        <w:jc w:val="both"/>
        <w:ind w:left="820" w:hanging="407"/>
        <w:spacing w:after="0" w:line="258"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contract, for lunar payload services, became a loss contract due to estimated contract costs exceeding the estimated amount of consideration that we expected to receive. The contract was successfully completed in February 2024. As a result of the successful mission, previously constrained variable consideration of $12.3 million as of December 31, 2023 was released and approximately $11.6 million was recognized as revenue during the first quarter of 2024. For the nine months ended September 30, 2024, and 2023, changes in estimated contract costs resulted in an additional $5.7 million and $8.2 million in contract loss, respectively.</w:t>
      </w:r>
    </w:p>
    <w:p>
      <w:pPr>
        <w:spacing w:after="0" w:line="102" w:lineRule="exact"/>
        <w:rPr>
          <w:rFonts w:ascii="Times New Roman" w:cs="Times New Roman" w:eastAsia="Times New Roman" w:hAnsi="Times New Roman"/>
          <w:sz w:val="18"/>
          <w:szCs w:val="18"/>
          <w:color w:val="auto"/>
        </w:rPr>
      </w:pPr>
    </w:p>
    <w:p>
      <w:pPr>
        <w:jc w:val="both"/>
        <w:ind w:left="820" w:hanging="407"/>
        <w:spacing w:after="0" w:line="255" w:lineRule="auto"/>
        <w:tabs>
          <w:tab w:leader="none" w:pos="81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second contract, for lunar payload services, became a loss contract in 2021 due to estimated contract costs exceeding the estimated amount of consideration that we expected to receive. For the nine months ended September 30, 2024 and 2023, changes in estimated contract costs resulted in an additional $9.9 million and $5.9 million in contract loss, respectively. As of September 30, 2024, and 2023, this contract was approximately 64% complete and 55% complete, respectively. The period of performance for this contract currently runs through June 2026 as a result of modifications to the contract. As of September 30, 2024 and December 31, 2023, the contract loss provision recorded in contract liabilities, current was $7.2 million and $4.6 million, respectively, and $0.9 million and zero, respectively, in contract liabilities, non-current in our condensed consolidated balance sheets.</w:t>
      </w:r>
    </w:p>
    <w:p>
      <w:pPr>
        <w:spacing w:after="0" w:line="121" w:lineRule="exact"/>
        <w:rPr>
          <w:rFonts w:ascii="Times New Roman" w:cs="Times New Roman" w:eastAsia="Times New Roman" w:hAnsi="Times New Roman"/>
          <w:sz w:val="15"/>
          <w:szCs w:val="15"/>
          <w:color w:val="auto"/>
        </w:rPr>
      </w:pPr>
    </w:p>
    <w:p>
      <w:pPr>
        <w:jc w:val="both"/>
        <w:ind w:left="820" w:hanging="407"/>
        <w:spacing w:after="0" w:line="256" w:lineRule="auto"/>
        <w:tabs>
          <w:tab w:leader="none" w:pos="819"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third contract, for lunar payload services, became a loss contract in 2023 due to estimated contract costs exceeding the estimated amount of consideration that we expected to receive. For the nine months ended September 30, 2024 and 2023, changes in estimated contract costs resulted in an additional $7.2 million and $11.4 million in contract loss, respectively. As of September 30, 2024 this contract was approximately 93% complete. The period of performance for this contract currently runs through August 2025 as a result of modifications to the contract. As of September 30, 2024 and December 31, 2023, the contract loss provision recorded in contract liabilities, current in our condensed consolidated balance sheets was $1.0 million and $0.9 million, respectively.</w:t>
      </w:r>
    </w:p>
    <w:p>
      <w:pPr>
        <w:spacing w:after="0" w:line="119" w:lineRule="exact"/>
        <w:rPr>
          <w:rFonts w:ascii="Times New Roman" w:cs="Times New Roman" w:eastAsia="Times New Roman" w:hAnsi="Times New Roman"/>
          <w:sz w:val="15"/>
          <w:szCs w:val="15"/>
          <w:color w:val="auto"/>
        </w:rPr>
      </w:pPr>
    </w:p>
    <w:p>
      <w:pPr>
        <w:ind w:left="820" w:hanging="407"/>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loss contracts are individually and collectively immaterial.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represent the remaining transaction price of firm orders for which work has not been performed and excludes unexercised contract options. As of September 30, 2024, the aggregate amount of the transaction price allocated to remaining fixed price performance obligations was $195.5 million. The Company expects to recognize revenue on approximately 10-15% of the remaining performance obligations over the next 3 months, 45-50% in 2025 and the remaining thereafter. Remaining performance obligations do not include variable consideration that was determined to be constrained as of September 30, 2024.</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time and materials contracts and cost reimbursable contracts, we have adopted the practical expedient that allows us to recognize revenue based on our right to invoice; therefore, we do not report unfulfilled performance obligations for time and materials and cost reimbursable agreements.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4 - PROPERTY AND EQUIPMENT,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property and equipment, net consisted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 and trailers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13,795</w:t>
            </w:r>
          </w:p>
        </w:tc>
      </w:tr>
      <w:tr>
        <w:trPr>
          <w:trHeight w:val="223"/>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48"/>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depreciation expense related to property and equipment for the three and nine months ended September 30, 2024 was $0.5 million and $1.3 million, respectively, and $0.3 million and $0.9 million, respectively, for the three and nine months ended September 30,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Construction in progress includes constructions costs associated with the fabrication of a commercial communications satellite. During the third quarter of 2024, management determined that certain assets under development by a third party subcontractor were not in compliance according to the specifications under contract. Management concluded that carrying cost of these assets was not recoverable and recorded an impairment charge of approximately $5.0 million, including capitalized interest of $0.5 million, in our condensed consolidated statements of operations for the three and nine months ended September 30,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the remaining construction costs included in construction in progress associated with the commercial communications satellites was approximately $11.1 million. The Company capitalized interest in connection with construction in progress of $279 thousand and $658 thousand, respectively, for the three and nine months ended September 30, 2023 and recognized no capitalized interest for the three and nine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outstanding debt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Mobilization Facility</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20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weighted-average interest rate on short-term borrowings outstanding was 10.55% and 10.20%,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Oak Credit Mobilization Facility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loan agreement with Live Oak Banking Company (the “Credit Mobilization Facility”) which provided a $12.0 million credit mobilization facility that was paid in full as of November 2023. In July 2022, we entered into the Second Amended and Restated Loan Agreement with Live Oak Banking Company which provided an $8.0 million credit mobilization facility with a loan maturity of July 14, 2024. The Credit Mobilization Facility bears interest (payable monthly) at a rate per annum equal to the greater of (a) the prime rate, as published in the Wall Street Journal newspaper, plus 2.0% and (b) 5.0% and requires the Company to meet certain financial and other covenants and are secured by substantially all of the assets of the Company. There was $8.0 million outstanding under the Credit Mobilization Facility as of December 31, 2023. The Company paid $5.0 million during the second quarter of 2024 and paid the remaining $3.0 million in July 2024 and the facility has been terminated.</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Bridge Loan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2024, the Company entered into a series of loan documents with Pershing LLC, an affiliate of Bank of New York Mellon, pursuant to which Pershing LLC agreed to an extension of credit in an amount not to exceed $10.0 million to the Company (the “Bridge Loan”). Borrowings under the Bridge Loan bear interest at the target interest rate set by the Federal Open Market Committee (“Fed Funds Rate”), subject to a 5.5% floor, plus a margin. For borrowings, the applicable rate margin is 0.9%. The $10.0 million in borrowings are available for working capital needs and other general corporate purposes must be repaid by February 22, 2024.</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Bridge Loan included guarantees (the “Credit Support Guarantees”) by Ghaffarian Enterprises, LLC (an affiliate of Dr. Kamal Ghaffarian) (“Ghaffarian Enterprises” or “Guarantor”)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29, 2024, the Bridge Loan was repaid in full as a result of $10.0 million in contributions from the Guarantor under the Bridge Loan Conversion transaction further described in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recognized a combined U.S. federal and state expense for income taxes of $50 thousand. For the three and nine months ended September 30, 2023, we recognized a combined U.S. federal and state expense for income taxes of $605 thousand and $292 thousand, respectively. The effective combined U.S. federal and state income tax rates were (0.06%) and (0.03%) for the three and nine months ended September 30, 2024, respectively, and 4.1% and 3.9% for the three and nine months ended September 30, 2023, respectively. For the three and nine months ended September 30, 2024, our effective tax rate differed from the statutory rate primarily due to deferred taxes for which no benefit is being recorded and losses attributable to noncontrolling interest unitholders that are taxable on their respective share of taxable income. For the three and nine months ended September 30, 2023, our effective tax rate differed from the statutory rate primarily due to Intuitive Machines, LLC's status as a partnership for U.S. federal income tax purposes.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consummation of the Transactions, Intuitive Machines, Inc. entered into a tax receivable agreement (the “TRA”). Pursuant to the TRA, the Company will generally be required to pay the TRA Holders (certain Intuitive Machines, LLC members and related parties to the Company) 85% of the amount of the cash tax savings, if any, in U.S. federal, state, and local taxes that are based on, or measured with respect to, net income or profits, and any interest related thereto that the Company (and applicable consolidated, unitary, or combined subsidiaries thereof, if any and collectively the “Tax Group”) realizes, or is deemed to realize, as a result of certain tax attributes (the “Tax Attributes”), including:</w:t>
      </w:r>
    </w:p>
    <w:p>
      <w:pPr>
        <w:spacing w:after="0" w:line="318"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tax basis in certain assets of Intuitive Machines, LLC and certain of its direct or indirect subsidiaries, including assets that will eventually be subject to depreciation or amortization, once placed in service;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basis adjustments resulting from taxable exchanges of Intuitive Machines, LLC Common Units (including any such adjustments resulting from certain payments made by the Company under the TRA) acquired by the Company from a TRA Holder pursuant to the terms of the Second A&amp;R Operating Agreement;</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benefits realized by the Company as a result of certain U.S. federal income tax allocations of taxable income or gain away from the Company and to other members of Intuitive Machines, LLC and deductions or losses to the Company and away from other members of Intuitive Machines, LLC, in each case as a result of the Business Combination;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deductions in respect of portions of certain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The TRA remains in effect until all such tax benefits have been utilized or expired unless the Company exercises its rights to terminate the TRA or in the case of a change in control of the Company or a material breach of the Company's obligations under the TRA, at which time all obligations under the TRA will be accelerated and become payable for an amount representing the present value of anticipated future tax benefits. The resulting TRA amount from an early termination would be material to the financial statements, but due to the contingent nature of such early termination the amount cannot be estimated at this time. No notice of early termination has been given and the Company is not aware of any events in the foreseeable future that would give rise to an early termination of the TRA.</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TRA, until a TRA Holder exchanges at least 5% of its Intuitive Machines, LLC Common Units, the Company will hold TRA payments applicable to existing basis until the TRA Holder satisfies such threshold exchange. Upon the completion of the Business Combination, TRA Holders have not exchanged at least 5% of their Intuitive Machines, LLC Common Units. As of September 30, 2024, the 5% exchange threshold has been met, and based on a current benefit being recorded in the period, a TRA liability is being recorded. As of September 30, 2024 and December 31, 2023, the TRA liability totaled $473 thousand and $0,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MEZZANINE EQUITY AND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Transaction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5, 2023, the Company consummated a securities purchase agreement (the “Purchase Agreement”) with Armistice Capital Master Fund Ltd (the “Purchaser”) pursuant to which the Company agreed to sell securities to the Purchaser in a private placement (the “Private Placement”). The Purchase Agreement provided for the sale and issuance by 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 During the first quarter of 2024, the Initial Series A Warrant and the Initial Series B Warrant were fully exercised.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for additional information on the Initial Series A and the Initial Series B Warrants.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Loan Conversion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28, 2024, the Company and the Guarantor entered into a letter agreement (the “Letter Agreement”) pursuant to which, on January 29, 2024 the Guarantor contributed $10.0 million to the Company for purposes of repaying the principal amount owed to the lender under the Bridge Loan in exchange for which the Company issued to the Guarantor 3,487,278 shares of the Company’s Class A Common Stock and Conversion Warrants described further in Note 8. Following the contribution, all amounts due to the Lender in satisfaction of the Bridge Loan were repaid in full.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share information about the Company’s capital stock as of September 30,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Par Value</w:t>
            </w: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2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81,351,656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80,101,656</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60,245,138</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60,245,138</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8"/>
        </w:trPr>
        <w:tc>
          <w:tcPr>
            <w:tcW w:w="3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140,351,794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Facility</w:t>
      </w:r>
    </w:p>
    <w:p>
      <w:pPr>
        <w:spacing w:after="0" w:line="2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September 16, 2022, the Company entered into the Cantor Purchase Agreement with CFPI relating to an equity facility under which shares of newly issued Class A Common Stock may be sold to CFPI by Intuitive Machines, Inc. Pursuant to the terms of the Cantor Purchase Agreement, Intuitive Machines, Inc. will have the right, but not the obligation, from time to time at its sole discretion, until the first day of the month following the 18-month period from and after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29" w:lineRule="auto"/>
        <w:rPr>
          <w:sz w:val="20"/>
          <w:szCs w:val="20"/>
          <w:color w:val="auto"/>
        </w:rPr>
      </w:pPr>
      <w:r>
        <w:rPr>
          <w:rFonts w:ascii="Times New Roman" w:cs="Times New Roman" w:eastAsia="Times New Roman" w:hAnsi="Times New Roman"/>
          <w:sz w:val="18"/>
          <w:szCs w:val="18"/>
          <w:color w:val="auto"/>
        </w:rPr>
        <w:t>Commencement (as defined in the Cantor Purchase Agreement), to direct CFPI to purchase up to the lesser of (i) $50.0 million of newly issued shares of Class A Common Stock and (ii) the Exchange Cap, by delivering written notice to CFPI prior to the commencement of trading on any trading day, subject to certain customary conditions and limitations set forth in the Cantor Purchase Agreement. In connection with the execution of the Cantor Purchase Agreement, the Company agreed to issue 100,000 shares of Class A Common Stock to CFPI. The Company entered into a registration rights agreement with CFPI, pursuant to which it agreed to register for resale, pursuant to Rule 415 under the Securities Act, the shares of Class A Common Stock that are sold to CFPI under the equity facility and the Commitment Shares. During the second quarter of 2023, we recorded a recapitalization adjustment to increase other current liabilities and decrease to paid-in capital for $1.0 million to recognize the Commitment Share liability within our condensed consolidated balance sheets which was not previously recognized in the balance sheet of IPAX prior to the closing of the Business Combination.</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June 2023, the Company issued 95,785 Commitment Shares to CFPI. Under the terms of the Cantor Purchase Agreement, to the extent after the resale of the Commitment Shares by CFPI is less than $1.0 million, the Company will pay CFPI the difference between $1.0 million and the net proceeds of the resale of the Commitment Shares received by CFPI in cash. During the first quarter of 2024, CFPI sold the 95,785 Commitment Shares resulting in a reduction of the Commitment Share liability to approximately $771 thousand. Under a separate agreement in March 2024, CFPI agreed to proportionally reduce the liability to the extent CFPI earned commissions under the Controlled Equity Offering Sales Agreement discussed below. As a result of the Class A Common Stock sold under the Controlled Equity Offering Sales Agreement during the nine months ended September 30, 2024, the Commitment Share liability was reduced to zero and there is no remaining liability as of September 30, 2024. The Cantor Purchase Agreement contractually terminated on September 1, 2024 and no shares of Class A Common Stock were sold to CFPI under the Cantor Purchase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Equity Offering Sales Agreement</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March 27, 2024, the Company entered into a Controlled Equity Offering Sales Agreement (the “Sales Agreement”) with Cantor Fitzgerald &amp; Co. (“Cantor” or “agent”) to sell shares of the Class A Common Stock having an aggregate sale price of up to $100.0 million through our ATM Program under which Cantor acts as the sales agent. The sales of the shares made under the ATM Program may be made by any method permitted by law deemed to be an “at the market offering” as defined in Rule 415 promulgated under the Securities Act of 1933, as amended. The agent sells the Class A Common Stock based upon the Company’s instructions (including any price, time or size limits or other customary parameters or conditions the Company may impose). Under the ATM Program, the agent is entitled to total compensation at a commission rate of up to 3.0% of the sales price per share sold.</w:t>
      </w:r>
    </w:p>
    <w:p>
      <w:pPr>
        <w:spacing w:after="0" w:line="2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sold and issued 16,521,612 shares of Class A Common Stock under the ATM Program and received cash proceeds of approximately $97.5 million, net of $2.5 million in transaction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Series A Preferred Stock </w:t>
      </w:r>
      <w:r>
        <w:rPr>
          <w:rFonts w:ascii="Times New Roman" w:cs="Times New Roman" w:eastAsia="Times New Roman" w:hAnsi="Times New Roman"/>
          <w:sz w:val="18"/>
          <w:szCs w:val="18"/>
          <w:i w:val="1"/>
          <w:iCs w:val="1"/>
          <w:color w:val="auto"/>
        </w:rPr>
        <w:t>(Mezzanine Equity)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342F2F"/>
        </w:rPr>
        <w:t xml:space="preserve">As a result of the Private Placement Transaction on September 5, 2023 discussed above and in accordance with the terms of the Certificate of Designation, the Series A Preferred Stock conversion price was reduced from </w:t>
      </w:r>
      <w:r>
        <w:rPr>
          <w:rFonts w:ascii="Times New Roman" w:cs="Times New Roman" w:eastAsia="Times New Roman" w:hAnsi="Times New Roman"/>
          <w:sz w:val="18"/>
          <w:szCs w:val="18"/>
          <w:color w:val="000000"/>
        </w:rPr>
        <w:t>$12.00</w:t>
      </w:r>
      <w:r>
        <w:rPr>
          <w:rFonts w:ascii="Times New Roman" w:cs="Times New Roman" w:eastAsia="Times New Roman" w:hAnsi="Times New Roman"/>
          <w:sz w:val="18"/>
          <w:szCs w:val="18"/>
          <w:color w:val="342F2F"/>
        </w:rPr>
        <w:t xml:space="preserve"> per share to $5.10 per share. Additionally, as a result of </w:t>
      </w:r>
      <w:r>
        <w:rPr>
          <w:rFonts w:ascii="Times New Roman" w:cs="Times New Roman" w:eastAsia="Times New Roman" w:hAnsi="Times New Roman"/>
          <w:sz w:val="18"/>
          <w:szCs w:val="18"/>
          <w:color w:val="000000"/>
        </w:rPr>
        <w:t>the Warrant Exercise</w:t>
      </w:r>
      <w:r>
        <w:rPr>
          <w:rFonts w:ascii="Times New Roman" w:cs="Times New Roman" w:eastAsia="Times New Roman" w:hAnsi="Times New Roman"/>
          <w:sz w:val="18"/>
          <w:szCs w:val="18"/>
          <w:color w:val="342F2F"/>
        </w:rPr>
        <w:t xml:space="preserve"> </w:t>
      </w:r>
      <w:r>
        <w:rPr>
          <w:rFonts w:ascii="Times New Roman" w:cs="Times New Roman" w:eastAsia="Times New Roman" w:hAnsi="Times New Roman"/>
          <w:sz w:val="18"/>
          <w:szCs w:val="18"/>
          <w:color w:val="000000"/>
        </w:rPr>
        <w:t>Agreement on January 10, 2024 in conjunction with the warrant transactions discussed in Note 8, the Series A Preferred Stock conversion price was further reduced from $5.10 per share to $3.00 per share.</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 and recorded an increase to equity of approximately $23.1 million and a corresponding decrease to Series A Preferred Stock in the condensed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Redeemable Noncontrolling Interests </w:t>
      </w:r>
      <w:r>
        <w:rPr>
          <w:rFonts w:ascii="Times New Roman" w:cs="Times New Roman" w:eastAsia="Times New Roman" w:hAnsi="Times New Roman"/>
          <w:sz w:val="18"/>
          <w:szCs w:val="18"/>
          <w:i w:val="1"/>
          <w:iCs w:val="1"/>
          <w:color w:val="auto"/>
        </w:rPr>
        <w:t>(Mezzanine Equity)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September 30, 2024, the prior investors of Intuitive Machines, LLC own 42.9% of the outstanding common units of Intuitive Machines, LLC. The prior investors of Intuitive Machines, LLC have the right to exchange their common units in Intuitive Machines, LLC (along with the cancellation of the paired shares of Class B Common Stock or Class C Common Stock in Intuitive Machines, Inc.) for shares of Class A Common Stock on a one-to-one basis or cash proceeds for an equivalent amount. The option to redeem Intuitive Machines, LLC’s common units for cash proceeds must be approved by the Board. The ability to put common units is solely within the control of the holder of the redeemable noncontrolling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7" w:name="page28"/>
    <w:bookmarkEnd w:id="27"/>
    <w:p>
      <w:pPr>
        <w:spacing w:after="0" w:line="245" w:lineRule="auto"/>
        <w:rPr>
          <w:sz w:val="20"/>
          <w:szCs w:val="20"/>
          <w:color w:val="auto"/>
        </w:rPr>
      </w:pPr>
      <w:r>
        <w:rPr>
          <w:rFonts w:ascii="Times New Roman" w:cs="Times New Roman" w:eastAsia="Times New Roman" w:hAnsi="Times New Roman"/>
          <w:sz w:val="18"/>
          <w:szCs w:val="18"/>
          <w:color w:val="auto"/>
        </w:rPr>
        <w:t>interests. If the prior investors elect the redemption to be settled in cash, the cash used to settle the redemption must be funded through a private or public offering of Class A Common Stock and subject to the Company’s Board approval. .</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financial results of Intuitive Machines, LLC and its subsidiaries are consolidated with Intuitive Machines, Inc. with the redeemable noncontrolling interests' share of our net loss separately allocated.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and Private Warrants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warrants (the “Private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days after the closing of the Business Combination and will expire five years after the closing of the Business Combination.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may not, subject to certain limited exceptions, be transferred assigned or sold by the holders until 30 days after the closing of the Business Combination. The Public Warrants and Private Warrants do not entitle the holder to any voting rights, dividends or other rights as a shareholder of the Company prior to exercise.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nine months ended September 30, 2024, 101 Public Warrants were exercised resulting in the issuance of an equal number of shares of Class A Common Stock. During the year ended December 31, 2023, Public Warrants of 1,402,106 were exercised resulting in the issuance of an equal number of shares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Warrants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issuance of Series A Preferred Stock at closing of the Business Combination, the Company issued 541,667 Preferred Investor Warrants (of which, 104,157 are owned by a related party, Ghaffarian Enterprises, LLC) to purchase one share of the Company’s Class A Common Stock with an exercise price of $15.00, subject to adjustment. The Company evaluated the terms of the Preferred Investor Warrants and determined they meet the criteria to be classified in shareholders’ equity upon issuance.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342F2F"/>
        </w:rPr>
        <w:t xml:space="preserve">As result of the Private Placement Transaction on September 5, 2023 discussed in Note 7 and in accordance with the terms of the Certificate of Designation, the Series A Preferred Warrants exercise price was reduced from </w:t>
      </w:r>
      <w:r>
        <w:rPr>
          <w:rFonts w:ascii="Times New Roman" w:cs="Times New Roman" w:eastAsia="Times New Roman" w:hAnsi="Times New Roman"/>
          <w:sz w:val="18"/>
          <w:szCs w:val="18"/>
          <w:color w:val="000000"/>
        </w:rPr>
        <w:t>$15.00</w:t>
      </w:r>
      <w:r>
        <w:rPr>
          <w:rFonts w:ascii="Times New Roman" w:cs="Times New Roman" w:eastAsia="Times New Roman" w:hAnsi="Times New Roman"/>
          <w:sz w:val="18"/>
          <w:szCs w:val="18"/>
          <w:color w:val="342F2F"/>
        </w:rPr>
        <w:t xml:space="preserve"> to $11.50 per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8" w:name="page29"/>
    <w:bookmarkEnd w:id="28"/>
    <w:p>
      <w:pPr>
        <w:jc w:val="both"/>
        <w:spacing w:after="0" w:line="246" w:lineRule="auto"/>
        <w:rPr>
          <w:sz w:val="20"/>
          <w:szCs w:val="20"/>
          <w:color w:val="auto"/>
        </w:rPr>
      </w:pPr>
      <w:r>
        <w:rPr>
          <w:rFonts w:ascii="Times New Roman" w:cs="Times New Roman" w:eastAsia="Times New Roman" w:hAnsi="Times New Roman"/>
          <w:sz w:val="18"/>
          <w:szCs w:val="18"/>
          <w:color w:val="342F2F"/>
        </w:rPr>
        <w:t>share and the aggregate number of shares of Class A Common Stock issuable upon exercise of the Series A Preferred Warrants was proportionally increased to 706,522.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have been no exercises of the Preferred Investor Warrants.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Exercise Agreement and Warrant Exercises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10, 2024, the Company entered into a Warrant Exercise Agreement with the Armistice Capital Master Fund Ltd (the “Purchaser”) to exercise in full a warrant to purchase up to an aggregate 4,705,883 shares of Class A Common Stock (the “Initial Series B Warrant”). In consideration for the immediate and full exercise of the Initial Series B Warrant, the existing investor received (i) a new unregistered Series A Common Stock Purchase Warrant to purchase up to an aggregate of 4,705,883 shares of Class A Common Stock with an exercise price of $2.75 per share and a term of 5.5 years (the “New Series A Warrant”) and (ii) a new unregistered Series B Common Stock Purchase Warrant to purchase up to an aggregate of 4,705,883 shares of Class A Common Stock with an exercise price of $2.75 per share and a term of 18 months (the “New Series B Warrant”), collectively, (the “New Warrants”), in a private placement pursuant to Section 4(a)(2) of the Securities Act of 1933. In connection with the Warrant Exercise Agreement, the Company also agreed to reduce the exercise price of the Initial Series B Warrant from $4.75 to $2.50 per share and reduced the exercise price of a warrant to purchase up to 4,705,883 shares of Class A Common Stock (the “Initial Series A Warrant”) from $4.75 to $2.75 per share.</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modifications to the 4,705,883 Initial Series A Warrant and the 4,705,883 Initial Series B Warrant, collectively (the “Initial Warrants”), the Company recognized an unfavorable change in fair value of warrant liabilities of $1.2 million in the condensed consolidated statement of operations. Upon the immediate exercise of the 4,705,883 Initial Series B Warrants, the Company issued 4,705,883 shares of Class A Common Stock, received cash proceeds of approximately $11.8 million and recognized a gain on issuance of securities of approximately $1.3 million in the condensed consolidated statements of operations.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Series A Warrant and New Series B Warrant were immediately exercisable and have a term of 5.5 years and 18 months, respectively. The Company evaluated the terms of the New Warrants and determined they meet the criteria in ASC 815, “Derivatives and Hedging”, to be classified as a derivative liability, initially measured at fair value with changes in fair value recognized in other income (expense) on the condensed consolidated statement of operations. The New Series A Warrant and New Series B Warrant had an initial fair value of $10.8 million and $5.7 million, respectively, which was recorded as a $16.6 million loss on issuance of securities in our condensed consolidated statement of operations.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Subsequently, the Purchaser exercised 4,705,883 Initial Series A Warrants, 4,705,883 New Series A Warrants and 4,705,883 New Series B Warrants during the period from February 9, 2024 to February 23, 2024. As a result, the Company issued 14,117,649 shares of Class A Common Stock and received cash proceeds of approximately $38.8 million. The Company recorded a loss on issuance of securities of approximately $47.9 million as a result of these warrant exercises.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Warrants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January 2024 Bridge Loan Conversion discussed further in Note 7,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5 years, (the “Conversion Series A Warrant”)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18 months (the “Conversion Series B Warrant”), collectively (the “Conversion Warrants”). On May 31, 2024, the Guarantor assigned the Conversion Warrants to a third party investor in a private transaction. Pursuant to the assignment to a third party investor, the Conversion Warrants are no longer exercisable for Class C Common Stock. All other terms related to the Conversion Warrants remain the same as previously discussed. Pursuant to the guidance under ASC 480 “Distinguishing Liabilities from Equity,” the Company determined that the Conversion Warrants should be recorded as liabilities as of the issuance date and March 31, 2024 and subsequently determined that they meet the criteria in ASC 815, “Derivatives and Hedging”,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to be classified as a derivative liability as of May 31, 2024 and June 30, 2024, initially measured at fair value with changes in fair value recognized in earnings in other income (expense) on the consolidated statement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Conversion Series A Warrant and Conversion Series B Warrant had an initial fair value of $10.0 million and $5.5 million, respectively. The gross proceeds of $10.0 million from the Letter Agreement were allocated to the Conversion Warrants resulting in a loss on the transaction of approximately $5.5 million recognized as loss on issuance of securities in our condensed consolidated statement of operations. As of September 30, 2024, the fair value of the Conversion Series A Warrant and Conversion Series B Warrant increased to approximately $27.8 million and $22.0 million, respectively, resulting in a loss of approximately $34.3 million recognized as change in fair value of warrant liabilities in our condensed consolidated statement of operations.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the investor exercised 300,000 Conversion Series B Warrants resulting in the issuance of an equal number of shares of Class A Common Stock and cash proceeds to the Company of $0.8 million. The Company recorded a gain on issuance of securities of approximately $0.6 million as a result of these warrant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Unit Option Plan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25, 2021, the Intuitive Machines, LLC’s board of directors adopted, and its members approved the 2021 Unit Option Plan (the “2021 Plan”). The 2021 Plan allowed the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discussed in Note 1 and per the terms of the Second Amended and Restated Intuitive Machines, LLC Operating Agreement, the unexpired and 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Intuitive Machines, LLC was authorized to issue a total of 1,027,451 Class B Common Units upon exercise of the Incentive Unit Options under the 2021 Plan. The following table provides a summary of the option activity under the 2021 Plan for the nine months ended September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5020" w:type="dxa"/>
            <w:vAlign w:val="bottom"/>
          </w:tcPr>
          <w:p>
            <w:pPr>
              <w:spacing w:after="0"/>
              <w:rPr>
                <w:sz w:val="11"/>
                <w:szCs w:val="1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jc w:val="center"/>
              <w:ind w:left="36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268"/>
              <w:spacing w:after="0" w:line="13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60" w:type="dxa"/>
            <w:vAlign w:val="bottom"/>
          </w:tcPr>
          <w:p>
            <w:pPr>
              <w:jc w:val="center"/>
              <w:ind w:left="34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1"/>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(000’s)</w:t>
            </w:r>
          </w:p>
        </w:tc>
        <w:tc>
          <w:tcPr>
            <w:tcW w:w="0" w:type="dxa"/>
            <w:vAlign w:val="bottom"/>
          </w:tcPr>
          <w:p>
            <w:pPr>
              <w:spacing w:after="0"/>
              <w:rPr>
                <w:sz w:val="1"/>
                <w:szCs w:val="1"/>
                <w:color w:val="auto"/>
              </w:rPr>
            </w:pPr>
          </w:p>
        </w:tc>
      </w:tr>
      <w:tr>
        <w:trPr>
          <w:trHeight w:val="22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1,325,354</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1640" w:type="dxa"/>
            <w:vAlign w:val="bottom"/>
            <w:gridSpan w:val="3"/>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1,027,451</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4,857,144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579,903</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2,998,644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intrinsic value represents the difference between the exercise price of the options and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provides a summary of weighted-average grant-date fair value of unit options under the 2021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9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6"/>
        </w:trPr>
        <w:tc>
          <w:tcPr>
            <w:tcW w:w="9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6"/>
        </w:trPr>
        <w:tc>
          <w:tcPr>
            <w:tcW w:w="97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September 30,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related to options was $78 thousand and $298 thousand for the three and nine months ended September 30, 2024, respectively, and $173 thousand and $658 thousand for the three and nine months ended September 30, 2023, respectively, and was classified in the condensed consolidated statement of operations under general and administrative expense. As of September 30, 2024, the Company had $401 thousand in estimated unrecognized share-based compensation costs related to outstanding unit options that is expected to be recognized over a weighted average period of 2.72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consummation of the Business Combination, no new awards will be granted under the 2021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Intuitive Machines, Inc. 2023 Long Term Omnibus Incentive Plan (the “2023 Plan”)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maximum of 12,706,811 shares of Class A Common Stock are authorized to be issued. As of September 30, 2024, the Company has issued restricted stock units (“RSUs”) and performance stock units (“PSUs) as outlined in the following disclosures. No other awards have been granted under the 2023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and Performance Stock Units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2023 Plan, the Company grants RSUs with time-based vesting requirements which typically vest over one to four years and PSUs with target performance-based vesting requirements based on continuous service. The fair value of RSUs and PSUs are based on the Company’s closing stock price on the date of grant.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RSU and PSU activity: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96"/>
        </w:trPr>
        <w:tc>
          <w:tcPr>
            <w:tcW w:w="7280" w:type="dxa"/>
            <w:vAlign w:val="bottom"/>
          </w:tcPr>
          <w:p>
            <w:pPr>
              <w:spacing w:after="0"/>
              <w:rPr>
                <w:sz w:val="17"/>
                <w:szCs w:val="17"/>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Units</w:t>
            </w:r>
            <w:r>
              <w:rPr>
                <w:rFonts w:ascii="Times New Roman" w:cs="Times New Roman" w:eastAsia="Times New Roman" w:hAnsi="Times New Roman"/>
                <w:sz w:val="9"/>
                <w:szCs w:val="9"/>
                <w:b w:val="1"/>
                <w:bCs w:val="1"/>
                <w:color w:val="auto"/>
                <w:w w:val="98"/>
              </w:rPr>
              <w:t>(1)</w:t>
            </w:r>
          </w:p>
        </w:tc>
        <w:tc>
          <w:tcPr>
            <w:tcW w:w="380" w:type="dxa"/>
            <w:vAlign w:val="bottom"/>
          </w:tcPr>
          <w:p>
            <w:pPr>
              <w:spacing w:after="0"/>
              <w:rPr>
                <w:sz w:val="17"/>
                <w:szCs w:val="17"/>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1,826,946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3,561,963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(1,720,299)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7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3,251,206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23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40" w:hanging="332"/>
        <w:spacing w:after="0" w:line="280" w:lineRule="auto"/>
        <w:tabs>
          <w:tab w:leader="none" w:pos="46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 grants of 919,007 were included at the 100% attainment level which were based on several performance goals related to our mission which successfully completed in February 2024 of which all 919,007 PSU grants fully vested in April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Share-based compensation expense related to RSUs was $1.2 million and $3.7 million for the three and nine months ended September 30, 2024, respectively, and $1.4 million and $2.1 million for the three and nine months ended September 30, 2023. Share-based compensation expense related to PSUs was zero and $3.2 million for the three and nine months ended September 30, 2024, respectively. Share-based compensation expense for RSUs and PSUs are classified in the condensed consolidated statement of operations under general and administrative expense. As of September 30, 2024, the Company had $11.4 million in estimated unrecognized share-based compensation costs related to unvested RSUs that is expected to be recognized over a weighted average period of 2.88 years. As of April 2024, the PSUs were fully vested and hence the Company has no estimated unrecognized share-based compensation costs related to unvested PSUs.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 of assets and liabilities that are recorded in the Company’s condensed consolidated balance sheets as of September 30, 2024 and December 31, 2023 at fair value on a recurring basis.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4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Frequency of</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0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47,848</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47,848</w:t>
            </w: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Series B</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49,795</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49,795</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4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80" w:type="dxa"/>
            <w:vAlign w:val="bottom"/>
          </w:tcPr>
          <w:p>
            <w:pPr>
              <w:spacing w:after="0"/>
              <w:rPr>
                <w:sz w:val="11"/>
                <w:szCs w:val="11"/>
                <w:color w:val="auto"/>
              </w:rPr>
            </w:pPr>
          </w:p>
        </w:tc>
        <w:tc>
          <w:tcPr>
            <w:tcW w:w="14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Frequency of</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0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8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 - Series B</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Recurring</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56"/>
        </w:trPr>
        <w:tc>
          <w:tcPr>
            <w:tcW w:w="40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Level 3 liabilities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Earn-out liabilities</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 liabilities -</w:t>
            </w: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 liabilities -</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Warrant liabilities</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11,294</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32,089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36,641</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Converted to equity</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(30,229)</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6"/>
              </w:rPr>
              <w:t>49,795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Liabilities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earn-out liabilities as of September 30, 2024 was estimated using a Monte Carlo simulation approach that modeled the triggering events including the simulated stock price of the Company over the maturity dates. The</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assumptions utilized in estimating the fair value of the earn-out liabilities include: (i) Intuitive Machines stock price of $8.05; (ii) a dividend yield of 0.0%; (iii) a risk-free rate of 3.52%; and (iv) expected volatility of 85%.</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a result of the Business Combination, certain Intuitive Machines, LLC members received 10,000,000 earn out units of Intuitive Machines, LLC (“Earn Out Units”) subject to certain triggering events. Upon the vesting of any Earn Out Units, each of the certain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Under the earn out agreement, Earn Out Units of 2,500,000 vested for the year ended December 31, 2023. For the nine months ended September 30, 2024, there was no vesting of Earn Out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Warrants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Warrant Exercise Agreement on January 10, 2024 (as further described in Note 8 and discussed below), the terms of the Initial Warrants were modified, and the Initial Series B Warrant was exercised in full and converted to equity. The pre-modification fair value of the Initial Warrant liabilities was estimated using a Black-Scholes-Merton model. The significant assumptions utilized in estimating the pre-modification fair value of the Series A Warrant liabilities include: (i) a per share price of the Class A Common Stock of $2.83; (ii) a dividend yield of 0.0%; (iii) a risk-free rate of 3.99%; and (iv) expected volatility of 104%. The significant assumptions utilized in estimating the pre-modification fair value of the Series B Warrant liabilities include: (i) a per share price of the Class A Common Stock of $2.83; (ii) a dividend yield of 0.0%; (iii) a risk-free rate of 4.75%; and (iv) expected volatility of 85%.</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February 2024, the investor also fully exercised and converted to equity the Initial Series A Warrant. Refer to Note 8 for more information on the warrant exercises.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Warrants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Warrant Exercise Agreement on January 10, 2024 as described further in Note 8, the fair values of the New Series A Warrant and the New Series B Warrant liabilities were estimated at $10.8 million and $5.7 million, respectively, utilizing the Black-Scholes-Merton model. The significant assumptions utilized in estimating the fair value of the New Series A Warrant liabilities include: (i) a per share price of the Class A Common Stock of $2.83; (ii) a dividend yield of 0.0%; (iii) a risk-free rate of 4.00%; and (iv) expected volatility of 105%. The significant assumptions utilized in estimating the fair value of the New Series B Warrant liabilities include: (i) a per share price of the Class A Common Stock of $2.83; (ii) a dividend yield of 0.0%; (iii) a risk-free rate of 4.55%; and (iv) expected volatility of 83%.</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investor fully exercised and converted to equity the New Warrants. Refer to Note 8 for more information on the warrant exercises.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Warrants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Letter Agreement and the issuance of warrants on January 29, 2024 as described further in Notes 5 and 8, the fair values of the Conversion Series A Warrant and the Conversion Series B Warrant liabilities were estimated at $10.0 million and $5.5 million, respectively, utilizing the Black-Scholes-Merton model. The significant assumptions utilized in estimating the fair value of the Conversion Series A Warrant liabilities include: (i) a per share price of the Class A Common Stock of $3.05; (ii) a dividend yield of 0.0%; (iii) a risk-free rate of 3.97%; and (iv) expected volatility of 102%. The significant assumptions utilized in estimating the fair value of the Conversion Series B Warrant liabilities include: (i) a per share price of the Class A Common Stock of $3.05; (ii) a dividend yield of 0.0%; (iii) a risk-free rate of 4.53%; and (iv) expected volatility of 76%.</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Conversion Series A Warrant and the Conversion Series B Warrant liabilities as of September 30, 2024 was estimated using a Black-Scholes-Merton model. The significant assumptions utilized in estimating the fair value of the Conversion Series A Warrant liabilities include: (i) a per share price of the Class A Common Stock of $8.05; (ii) a dividend yield of 0.0%; (iii) a risk-free rate of 3.58%; and (iv) expected volatility of 87%. The significant assumptions utilized in estimating the fair value of the Conversion Series B Warrant liabilities include: (i) a per share price of the Class A Common Stock of $8.05; (ii) a dividend yield of 0.0%; (iii) a risk-free rate of 4.12%; and (iv) expected volatility of 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11 - NET INCOME (LOSS)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(loss) per share of Class A common stock is computed by dividing net income (loss) attributable to Class A common shareholders for the three and nine months ended September 30, 2024, the three months ended September 30, 2023, and the period from February 13, 2023, or the Closing Date, to September 30, 2023 by the weighted-average number of shares of Class A common stock outstanding for the same periods.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income per share of Class A common stock includes additional weighted average common shares that would have been outstanding if potential common shares with a dilutive effect had been issued using the if-converted method for the Series A Preferred Stock and the treasury method for our RSUs, PSUs, options, and warrants. During loss periods, diluted net loss per share for all periods presented is the same as basic net loss per share as the inclusion of the potentially issuable shares would be anti-dilutive.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the basic and diluted income (loss) per share of Class A Common Stock (in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(post Business Combination)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(80,411)</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(181,787)</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13,644</w:t>
            </w: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Less: Net loss attributable to redeemable noncontrolling interest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(39,691)</w:t>
            </w:r>
          </w:p>
        </w:tc>
        <w:tc>
          <w:tcPr>
            <w:tcW w:w="0" w:type="dxa"/>
            <w:vAlign w:val="bottom"/>
          </w:tcPr>
          <w:p>
            <w:pPr>
              <w:spacing w:after="0"/>
              <w:rPr>
                <w:sz w:val="1"/>
                <w:szCs w:val="1"/>
                <w:color w:val="auto"/>
              </w:rPr>
            </w:pPr>
          </w:p>
        </w:tc>
      </w:tr>
      <w:tr>
        <w:trPr>
          <w:trHeight w:val="226"/>
        </w:trPr>
        <w:tc>
          <w:tcPr>
            <w:tcW w:w="6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the Company</w:t>
            </w: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53,335</w:t>
            </w:r>
          </w:p>
        </w:tc>
        <w:tc>
          <w:tcPr>
            <w:tcW w:w="0" w:type="dxa"/>
            <w:vAlign w:val="bottom"/>
          </w:tcPr>
          <w:p>
            <w:pPr>
              <w:spacing w:after="0"/>
              <w:rPr>
                <w:sz w:val="1"/>
                <w:szCs w:val="1"/>
                <w:color w:val="auto"/>
              </w:rPr>
            </w:pPr>
          </w:p>
        </w:tc>
      </w:tr>
      <w:tr>
        <w:trPr>
          <w:trHeight w:val="226"/>
        </w:trPr>
        <w:tc>
          <w:tcPr>
            <w:tcW w:w="6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Less: Cumulative preferred dividends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0" w:type="dxa"/>
            <w:vAlign w:val="bottom"/>
          </w:tcPr>
          <w:p>
            <w:pPr>
              <w:spacing w:after="0"/>
              <w:rPr>
                <w:sz w:val="1"/>
                <w:szCs w:val="1"/>
                <w:color w:val="auto"/>
              </w:rPr>
            </w:pPr>
          </w:p>
        </w:tc>
      </w:tr>
      <w:tr>
        <w:trPr>
          <w:trHeight w:val="25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Class A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weighted-average shares of Class A common stock outstanding</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67,072,014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17,411,217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52,971,882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16,294,029</w:t>
            </w:r>
          </w:p>
        </w:tc>
        <w:tc>
          <w:tcPr>
            <w:tcW w:w="0" w:type="dxa"/>
            <w:vAlign w:val="bottom"/>
          </w:tcPr>
          <w:p>
            <w:pPr>
              <w:spacing w:after="0"/>
              <w:rPr>
                <w:sz w:val="1"/>
                <w:szCs w:val="1"/>
                <w:color w:val="auto"/>
              </w:rPr>
            </w:pPr>
          </w:p>
        </w:tc>
      </w:tr>
      <w:tr>
        <w:trPr>
          <w:trHeight w:val="226"/>
        </w:trPr>
        <w:tc>
          <w:tcPr>
            <w:tcW w:w="6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RSUs and Options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1,342,694</w:t>
            </w:r>
          </w:p>
        </w:tc>
        <w:tc>
          <w:tcPr>
            <w:tcW w:w="0" w:type="dxa"/>
            <w:vAlign w:val="bottom"/>
          </w:tcPr>
          <w:p>
            <w:pPr>
              <w:spacing w:after="0"/>
              <w:rPr>
                <w:sz w:val="1"/>
                <w:szCs w:val="1"/>
                <w:color w:val="auto"/>
              </w:rPr>
            </w:pPr>
          </w:p>
        </w:tc>
      </w:tr>
      <w:tr>
        <w:trPr>
          <w:trHeight w:val="23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Series A Preferred Stock</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5,230,304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3,215,161</w:t>
            </w:r>
          </w:p>
        </w:tc>
        <w:tc>
          <w:tcPr>
            <w:tcW w:w="0" w:type="dxa"/>
            <w:vAlign w:val="bottom"/>
          </w:tcPr>
          <w:p>
            <w:pPr>
              <w:spacing w:after="0"/>
              <w:rPr>
                <w:sz w:val="1"/>
                <w:szCs w:val="1"/>
                <w:color w:val="auto"/>
              </w:rPr>
            </w:pPr>
          </w:p>
        </w:tc>
      </w:tr>
      <w:tr>
        <w:trPr>
          <w:trHeight w:val="226"/>
        </w:trPr>
        <w:tc>
          <w:tcPr>
            <w:tcW w:w="6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4,112,524</w:t>
            </w:r>
          </w:p>
        </w:tc>
        <w:tc>
          <w:tcPr>
            <w:tcW w:w="0" w:type="dxa"/>
            <w:vAlign w:val="bottom"/>
          </w:tcPr>
          <w:p>
            <w:pPr>
              <w:spacing w:after="0"/>
              <w:rPr>
                <w:sz w:val="1"/>
                <w:szCs w:val="1"/>
                <w:color w:val="auto"/>
              </w:rPr>
            </w:pPr>
          </w:p>
        </w:tc>
      </w:tr>
      <w:tr>
        <w:trPr>
          <w:trHeight w:val="252"/>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weighted-average shares of Class A common stock outstanding</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67,072,014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52,971,882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24,964,408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share of Class A common stock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share of Class A common stock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as of the end of the periods, excluded from the computation of diluted net income (loss) per share of Class A Common Stock as their effect would be anti-dilutive, their exercise price was out-of-the-money, or because of unsatisfied contingent issuance conditions.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0" w:type="dxa"/>
            <w:vAlign w:val="bottom"/>
            <w:gridSpan w:val="3"/>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RSUs</w:t>
            </w:r>
            <w:r>
              <w:rPr>
                <w:rFonts w:ascii="Times New Roman" w:cs="Times New Roman" w:eastAsia="Times New Roman" w:hAnsi="Times New Roman"/>
                <w:sz w:val="22"/>
                <w:szCs w:val="22"/>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3,251,206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3,251,206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516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Options</w:t>
            </w:r>
            <w:r>
              <w:rPr>
                <w:rFonts w:ascii="Times New Roman" w:cs="Times New Roman" w:eastAsia="Times New Roman" w:hAnsi="Times New Roman"/>
                <w:sz w:val="22"/>
                <w:szCs w:val="22"/>
                <w:color w:val="auto"/>
                <w:vertAlign w:val="superscript"/>
              </w:rPr>
              <w:t>(1)(4)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1,027,451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305,932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1,027,451</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305,932</w:t>
            </w:r>
          </w:p>
        </w:tc>
      </w:tr>
      <w:tr>
        <w:trPr>
          <w:trHeight w:val="230"/>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Series A Preferred Stock</w:t>
            </w:r>
            <w:r>
              <w:rPr>
                <w:rFonts w:ascii="Times New Roman" w:cs="Times New Roman" w:eastAsia="Times New Roman" w:hAnsi="Times New Roman"/>
                <w:sz w:val="22"/>
                <w:szCs w:val="22"/>
                <w:color w:val="auto"/>
                <w:vertAlign w:val="superscript"/>
              </w:rPr>
              <w:t>(2)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1,916,965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1,869,956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5160" w:type="dxa"/>
            <w:vAlign w:val="bottom"/>
          </w:tcPr>
          <w:p>
            <w:pPr>
              <w:ind w:left="20"/>
              <w:spacing w:after="0" w:line="229" w:lineRule="exact"/>
              <w:rPr>
                <w:sz w:val="20"/>
                <w:szCs w:val="20"/>
                <w:color w:val="auto"/>
              </w:rPr>
            </w:pPr>
            <w:r>
              <w:rPr>
                <w:rFonts w:ascii="Times New Roman" w:cs="Times New Roman" w:eastAsia="Times New Roman" w:hAnsi="Times New Roman"/>
                <w:sz w:val="17"/>
                <w:szCs w:val="17"/>
                <w:color w:val="auto"/>
              </w:rPr>
              <w:t>Warrants</w:t>
            </w:r>
            <w:r>
              <w:rPr>
                <w:rFonts w:ascii="Times New Roman" w:cs="Times New Roman" w:eastAsia="Times New Roman" w:hAnsi="Times New Roman"/>
                <w:sz w:val="22"/>
                <w:szCs w:val="22"/>
                <w:color w:val="auto"/>
                <w:vertAlign w:val="superscript"/>
              </w:rPr>
              <w:t>(1)(4)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30,638,374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22,636,916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30,638,374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22,636,916</w:t>
            </w: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7"/>
                <w:szCs w:val="17"/>
                <w:color w:val="auto"/>
              </w:rPr>
              <w:t>Earn Out Units</w:t>
            </w:r>
            <w:r>
              <w:rPr>
                <w:rFonts w:ascii="Times New Roman" w:cs="Times New Roman" w:eastAsia="Times New Roman" w:hAnsi="Times New Roman"/>
                <w:sz w:val="22"/>
                <w:szCs w:val="22"/>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8" w:lineRule="exact"/>
        <w:rPr>
          <w:sz w:val="20"/>
          <w:szCs w:val="20"/>
          <w:color w:val="auto"/>
        </w:rPr>
      </w:pPr>
    </w:p>
    <w:p>
      <w:pPr>
        <w:ind w:left="500" w:hanging="330"/>
        <w:spacing w:after="0" w:line="281" w:lineRule="auto"/>
        <w:tabs>
          <w:tab w:leader="none" w:pos="511"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number of instruments outstanding at the end of the period that were evaluated under the treasury stock method for potentially dilutive effects and were determined to be anti-dilutive.</w:t>
      </w:r>
    </w:p>
    <w:p>
      <w:pPr>
        <w:spacing w:after="0" w:line="1" w:lineRule="exact"/>
        <w:rPr>
          <w:rFonts w:ascii="Times New Roman" w:cs="Times New Roman" w:eastAsia="Times New Roman" w:hAnsi="Times New Roman"/>
          <w:sz w:val="15"/>
          <w:szCs w:val="15"/>
          <w:color w:val="auto"/>
        </w:rPr>
      </w:pPr>
    </w:p>
    <w:p>
      <w:pPr>
        <w:ind w:left="500" w:hanging="330"/>
        <w:spacing w:after="0" w:line="281" w:lineRule="auto"/>
        <w:tabs>
          <w:tab w:leader="none" w:pos="515"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number of instruments outstanding as converted at the end of the period that were evaluated under the if-converted method for potentially dilutive effects and were determined to be anti-dilutive.</w:t>
      </w:r>
    </w:p>
    <w:p>
      <w:pPr>
        <w:spacing w:after="0" w:line="1" w:lineRule="exact"/>
        <w:rPr>
          <w:rFonts w:ascii="Times New Roman" w:cs="Times New Roman" w:eastAsia="Times New Roman" w:hAnsi="Times New Roman"/>
          <w:sz w:val="15"/>
          <w:szCs w:val="15"/>
          <w:color w:val="auto"/>
        </w:rPr>
      </w:pPr>
    </w:p>
    <w:p>
      <w:pPr>
        <w:ind w:left="500" w:hanging="330"/>
        <w:spacing w:after="0"/>
        <w:tabs>
          <w:tab w:leader="none" w:pos="5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number of Earn Out Units outstanding at the end of the period that were excluded due to unsatisfied contingent issuance conditions.</w:t>
      </w:r>
    </w:p>
    <w:p>
      <w:pPr>
        <w:spacing w:after="0" w:line="43" w:lineRule="exact"/>
        <w:rPr>
          <w:rFonts w:ascii="Times New Roman" w:cs="Times New Roman" w:eastAsia="Times New Roman" w:hAnsi="Times New Roman"/>
          <w:sz w:val="15"/>
          <w:szCs w:val="15"/>
          <w:color w:val="auto"/>
        </w:rPr>
      </w:pPr>
    </w:p>
    <w:p>
      <w:pPr>
        <w:jc w:val="both"/>
        <w:ind w:left="500" w:hanging="330"/>
        <w:spacing w:after="0" w:line="271" w:lineRule="auto"/>
        <w:tabs>
          <w:tab w:leader="none" w:pos="512"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Options and warrants with exercises prices greater than the average market price of our Class A common stock are excluded from the computation of diluted net income (loss) per share because they are out-of-the-money. The out-of-the-money instruments were as follows: options of 250,308 for the three and nine months ended September 30, 2024, and 305,932 for the three and nine months ended September 30, 2023, and warrants of 22,636,814 for the three and nine months ended September 30, 2024 and 2023.</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The Company applies accounting for contingencies to determine when and how much to accrue for and disclose related to legal and other contingencies. Accordingly, the Company discloses contingencies deemed to be reasonably possible and accrues loss contingencies when, in consultation with legal advisors, it is concluded that a loss is probable and reasonably estimable. While the resolution of these legal proceedings and claims cannot be predicted with certainty, management believes the outcome of such matters will not have a material adverse effect on our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time-to-time, we enter into long-term commitments with vendors to purchase launch services and for the development of certain components in conjunction with our obligations under revenue contracts with our customers. As of September 30, 2024, we had remaining purchase obligations under non-cancelable commitments with nine vendors totaling $23.8 million of which $19.0 million is due within the next twelve months and the remaining $4.8 million is due in the subsequent twelve-month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Intuitive Machines, IX LLC and Space Network Solutions, LLC have entered into recurring transaction agreements with certain related parties, including sales agreements and loan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Axiom Space, Inc.</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recognized revenue from Axiom Space, Inc. (“Axiom”) related to space infrastructure development activities of zero and $50 thousand for the three and nine months ended September 30, 2024, and $29 thousand and $153 thousand for the three and nine months ended September 30, 2023. As of September 30, 2024 and December 31, 2023, there was no affiliate accounts receivable related to Axiom. Kamal Ghaffarian, the Chairman of the Board and one of the co-founders of Intuitive Machines, LLC is a co-founder and Executive Chairman of Axiom. Revenue related to Axiom are incurred in the normal course of business and amounts are settled under normal business terms.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IBX, LLC and PTX, LLC</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incurred expenses with IBX, LLC and PTX, LLC (“IBX/PTX”) of $30 thousand and $205 thousand for the three months ended September 30, 2024 and 2023, respectively and $54 thousand and $1.7 million, for the nine months ended September 30, 2024 and 2023, respectively. As of September 30, 2024 and December 31, 2023, there were $55 thousand and $2.7 million, respectively, of affiliate accounts payable related to IBX expenses. IBX/PTX is an innovation and investment firm committed to advancing the state of humanity and human knowledge. We rely on IBX/PTX for the provision of management and professional services in the day-to-day operation of our business. These expenses include, among others, fees for the provision of administrative, accounting and legal services. As such, expenses incurred in relation to IBX/PTX are incurred in the normal course of business and amounts are settled under normal business terms. Kamal Ghaffarian, the Chairman of the Board and one of the co-founders of Intuitive Machines, is a co-founder and current member of management of IBX/PTX.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KBR, Inc.</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12, 2020, KBR, Inc. (“KBR”), a U.S.-based firm operating in the science, technology and engineering industries, made an initial investment in one of our operating subsidiaries, Space Network Solutions, LLC (“SNS”) resulting in a 10% ownership by KBR of Space Network Solutions as of the date of such investment. As of September 30, 2024, KBR held approximately 10% of the equity of Space Network Solutions. The Company recognized affiliate revenue from KBR related to engineering services of $0.2 million and $0.9 million for the three months ended September 30, 2024 and 2023, respectively, and $1.5 million and $2.3 million for the nine months ended September 30, 2024 and 2023, respectively. As of September 30, 2024 and December 31, 2023, there was $0.4 million and $0.5 million, respectively, of affiliate accounts receivable related to KBR revenue.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SNS incurred cost of revenue with KBR related to the OMES III contract of $8.5 million and $27.1 million for three and nine months ended September 30, 2024, respectively. As of September 30, 2024 and December 31, 2023, there was $5.9 million and $2.9 million, respectively, of affiliate accounts payable related to cost of revenue with KBR. See Note 14 for more information on the OMES III contract with KBR.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expenses related to KBR are incurred in the normal course of business and amounts are settled under normal business terms.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ASES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recognized revenue from ASES related to engineering services of $85 thousand and $305 thousand for the three months ended September 30, 2024 and 2023, respectively, and $496 thousand and $803 thousand for the nine months ended September 30, 2024 and 2023, respectively. As of September 30, 2024 and December 31, 2023, there was $47 thousand and $115 thousand of affiliate accounts receivable related to ASES revenue. ASES is a joint venture between Aerodyne Industries, LLC and KBR. Kamal Ghaffarian, the Chairman of the Board and one of the co-founders of Intuitive Machines, LLC is a current member of management of Aerodyne Industries, LLC. Revenue related to ASES are incurred in the normal course of business and amounts are settled under normal business terms.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X-energy, LLC</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incurred expenses with X-energy, LLC (“X-energy”) of $58 thousand and $333 thousand for the three and nine months ended September 30, 2024, respectively, and zero for the three and nine months ended September 30, 2023. As of September 30, 2024 and December 31, 2023, there was no affiliate accounts payable related to X-energy expenses. Expenses related to X-energy are incurred in the normal course of business and amounts are settled under normal business terms. Kamal Ghaffarian, the Chairman of the Board and one of the co-founders of Intuitive Machines, LLC is the Executive Chairman of X-Energy Reactor Company, LLC, which is the parent company of X-Energy.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VARIABLE INTEREST ENTITIES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Space Network Solutions, LLC</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 As of September 30, 2024, SNS LLC had total assets of $27.0 million and total liabilities of $22.8 million. As of December 31, 2023, SNS LLC had total assets of $13.7 million and total liabilities of $12.0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IX, LLC Joint Venture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participates in the IX, LLC joint venture (“IX LLC JV”) with X-energy, a nuclear reactor and fuel design engineering company, developing high-temperature gas cooled nuclear reactors and fuel to power them. We hold a 51% interest in the IX LLC JV and X-energy holds a 49% interest. Kamal Ghaffarian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IX LLC JV was formed to pursue nuclear space propulsion and surface power systems in support of future space exploration goals. In the third quarter of 2022, the IX LLC JV received an award from Battelle Energy Alliance to design a fission surface power system that can operate on the surface of the Moon to support sustained lunar presence and exploration of Mars. As of September 30, 2024 and December 31, 2023, the IX LLC JV had no assets and no liabilities, associated with project execution activities subcontracted to the IX LLC JV partners and other third parties.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consolidated financial statements and related notes thereto included elsewhere in this Quarterly Report, as well as our audited consolidated financial statements as of and for the years ended December 31, 2023 and 2022 which was filed with the Securities and Exchange Commission (the “SEC”) on March 25, 2024. Certain of the information contained in this discussion and analysis or set forth elsewhere in this Quarterly Report, includes forward-looking statements that involve risks and uncertainties. As a result of many factors, including those factors set forth in the sections titled “Cautionary Note Regarding Forward-Looking Statements “and Part II. Item 1A. “Risk Factors” included in this Quarterly Report and in the section titled Part I. Item 1A. “Risk Factors” in our 2023 Annual Report on Form 10-K filed with the SEC on March 25, 2024, our actual results could differ materially from the results described in or implied by the forward-looking statements contained in the following discussion and analysis.</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the “Company,” “IM,” “Intuitive Machines,” “we,” “us,”, or “our” refer to Intuitive Machines,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a space infrastructure and services company founded in 2013 that is contributing to the establishment of lunar infrastructure and commerce on the Moon. We believe we have a leading position in the development of lunar space operating in four business lines described further below. We are initially focused on establishing the lunar infrastructure and basis for commerce to inform and sustain human presence off Earth. We believe our business is well positioned for continued growth and expansion:</w:t>
      </w:r>
    </w:p>
    <w:p>
      <w:pPr>
        <w:spacing w:after="0" w:line="208" w:lineRule="exact"/>
        <w:rPr>
          <w:sz w:val="20"/>
          <w:szCs w:val="20"/>
          <w:color w:val="auto"/>
        </w:rPr>
      </w:pPr>
    </w:p>
    <w:p>
      <w:pPr>
        <w:ind w:left="820" w:hanging="407"/>
        <w:spacing w:after="0" w:line="266"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Now:</w:t>
      </w:r>
      <w:r>
        <w:rPr>
          <w:rFonts w:ascii="Times New Roman" w:cs="Times New Roman" w:eastAsia="Times New Roman" w:hAnsi="Times New Roman"/>
          <w:sz w:val="18"/>
          <w:szCs w:val="18"/>
          <w:color w:val="auto"/>
        </w:rPr>
        <w:t xml:space="preserve"> Servicing the National Aeronautics and Space Administration (“NASA”) and a worldwide set of commercial payload customers, working to provide access to the lunar surface, cislunar space and data transmission for science, technology, and infrastructure.</w:t>
      </w:r>
    </w:p>
    <w:p>
      <w:pPr>
        <w:spacing w:after="0" w:line="189" w:lineRule="exact"/>
        <w:rPr>
          <w:rFonts w:ascii="Times New Roman" w:cs="Times New Roman" w:eastAsia="Times New Roman" w:hAnsi="Times New Roman"/>
          <w:sz w:val="18"/>
          <w:szCs w:val="18"/>
          <w:color w:val="auto"/>
        </w:rPr>
      </w:pPr>
    </w:p>
    <w:p>
      <w:pPr>
        <w:ind w:left="820" w:right="20" w:hanging="407"/>
        <w:spacing w:after="0" w:line="250"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Tomorrow:</w:t>
      </w:r>
      <w:r>
        <w:rPr>
          <w:rFonts w:ascii="Times New Roman" w:cs="Times New Roman" w:eastAsia="Times New Roman" w:hAnsi="Times New Roman"/>
          <w:sz w:val="18"/>
          <w:szCs w:val="18"/>
          <w:color w:val="auto"/>
        </w:rPr>
        <w:t xml:space="preserve"> Working to provide a thriving, diverse lunar economy, creating new opportunities and markets to enable on-orbit applications, a permanent presence on the Moon, and expand the commercial space exploration marketplace.</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currently working to provide access to the lunar surface and collect and transmit cislunar data for science, technology, and infrastructure. We are one of a select few companies servicing NASA and a worldwide set of commercial payload customers. We believe we have a strong position with a first mover advantage, as evidenced by three remaining Commercial Lunar Payload Services (“CLPS”) awards as of September 30, 2024. On February 22, 2024, Intuitive Machines’ Nova-C lander became the first U.S. vehicle to softly land on the lunar surface since 1972 and landed the vehicle further south than any vehicle in the world has ever soft-landed on the Moon. We believe this February landing validates our ability to provide the three service pillars required to commercialize a celestial body: delivery, data &amp; communications, and autonomous operations in space. Our Nova-C lander on the IM-1 mission carried approximately 100 kilograms of payloads and executed numerous experiments and technology demonstrations at the lunar surface near the south pole. Our goal is to follow the successful IM-1 mission with IM-2, which will continue to execute experiments and technology demonstrations at the lunar south pole, and IM-3, our third CLPS award, which will land at Reiner Gamma. In August 2024, NASA awarded the Company our fourth CLPS contract, IM-4, to deliver six science and technology payloads, including one European Space Agency-led drill suite to the lunar south pole. These missions, along with additional expeditions, are in partnership with NASA, Nokia Corporation, Columbia Sportswear Company, Aegis Aerospace, Inc. and other commercial players. Intuitive Machines empowers its customers to achieve their ambitious visions and commercial goals in space through seamless collaboration with our robust service pillars.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U.S. Space Forces’ (the “Space Force”) requirement to ensure freedom of action in space is driving their initial focus on cislunar Space Domain Awareness sensors and xGEO Position Navigation and Timing solutions as a result of the ongoing efforts by the United States and the People’s Republic of China (“China”) to return to the lunar surface in a sustainable manner. We believe the U.S. Department of Defense funding for cislunar activities will drive the Space Force to rely on purchasing cislunar commercial services for the next five plus years, as opposed to acquiring and operating new government systems. This funding provides an opportunity for companies such as Intuitive Machines to sell Space Domain Awareness, Position Navigation and Timing, and secure communications to the Space Force, especially given that the commercial sector will be the driving force in providing cislunar products and services due to the capital that is flowing to new space entrants. This, along with other domestic and foreign allied policies, enhances our belief in the growing space economy and why we are well-positioned.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primarily generate revenue through our contracts with customers of our orbital and lunar access services and by collecting and transmitting cislunar data for science, technology and infrastructure in our Space Products and Infrastructure services. We are a provider and supplier of space products and services that we believe will enable sustained robotic and human exploration to the Moon, Mars, and beyond.</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employ a “land-and-expand” go-to-market strategy with the goal to deliver increasing value and repetitive revenue with each customer over time by expanding the scope of the services we offer. We work closely with our customers and partners to enable their early success. We expect that deeper adoption of our products and services from our customers will come in many forms, including increased reliance on our technology as a core part of a mission, increased usage of our landers for lunar transportation and exploration, and greater dependence on our advanced software analytics capabilities for satisfying each customers’ needs.</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operate under three service pillars which we believe are required to commercialize a celestial body: delivery services, data transmission &amp; analytic services, and infrastructure-as-a service. These pillars are the backdrop to our four business units: Lunar Access Services, Orbital Services, Lunar Data Services and Space Products and Infrastructure. Under Accounting Standards Codification (“ASC”) 280 “Segment Reporting,” we concluded that our business units operate as one reportable segment. See our Segment Reporting disclosure under Note 2 in our condensed consolidated financial statements for further discussion on our reportable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Lunar Access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Lunar Access Services business provides reliable and affordable means for governments, companies and individuals to explore and place objects in cislunar space or on the lunar surface. We have developed a complete lunar program that includes mission control, the Nova-C lander, a space-to-ground communications network, and a series of launch vehicle contracts with SpaceX. As of September 30, 2024, we had three remaining missions (including the recently awarded CLPS contract, IM-4, from NASA) on the flight manifest, with plans to increase the frequency and complexity of the missions over time. On February 22, 2024, our Nova-C lander on the IM-1 mission became the first U.S. vehicle to softly land on the lunar surface since 1972 and landed the vehicle further south than any vehicle in the world has ever soft-landed on the Moon.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focused on using our proprietary lunar lander vehicles to execute CLPS contracts for NASA to fly scientific equipment to the lunar surface and support experiments. We also have a robust and growing set of commercial customers pursuing R&amp;D and technology maturation efforts aimed at capturing the growing cislunar economy. This service includes softly landing on the lunar surface while carrying significant payloads, shuttling numerous technology demonstrations to the lunar surface, deploying the first drill to test for water ice on the Moon and deploying drones to test Long Term Evolution networks.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Orbital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Orbital Services provides in-space orbital services for both commercial and government organizations. These services include repair, refueling, and raising the orbits of existing satellites. We seek to leverage our domain expertise and space products, such as optical navigation, rendezvous and proximity operations, robotic mechanisms for satellite delivery, debris removal and Space Domain Awareness in orbits from low Earth orbit out to cislunar space. We also serve as the prime contractor and partner on NASA center support contracts, such as the recently awarded OMES III and JETSON Low Power contracts, that expand our relationship with NASA and emphasize our capabilities in key technology focus areas.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Lunar Data Services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Lunar Data Services business will establish a private and secure network called the Lunar Data Network (the “LDN”) that sends and receives secure communications, navigation and imagery to and from the Moon. The LDN is designed to support line-of-sight and data relay services for spacecraft in cislunar space and systems anywhere on the lunar surface. We intend to evolve the network to provide backup services to NASA and the U.S. Space Force. The LDN is currently comprised of a mission control center, strategically positioned global ground stations, and base-band units installed at each ground station.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launch of future lander missions and with the award of NASA’s Near Space Network (“NSN”) contract in 2024, the LDN will be further enhanced with the deployment of our lunar relay satellites and provide communication and navigation services. We believe providing these lunar data services to NASA and the Space Force will be an increasingly important priority given China’s recent declaration that it intends to build its own lunar satellite network and manned lunar habitat.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Space Products and Infrastructure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Space Products and Infrastructure business offers reliable and cost-effective space products to its customers with offerings that include propulsion systems, navigation systems, lunar mobility, power infrastructure and human habitation systems. We also provide highly specialized aerospace engineering services for complex space systems development to NASA and the aerospace industry across the United States.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extensive additive manufacturing capabilities, including an in-house composites shop and robust machine shop, we believe we have the capabilities and expertise required to rapidly manufacture on-demand prototypes, development parts, flight units, and spares with a focus on producing small series and high-quality serial productions of metal components utilizing additive manufacturing. Additionally, we believe this business allows us to expand into prime positions on payload contracts with NASA and other customers.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Contract Awards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September 2024, NASA awarded the Company a NSN contract for communication and navigation services for missions in the near space region, which extends from Earth’s surface to beyond the Moon. This NSN contract is a new Firm-Fixed-Price, Multiple Award, Indefinite-Delivery/Indefinite-Quantity (“IDIQ”) Task Order Contract, with a base period of five years with an additional five-year option, with a maximum potential value of $4.82 billion. The initial NSN contract award includes incrementally funded Task Orders totaling $150.0 million.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August 2024, NASA awarded the Company a $116.9 million contract to deliver six science and technology payloads, including one European Space Agency-led drill suite to the Moon’s South Pole. This award will leverage the Company’s lunar delivery, data transmission, and autonomous operation capabilities to explore the region targeted for sustained human operations. As part of NASA’s CLPS initiative, this marks the Company’s fourth contract award, IM-4, to deliver science and technology payloads and return valuable data while autonomously operating on the surface of the Moon.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future success and financial performance depend on several factors that present significant opportunities for our business, but also pose risks and challenges, including those discussed below and in the section titled Part I., Item 1A. “Risk Factors” in the 2023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Macroeconomic Pressures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combination with the economic recovery from the COVID-19 pandemic and repercussions from geopolitical events, 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economic conditions and the impact of macroeconomic pressures, including repercussions from the recent banking crisis, rising interest rates, sustained inflation and recession fears, supply chain disruptions, monetary and fiscal policy measures (including future actions or inactions of the United States government related to the “debt-ceiling”), heightened geopolitical tensions (such as the war in Ukraine and Israel), changes to the U.S. federal budget, and the political and regulatory environment on our business, customers, suppliers and other third parties (including the implications from the upcoming presidential election in the United States).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rising costs and other inflationary pressures have not had a material impact on our business to date, we are monitoring the situation and assessing its impact on our business, including to our partners and customers.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spaceflight mission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will depend in large part on our ability to expand our lunar mission operations in 2024 and beyond. We completed our first mission in February 2024 and we are on track to complete the three additional funded missions with a goal of establishing a regular cadence of multiple missions per year of increasing size and complexity. This will provide our customers with proven and reliable cislunar access, with which to plan their future manifest. With binding agreements for three additional launches as of September 30, 2024, we have $316.2 million in backlog, and we are in active discussions with numerous potential customers, including government agencies and private companies, to potentially add to our contracted revenue.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commencing missions, we must complete internal integration activities as well as launch vehicle integration with our launch provider, SpaceX. Any delays in our launch date or in otherwise commencing our missions, including due to congestion at the pad launch site or delays in obtaining various approvals or licenses, could adversely impact our results and growth plans. As we improve production efficiency and schedule reliability and reach our target of multiple missions per year manifested 2-3 years in advance, we expect to improve our market penetration, which we believe will lead to higher revenue from both volume and mission complexity as well as increased operating leverage.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and services offerings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preliminary stages of developing our full space infrastructure.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and payload development and manufacture.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make significant investments in our lunar and data programs in the short term. Although we believe that our financial resources,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improve profit margins and scale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continue to capitalize on government expenditures and private enterprise investment in the space economy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growth is largely dependent on our ability to continue to capitalize on increased government spending and private investment in the space economy. From 2019 to 2024, the U.S. federal government increased its space exploration and development budget for NASA by approximately 15.8%, or $3.4 billion. U.S. federal government expenditures and private enterprise investment have fueled our growth in recent years, and it has resulted in our continued ability to secure increasingly valuable contracts for products and services in 2024. An increased focus on U.S. federal government spending could unfavorably impact the space exploration sector in the future. If our existing programs and project pursuits are not focused on the federal government’s higher priorities, our business, prospects, financial condition and operating results could be adversely affected. However, we expect U.S. federal government expenditures and private investment in the space economy will continue to result in increased purchases of our products and services.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continue to innovate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design, build, and test our landers,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and other space systems. Over time, we expect our research and development expenditures to continue to grow on an absolute basis, but remain consistent or decrease as a percent of our total revenue as we expand our service offerings.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most of our revenue has been derived from fixed-price,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IM-2, IM-3, IM-4) for management purposes. Revenue is measured based on the amount of consideration specified in a contract with the customer.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(approximately 10% of the contract price) contains variable considerations which is constrained to nil for accounting purposes as it is dependent on a successful mission landing. This may cause fluctuations in future revenue, profits and cash flows.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late 2023, we have been performing a more significant amount of work on cost-reimbursable contracts such as OMES III. Under cost-reimbursable contracts, the price is generally variable based upon our actual allowable costs incurred for materials, equipment, reimbursable labor hours, overhead and G&amp;A expenses. Profit on cost-reimbursable contracts may be in the form of a fixed fee or a mark-up applied to costs incurred, or a combination of the two. The fee may also be an incentive fee based on performance indicators, milestones or targets and can be based on customer discretion or in the form of an award fee determined based on customer evaluation of the Company's performance against contractual criteria. Cost-reimbursable contracts are generally less risky because the owner/customer retains many of the project risks, however it generally requires us to use our best efforts to accomplish the scope of the work within a specified time and budget.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Cost-reimbursable contracts with the U.S. government are generally subject to the Federal Acquisition Regulation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(excluding depreciation)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consists primarily of direct material and labor costs, launch costs, manufacturing overhead, other personnel-related expenses, which include salaries, bonuses, benefits and stock-based compensation expense and freight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consists of the depreciation of tangible fixed assets for the relevant period based on the straight-line method over the useful life of the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Tangible fixed assets include property and equipment.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and equipment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of long-lived assets occurs whenever events or changes in circumstances indicate the carrying value of a long-lived asset may not be recoverable. Long-lived assets consists of property and equipment, net. An impairment loss is recognized if the carrying amount of a long-lived asset is not recoverable and exceeds it fair value. See Note 4 of the condensed consolidated financial statements for additional information on the impairment of property and equipment recognized during the third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 (excluding depreciation)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(excluding depreciation)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income earned on cash and cash equivalents and short-term investment balances held by us in interest bearing time deposit accounts. Interest expense is incurred on long-term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earn-out liabilities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 10 of the condensed consolidated financial statements for additional information on the earn-out liabilities.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connection with the Private Placement, Warrant Exercise Agreement, and the Bridge Loan Conversion, the Company has issued warrants which are classified as liabilities on our balance sheet. At each period end, the warrants are remeasured to their fair value with the changes during the period recognized in other income (expense) on our condensed consolidated statement of operations. See Notes 8 and 10 of the condensed consolidated financial statements for additional information on the warrant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issuance of securities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Private Placement, Warrant Exercise Agreement, and the Bridge Loan Conversion, the Company has discussed in Notes 8 and 10 to the condensed consolidated financial statements, the Company issued warrants and recognized a loss on the issuance as the fair value of the securities exceeded the gross proceeds at the issuance date. The Company evaluated the terms of the warrants and determined they meet the criteria in ASC 815, “Derivatives and Hedging”, to be classified as a derivative liability, initially measured at fair value. The subsequent changes in fair value are recognized in earnings in other income (expense) on the condensed consolidated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primarily consists of immaterial miscellaneous income sources.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redeemable noncontrolling interest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Redeemable noncontrolling interests represents the portion of Intuitive Machines, LLC that the Company controls and consolidates but does not own. The noncontrolling interests was created as a result of the Business Combination and represents 68,150,754 Class A and Class B units issued by Intuitive Machines, LLC to the prior investors represents approximately 81.2% of the ownership interests in the Company at the Closing Date. The Company allocates net income or loss attributable to the noncontrolling interests based on the weighted average ownership interests during the period. The net income or loss attributable to noncontrolling interests is reflected in the condensed consolidated statement of operations.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results of Intuitive Machines, LLC were consolidated into Intuitive Machines, Inc. for the periods February 13, 2023 forward and resulted in the allocation of approximately 42.9% of Intuitive Machines, LLC’s net loss to noncontrolling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Machines and KBR entered into a joint venture agreement (the “OMES III JV Agreement”) within Space Network Solutions to execute the OMES</w:t>
      </w:r>
    </w:p>
    <w:p>
      <w:pPr>
        <w:spacing w:after="0" w:line="27" w:lineRule="exact"/>
        <w:rPr>
          <w:sz w:val="20"/>
          <w:szCs w:val="20"/>
          <w:color w:val="auto"/>
        </w:rPr>
      </w:pPr>
    </w:p>
    <w:p>
      <w:pPr>
        <w:ind w:firstLine="8"/>
        <w:spacing w:after="0" w:line="260" w:lineRule="auto"/>
        <w:tabs>
          <w:tab w:leader="none" w:pos="2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 profits interest of 47% for Intuitive Machines and 53% for KBR, which represents the noncontrolling interest. We have determined that the OMES III JV Agreement represents a silo within Space Network Solutions and is a standalone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period-period comparison of financial results is not necessarily indicative of future results.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 for the three months ended September 30, 2024 compared to the three months ended September 30, 2023, and for the nine months ended September 30, 2024 compared to the nine months ended September 30, 2023.</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7"/>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03"/>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58,478</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45,747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173,338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124,378</w:t>
            </w:r>
          </w:p>
        </w:tc>
      </w:tr>
      <w:tr>
        <w:trPr>
          <w:trHeight w:val="202"/>
        </w:trPr>
        <w:tc>
          <w:tcPr>
            <w:tcW w:w="4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Cost of revenue (excluding depreciation)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45,873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144,141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73,688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70,453</w:t>
            </w:r>
          </w:p>
        </w:tc>
      </w:tr>
      <w:tr>
        <w:trPr>
          <w:trHeight w:val="200"/>
        </w:trPr>
        <w:tc>
          <w:tcPr>
            <w:tcW w:w="4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Cost of revenue (excluding depreciation) - affiliated companies</w:t>
            </w: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27,107</w:t>
            </w:r>
          </w:p>
        </w:tc>
      </w:tr>
      <w:tr>
        <w:trPr>
          <w:trHeight w:val="20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Depreciation</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200"/>
        </w:trPr>
        <w:tc>
          <w:tcPr>
            <w:tcW w:w="4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5,044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5,044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5,044</w:t>
            </w:r>
          </w:p>
        </w:tc>
      </w:tr>
      <w:tr>
        <w:trPr>
          <w:trHeight w:val="20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General and administrative expense (excluding depreciation)</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12,319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39,726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11,770</w:t>
            </w:r>
          </w:p>
        </w:tc>
      </w:tr>
      <w:tr>
        <w:trPr>
          <w:trHeight w:val="194"/>
        </w:trPr>
        <w:tc>
          <w:tcPr>
            <w:tcW w:w="4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72,202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36,735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35,467</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217,337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102,588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114,749</w:t>
            </w:r>
          </w:p>
        </w:tc>
      </w:tr>
      <w:tr>
        <w:trPr>
          <w:trHeight w:val="198"/>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loss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9,629</w:t>
            </w:r>
          </w:p>
        </w:tc>
      </w:tr>
      <w:tr>
        <w:trPr>
          <w:trHeight w:val="202"/>
        </w:trPr>
        <w:tc>
          <w:tcPr>
            <w:tcW w:w="4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 net: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income (expense), net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w:t>
            </w:r>
          </w:p>
        </w:tc>
      </w:tr>
      <w:tr>
        <w:trPr>
          <w:trHeight w:val="200"/>
        </w:trPr>
        <w:tc>
          <w:tcPr>
            <w:tcW w:w="4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 in fair value of earn-out liabilities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(69,364)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(94,882)</w:t>
            </w:r>
          </w:p>
        </w:tc>
      </w:tr>
      <w:tr>
        <w:trPr>
          <w:trHeight w:val="20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 in fair value of warrant liabilities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(43,945)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(46,900)</w:t>
            </w:r>
          </w:p>
        </w:tc>
      </w:tr>
      <w:tr>
        <w:trPr>
          <w:trHeight w:val="200"/>
        </w:trPr>
        <w:tc>
          <w:tcPr>
            <w:tcW w:w="4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Change in fair value of SAFE Agreements</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2,353</w:t>
            </w:r>
          </w:p>
        </w:tc>
      </w:tr>
      <w:tr>
        <w:trPr>
          <w:trHeight w:val="20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Loss on issuance of securities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(61,351)</w:t>
            </w:r>
          </w:p>
        </w:tc>
      </w:tr>
      <w:tr>
        <w:trPr>
          <w:trHeight w:val="200"/>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346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768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1,147</w:t>
            </w:r>
          </w:p>
        </w:tc>
      </w:tr>
      <w:tr>
        <w:trPr>
          <w:trHeight w:val="198"/>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b w:val="1"/>
                <w:bCs w:val="1"/>
                <w:color w:val="auto"/>
              </w:rPr>
              <w:t>Total other income (expense), net</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(66,637)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(105,557)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(137,738)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(198,821)</w:t>
            </w:r>
          </w:p>
        </w:tc>
      </w:tr>
      <w:tr>
        <w:trPr>
          <w:trHeight w:val="194"/>
        </w:trPr>
        <w:tc>
          <w:tcPr>
            <w:tcW w:w="4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(95,277)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(181,737)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(189,192)</w:t>
            </w:r>
          </w:p>
        </w:tc>
      </w:tr>
      <w:tr>
        <w:trPr>
          <w:trHeight w:val="20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r>
      <w:tr>
        <w:trPr>
          <w:trHeight w:val="194"/>
        </w:trPr>
        <w:tc>
          <w:tcPr>
            <w:tcW w:w="4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(80,411)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(94,722)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(181,787)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(188,950)</w:t>
            </w:r>
          </w:p>
        </w:tc>
      </w:tr>
      <w:tr>
        <w:trPr>
          <w:trHeight w:val="151"/>
        </w:trPr>
        <w:tc>
          <w:tcPr>
            <w:tcW w:w="418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5"/>
                <w:szCs w:val="15"/>
                <w:color w:val="auto"/>
              </w:rPr>
              <w:t>Net loss attributable to Intuitive Machines, LLC prior to the</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Business Combination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6,481</w:t>
            </w:r>
          </w:p>
        </w:tc>
      </w:tr>
      <w:tr>
        <w:trPr>
          <w:trHeight w:val="194"/>
        </w:trPr>
        <w:tc>
          <w:tcPr>
            <w:tcW w:w="4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(post Business Combination)</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(80,411)</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14,311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(94,722)</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(181,787)</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13,644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(195,431)</w:t>
            </w:r>
          </w:p>
        </w:tc>
      </w:tr>
      <w:tr>
        <w:trPr>
          <w:trHeight w:val="205"/>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Net loss attributable to redeemable noncontrolling interest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(10,310)</w:t>
            </w:r>
          </w:p>
        </w:tc>
      </w:tr>
      <w:tr>
        <w:trPr>
          <w:trHeight w:val="200"/>
        </w:trPr>
        <w:tc>
          <w:tcPr>
            <w:tcW w:w="4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attributable to noncontrolling interest</w:t>
            </w: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2,429</w:t>
            </w: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the Company</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(55,400)</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33,303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(88,703)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(134,215)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53,335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(187,550)</w:t>
            </w:r>
          </w:p>
        </w:tc>
      </w:tr>
      <w:tr>
        <w:trPr>
          <w:trHeight w:val="200"/>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Less: Preferred dividends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906</w:t>
            </w:r>
          </w:p>
        </w:tc>
      </w:tr>
      <w:tr>
        <w:trPr>
          <w:trHeight w:val="22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A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(55,543)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(88,172)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(134,966)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51,678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(186,644)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three and nine months ended September 30, 2024 and 2023 was primarily driven by NASA and other commercial payload contracts associated with the IM-1, IM-2 and IM-3 lunar payload missions as well as the OMES III contract where we provide engineering services to the Landsat Servicing mission at the Goddard Space Flight Center in Maryland.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the significant contracts and estimated mission launch dates for each lunar payload mission impacting our results of operations:</w:t>
      </w:r>
    </w:p>
    <w:p>
      <w:pPr>
        <w:spacing w:after="0" w:line="175" w:lineRule="exact"/>
        <w:rPr>
          <w:sz w:val="20"/>
          <w:szCs w:val="20"/>
          <w:color w:val="auto"/>
        </w:rPr>
      </w:pPr>
    </w:p>
    <w:p>
      <w:pPr>
        <w:jc w:val="both"/>
        <w:ind w:left="820" w:hanging="407"/>
        <w:spacing w:after="0" w:line="239" w:lineRule="auto"/>
        <w:tabs>
          <w:tab w:leader="none" w:pos="81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NASA payload contract for the IM-1 mission was awarded in June 2019 and was completed in February 2024. As a result of the successful landing on the lunar surface, previously constrained revenue of approximately $12.3 million as of December 31, 2023 was released and approximately $11.6 million was recognized as revenue during the first quarter of 2024, bringing the total IM-1 mission contract revenue under NASA and other commercial fixed-priced contracts to $132.3 million. As of March 31 2024, the IM-1 mission and all related contracts have been closed out.</w:t>
      </w:r>
    </w:p>
    <w:p>
      <w:pPr>
        <w:spacing w:after="0" w:line="359" w:lineRule="exact"/>
        <w:rPr>
          <w:rFonts w:ascii="Times New Roman" w:cs="Times New Roman" w:eastAsia="Times New Roman" w:hAnsi="Times New Roman"/>
          <w:sz w:val="15"/>
          <w:szCs w:val="15"/>
          <w:color w:val="auto"/>
        </w:rPr>
      </w:pPr>
    </w:p>
    <w:p>
      <w:pPr>
        <w:jc w:val="both"/>
        <w:ind w:left="820" w:hanging="407"/>
        <w:spacing w:after="0" w:line="258" w:lineRule="auto"/>
        <w:tabs>
          <w:tab w:leader="none" w:pos="81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initial NASA payload contract for the IM-2 mission was awarded in October 2020 with a targeted mission launch date in December 2022. Total IM-2 mission estimated contract revenue under NASA and other commercial fixed-priced contracts increased to $122.6 million (excluding constrained revenue of $13.9 million) as of September 30, 2024 as compared to $106.6 million as of September 30, 2023. The increase in total mission estimated contract revenue is primarily due to a task order modification with NASA finalized in the second quarter of 2024 to change the mission targeted landing site within the South Pole region of the moon and extend the expected mission launch and post-launch services of IM-2 to no later than August 2025. The task order modification increased estimated contract revenue by approximately $12.5 million.</w:t>
      </w:r>
    </w:p>
    <w:p>
      <w:pPr>
        <w:spacing w:after="0" w:line="183" w:lineRule="exact"/>
        <w:rPr>
          <w:rFonts w:ascii="Times New Roman" w:cs="Times New Roman" w:eastAsia="Times New Roman" w:hAnsi="Times New Roman"/>
          <w:sz w:val="14"/>
          <w:szCs w:val="14"/>
          <w:color w:val="auto"/>
        </w:rPr>
      </w:pPr>
    </w:p>
    <w:p>
      <w:pPr>
        <w:jc w:val="both"/>
        <w:ind w:left="820" w:hanging="407"/>
        <w:spacing w:after="0" w:line="241" w:lineRule="auto"/>
        <w:tabs>
          <w:tab w:leader="none" w:pos="81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NASA payload contract for the IM-3 mission was awarded in November 2021 with an initial targeted mission launch date no later than June 2024 under our current contract with NASA. Total IM-3 mission estimated revenue under fixed-priced contracts is $93.0 million (excluding constrained revenue of $9.7 million) as of September 30, 2024 as compared to $76.4 million as of September 30, 2023. The increase in total mission estimated contract revenue is primarily due to a task order modification with NASA to identify its complement of payloads and extend the IM-3 mission timeline to no later than June 2026. The task order modification increased estimated contract revenue by approximately $9.0 million.</w:t>
      </w:r>
    </w:p>
    <w:p>
      <w:pPr>
        <w:spacing w:after="0" w:line="210" w:lineRule="exact"/>
        <w:rPr>
          <w:rFonts w:ascii="Times New Roman" w:cs="Times New Roman" w:eastAsia="Times New Roman" w:hAnsi="Times New Roman"/>
          <w:sz w:val="15"/>
          <w:szCs w:val="15"/>
          <w:color w:val="auto"/>
        </w:rPr>
      </w:pPr>
    </w:p>
    <w:p>
      <w:pPr>
        <w:jc w:val="both"/>
        <w:ind w:left="820" w:hanging="407"/>
        <w:spacing w:after="0" w:line="250" w:lineRule="auto"/>
        <w:tabs>
          <w:tab w:leader="none" w:pos="819"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initial NASA payload contract for the IM-4 mission was awarded in August 2024 with an initial targeted mission launch date no later than August 2028. Total IM-4 mission estimated revenue under fixed-priced contracts is $105.2 million (excluding constrained revenue of $11.7 million) as of September 30, 2024.</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increased by $45.7 million, or 359%, for the three months ended September 30, 2024 compared to the same period in 2023, largely driven by the revenue from the OMES III contract execution which began in the fourth quarter of 2023 as further discussed below and was partially offset by decreases in revenue across our NASA and other commercial payload contracts associated with the IM lunar payload missions.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IM-1 mission completed in February 2024, and no revenue was recognized for the three months ended September 30, 2024 as compared to $(0.6) million for the same period in 2023. Revenue decreased in 2023 primarily due to a change in progress towards completion as well as the extension of the targeted mission launch date. Revenue on the IM-2 mission increased by $3.5 million for the three months ended September 30, 2024 compared to the same period of 2023 and was primarily driven by task order modifications to change the mission targeted landing site and extension of the targeted mission launch window to early 2025. Revenue from the IM-3 mission decreased by $2.0 million for the three months ended September 30, 2024 compared to the same period in 2023 partially as a result of unfavorable adjustments from task order modifications extending the targeted mission launch window to late 2025.</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$124.4 million, or 254%, for the nine months ended September 30, 2024 compared to the same period in 2023 and was substantially driven by revenue from the OMES III contract execution which began in the fourth quarter of 2023 as further discussed below.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on the IM-1 mission increased by approximately $7.1 million to $12.3 million for the nine months ended September 30, 2024 from $5.1 million for the same period in 2023. The increase in IM-1 revenue was due to the successful completion of the mission in February 2024 which resulted in the release of approximately $12.3 million of previously constrained revenue, and approximately $11.6 million was recognized as revenue during the first quarter of 2024. Revenue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IM-2 mission increased slightly to $15.9 million for the nine months ended September 30, 2024 compared to $15.7 million for the same period of 2023. As of September 30, 2024, the IM-2 mission is approximately 93% complete. Revenue from the IM-3 mission decreased to $7.2 million for the nine months ended September 30, 2024 from $17.6 million for the same period in 2023 and was largely attributable to unfavorable adjustments from task order modifications extending the targeted mission launch window to late 2025. The IM-3 mission was awarded in the fourth quarter of 2021 and was approximately 64% complete as of September 30,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task orders under the OMES III contract were approximately $34.1 million and $115.0 million during the three and nine months ended September 30, 2024. The OMES III contract began execution in December 2023 and therefore there were no corresponding revenues during the three and nine months ended September 30,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contract revenues increased approximately $9.9 million and $12.4 million for the three and nine months ended September 30, 2024, respectively, compared to the same periods in 2023 primarily as a result of new contracts, including the Jetson Low Power project awarded in the fourth quarter of 2023 and the Lunar Terrain Vehicle Services design project in the second quarter of 2024 as well as several other contracts partially offset by the completion of the initial phase of the fission surface power contract in the third quarter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cost of revenue increased by $27.9 million, or 105%, for the three months ended September 30, 2024 compared to the same period in 2023. The IM-1 mission was completed in February 2024, and no cost of revenue was incurred for the three months ended September 30, 2024 compared to $3.6 million for the same period in 2023. On the IM-2 mission, cost of revenue changed minimally and was approximately $8.5 million for the three months ended September 30, 2024 and 2023. IM-3 mission cost of revenue decreased by approximately $3.7 million to $4.9 million for the three months ended September 30, 2024 compared to $8.5 million in the same period in 2023 due to lower activity on the 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cost of revenue increased by $97.6 million, or 132%, for the nine months ended September 30, 2024 compared to the same period in 2023. Cost of revenue on the IM-1 mission decreased by $9.5 million from $14.4 million down to $4.8 million due to winding down progress as the mission was completed in February 2024. On the IM-2 mission, cost of revenue decreased slightly by approximately $0.9 million for the nine months ended September 30, 2024 compared to the same period in 2023. IM-3 mission cost of revenue decreased by approximately $10.6 million to $12.5 million for the three months ended September 30, 2024 compared to $23.0 million in the same period in 2023, primarily due to lower activity on the 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two lunar missions are in loss positions. On the IM-2 mission, we increased the accrued contract loss by approximately $7.2 million during the nine months ended September 30, 2024 which was primarily driven by unfavorable adjustments resulting from task order modifications to change the mission targeted landing site and extension of the targeted mission launch window to early 2025. On the IM-3 mission, the accrued contract loss increased by approximately $9.9 million during the nine months ended September 30, 2024 and was largely attributable to unfavorable adjustments resulting from task order modifications extending the targeted mission launch window to late 2025</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from task orders under the OMES III contract were approximately $33.3 million and $110.4 million during the three and nine months ended September 30, 2024. The OMES III contract started in December 2023 and therefore there were no corresponding cost of revenue during the three and nine months ended September 30, 2023.</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contract cost of revenue increased approximately $6.1 million and $7.6 million for the three and nine months ended September 30, 2024 compared to the same periods in 2023 primarily as a result of new contracts awarded in late 2023 and in the first half of 2024, including the Jetson Low Power, the Lunar Terrain Vehicle Services and various other contracts partially offset by the completion of the initial phase of the fission surface power contract in the third quarter of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property and equipment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management determined that certain assets under development by a third party subcontractor were not in compliance according to the contract. Management concluded that carrying cost of these assets was not recoverable and recorded an impairment charge of approximately $5.0 million including capitalized interest of $0.5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million, in our condensed consolidated statements of operations for the three and nine months ended September 30, 2024. See Note 4 to the condensed consolidated financial statements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 (excluding depreciation)</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(excluding depreciation) increased by $2.4 million for the three months ended September 30, 2024 compared to the same periods in 2023, and increased by $11.8 million for the nine months ended September 30, 2024 compared to the same periods in 2023, driven primarily by our growth to support corporate and business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compared to the same periods in 2023, the $2.4 million increase was driven by higher employee compensation and benefits expense of $1.4 million, various other administrative costs of $2.0 million, and rent expense of $0.8 million, slightly offset by decreases of $1.2 million in professional services primarily related to accounting and finance, $0.3 million in share-based compensation expense, and $0.3 million in bids and proposals expense.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compared to the same periods in 2023, the $11.8 million increase was driven by higher share-based compensation expense of $4.4 million, employee compensation and benefits expense of $3.8 million, professional services of $1.0 million primarily driven by accounting and legal fees, rent expense of $2.2 million primarily driven by the move to our new corporate headquarters in late 2023, and various other administrative costs of $2.4 million. These increases were slightly offset by a decrease in bids and proposals of $2.0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other income (expense), net unfavorable change of $105.6 million for the three months ended September 30, 2024 compared to the same period in 2023 was primarily due to unfavorable changes in fair value of earn-out liabilities of $69.4 million and warrant liabilities of $43.9 million, slightly offset by $6.7 million related to the loss on issuance of securities in the third quarter of 2023.</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other income (expense), net unfavorable change of $198.8 million for the nine months ended September 30, 2024 compared to the same period in 2023 was primarily due to unfavorable changes in fair value of the earn-out liabilities of $94.9 million and warrant liabilities of $46.9 million, increase in loss on issuance of securities of $61.4 million, slightly offset by $2.4 million related to the change in the fair value of SAFE Agreements which was eliminated in the first quarter of 2023.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recognized a combined U.S. federal and state expense for income taxes of $50 thousand. For the three and nine months ended September 30, 2023, we recognized a combined U.S. federal and state expense for income taxes of $605 thousand and $292 thousand, respectively. The effective combined U.S. federal and state income tax rates were (0.06%) and (0.03%) for the three and nine months ended September 30, 2024, respectively, and 4.1% and 3.9% for the three and nine months ended September 30, 2023, respectively. For three and nine months ended September 30, 2024, our effective tax rate differed from the statutory rate of 21% primarily due to deferred taxes for which no benefit is being recorded and losses attributable to noncontrolling interest unitholders that are taxable on their respective share of taxable income. For the three and nine months ended September 30, 2023, our effective tax rate differed from the statutory rate primarily due to Intuitive Machines, LLC's status as a partnership for U.S. federal income tax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following key business metrics and non-GAAP financial measures that assist us in evaluating our business, measuring our performance, identifying trends and making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backlog as our total estimate of the revenue we expect to realize in the future as a result of performing work on awarded contracts, less the amount of revenue we have previously recognized. We monitor our backlog because we believe it is a forward-looking indicator of potential sales which can be helpful to investors in evaluating the performance of our business and identifying trends over time. We generally include total expected revenue in backlog when a contract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awarded by the customer under a legally binding agreement. 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are subject to budget appropriation or other contract cancellation clauses. Nearly all contracts allow customers to terminate the agreement at any time for convenience. If any of our contracts with firm orders were to be terminated, our backlog would be reduced by the expected value of the unfilled orders of such contracts. Consequently, our backlog may differ from actual revenue recognized in our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backlog as of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316,164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268,566</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Orders comprising backlog as of a given balance sheet date are typically invoiced in subsequent periods. As of September 30, 2024, we expect to recognize approximately 15-20% of our backlog over the remainder of 2024, approximately 45-50% over the subsequent twelve months of 2025 and the remaining 30-40%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Backlog increased by $47.6 million as of September 30, 2024 compared to December 31, 2023, due to $235.6 million in new awards primarily associated with the IM-4 CLPS contract and NSN contract awarded from NASA in the third quarter of 2024, the Lunar Terrain Vehicle Services design project, a new commercial payload contract on the IM-3 mission, task order modifications to the IM-2 CLPS contract and the IM-3 CLPS contract. These increases are partially offset by continued performance on existing contracts of $173.4 million and decreases related to contract value adjustments of $14.6 million primarily related to various certain fixed price contracts and task order adjustments on the OMES III contract.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2024, our backlog of $316.2 million exceeded our remaining performance obligations of $195.5 million as reported in Note 3 - Revenue to our condensed consolidated financial statements included in this Quarterly Report. The difference of $120.7 million was primarily related to $65.4 million of variable consideration associated with constrained revenue, $55.3 million in backlog related to the funded value of OMES III and various other time and significant contracts where revenue is recognized when services are performed and contractually billable and therefore not included in remaining performance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a key performance measure that our management team uses to assess our operating performance. We calculate Adjusted EBITDA as net income (loss) excluding results from non-operating sources including interest income, interest expense, gain on extinguishing of debt, share-based compensation, change in fair value instruments, gain or loss on issuance of securities, other income/expense, depreciation, impairment of property and equipment, and provision for income taxes.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Adjusted EBITDA because we believe it is helpful in highlighting trends in our operating results and because it is frequently used by analysts, investors, and other interested parties to evaluate companies in our industry.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measure, and you should not consider it in isolation or as a substitute for analysis of our results as reported under GAAP. Some of these limitations are:</w:t>
      </w:r>
    </w:p>
    <w:p>
      <w:pPr>
        <w:spacing w:after="0" w:line="81" w:lineRule="exact"/>
        <w:rPr>
          <w:sz w:val="20"/>
          <w:szCs w:val="20"/>
          <w:color w:val="auto"/>
        </w:rPr>
      </w:pPr>
    </w:p>
    <w:p>
      <w:pPr>
        <w:ind w:left="820" w:hanging="407"/>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income, interest expense or other non-operating gains and losses, which may represent an increase to or reduction in cash available to us;</w:t>
      </w:r>
    </w:p>
    <w:p>
      <w:pPr>
        <w:spacing w:after="0" w:line="9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share-based compensation expense, which is expected to continue to be part of our compensation strategy;</w:t>
      </w:r>
    </w:p>
    <w:p>
      <w:pPr>
        <w:spacing w:after="0" w:line="94" w:lineRule="exact"/>
        <w:rPr>
          <w:rFonts w:ascii="Times New Roman" w:cs="Times New Roman" w:eastAsia="Times New Roman" w:hAnsi="Times New Roman"/>
          <w:sz w:val="18"/>
          <w:szCs w:val="18"/>
          <w:color w:val="auto"/>
        </w:rPr>
      </w:pPr>
    </w:p>
    <w:p>
      <w:pPr>
        <w:jc w:val="both"/>
        <w:ind w:left="820" w:hanging="407"/>
        <w:spacing w:after="0" w:line="266"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change in fair value of SAFE Agreements, change in fair value of earn-out liabilities, change in fair value of warrant liabilities, loss on issuance of securities, or impairment of property and equipment, that we do not consider to be routine in nature for the ongoing financial performance of our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820" w:hanging="407"/>
        <w:spacing w:after="0" w:line="266"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provisions for income taxes, which may represent a reduction in cash available to us.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GAAP results.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presented in accordance with GAAP, to Adjusted EBITDA.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2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securities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has limitations as a liquidity measure, and you should not consider it in isolation or as a substitute for analysis of our cash flows as reported under GAAP. Some of these limitations are:</w:t>
      </w:r>
    </w:p>
    <w:p>
      <w:pPr>
        <w:spacing w:after="0" w:line="94" w:lineRule="exact"/>
        <w:rPr>
          <w:sz w:val="20"/>
          <w:szCs w:val="20"/>
          <w:color w:val="auto"/>
        </w:rPr>
      </w:pPr>
    </w:p>
    <w:p>
      <w:pPr>
        <w:ind w:left="820" w:hanging="407"/>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not a measure calculated in accordance with GAAP and should not be considered in isolation from, or as a substitute for financial information prepared in accordance with GAAP.</w:t>
      </w:r>
    </w:p>
    <w:p>
      <w:pPr>
        <w:spacing w:after="0" w:line="94"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not be comparable to similarly titled metrics of other companies due to differences among methods of calculation.</w:t>
      </w:r>
    </w:p>
    <w:p>
      <w:pPr>
        <w:spacing w:after="0" w:line="144"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used in operating activities, the most directly comparable financial measure presented in accordance with GAAP, to free cash flow: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inception, we have funded our operations through internally generated cash on hand, proceeds from sales of our capital stock, including the execution of SAFE Agreements, our ATM Program with Cantor (as described below), proceeds from warrant exercises, and our proceeds from the issuance of bank debt. We assess our liquidity in terms of our ability to generate adequate amounts of cash to meet current and future needs. Our expected primary uses of cash on a short and long-term basis are for working capital requirements, capital expenditures, debt service requirements and other general corporate services.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$89.6 million and working capital of $73.0 million. For the nine months ended September 30, 2024, the Company received approximately $161.4 million in gross proceeds from sales of stock under our ATM Program, warrant exercises, and other equity transactions, as further described in Notes 7 and 8.</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as discussed in Notes 1 and 7, the Company entered into the Cantor Purchase Agreement, pursuant to which the Company may direct CFPI, at the Company’s discretion, to purchase up to the lesser of (i) $50.0 million of newly issued shares of Class A Common Stock and (ii) the “exchange cap” specified therein, subject to certain customary conditions and limitations set forth in the agreement. The Cantor Purchase Agreement contractually terminated on September 1, 2024 and no shares of Class A Common Stock were sold to CFPI under the Cantor Purchase Agreement. Additionally, in April 2024, the Company and Cantor entered into a Controlled Equity Offering Sales Agreement with Cantor acting as the Company’s exclusive sales agent for the sale of newly issued shares of Class A Common Stock for aggregate proceeds up to $100.0 million, as further described in Note 7 as the ATM Program. Pursuant to the ATM program, the Company raised approximately $97.5 million, net of $2.5 million in transaction fees, during the second and third quarters of 2024.</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believes that the cash and cash equivalents as of September 30, 2024 will be sufficient to fund the short-term liquidity needs and the execution of the business plan through at least the twelve-month period from the date the financial statements are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Live Oak Mobilization Credit Facility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the Company entered into a loan agreement with Live Oak Banking Company (the “Credit Mobilization Facility”) which provided a $12.0 million credit mobilization facility that was paid in full as of November 2023. In July 2022, we entered into the Second Amended and Restated Loan Agreement with Live Oak Banking Company which provided an $8.0 million credit mobilization facility with a loan maturity of July 14, 2024. The Credit Mobilization Facility bears interest (payable monthly) at a rate per annum equal to the greater of (a) the prime rate, as published in the Wall Street Journal newspaper, plus 2.0% and (b) 5.0% and requires the Company to meet certain financial and other covenants and are secured by substantially all of the assets of the Company. There was $8.0 million outstanding under the Credit Mobilization Facility as of December 31, 2023. The Company paid $5.0 million during the second quarter of 2024, and paid the remaining $3.0 million in July 2024 and the facility has been terminated. See Note 5 - Debt to our condensed consolidated financial statements for additional information related to the credit mobilization facilities.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10, 2024, the Company entered into a series of loan documents with Pershing LLC, an affiliate of Bank of New York Mellon, pursuant to which Pershing LLC agreed to an extension of credit in an amount not to exceed $10.0 million to the Company (the “Bridge Loan”). Borrowings under the Bridge Loan bear interest at the target interest rate set by the Federal Open Market Committee (“Fed Funds Rate”), subject to a 5.5% floor, plus a margin. For borrowings, the applicable rate margin is 0.9%. The $10.0 million in borrowings are available for working capital needs and other general corporate purposes must be repaid by February 22,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Bridge Loan included guarantees (the “Credit Support Guarantees”) by Ghaffarian Enterprises, LLC (an affiliate of Dr. Kamal Ghaffarian) (“Ghaffarian Enterprises”)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support fee and subrogation agreement, where the Company agreed to pay a support fee of $148 thousand for the Credit Support.</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January 29, 2024, the Bridge Loan was repaid in full as a result of $10.0 million in contributions from the Guarantor under the Bridge Loan Conversion transaction further described in Note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2024, the Company filed a shelf registration statement on Form S-3 (File No. 333-278288) with the Securities and Exchange Commission, which permits the offering, issuance, and sale of up to a maximum aggregate offering price of $300.0 million of the Company’s Class A common stock and warrants. Up to a maximum of $100.0 million of the maximum aggregate offering price of $300.0 million may be issued and sold pursuant to an at-the-market financing facility under a capital controlled equity offering sales agreement between the Company and Cantor Fitzgerald &amp; Co. As of the date of this filing, the Company raised approximately $97.5 million in net proceeds (net of $2.5 million in transaction fees) pursuant to the at-the-market financing facility. In addition, subject to market and other conditions, we may opportunistically pursue underwritten public offerings of our Class A common stock under such shelf registration statement for our account or the account of our selling stockholders. Unless otherwise specified in the prospectus supplement relating to any such offering, we expect to use the net proceeds of any sales of Class A common stock for our account for general corporate purposes. We would not receive any proceeds from the sale of our Class A common stock by the selling stockholders. We expect to continue to evaluate opportunities for such underwritten offerings over the near and intermediate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(22,933)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(27,668)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6"/>
              </w:rPr>
              <w:t>65,489</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 and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our operating activities used $55.6 million of net cash as compared to $22.9 million of net cash used during the nine months ended September 30, 2023. Changes in operating assets and liabilities which consist primarily of working capital balances for our projects may vary and are impacted by the stage of completion and contractual terms of projects. The primary components of our working capital accounts are trade accounts receivable, contract assets, accounts payable, and contract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investing activities used $5.2 million of net cash as compared to $27.7 million of net cash used during the nine months ended September 30, 2023. The $22.5 million favorable change was primarily driven by the 2023 capital expenditures in construction in progress related to our lunar operations center which was completed during the third quarter of 2023 and subsequently reclassed to right-of-use assets on the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financing activities provided $147.9 million of net cash as compared to $65.5 million of net cash provided during the nine months ended September 30,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our financing activities primarily included $51.4 million in proceeds from the exercise of warrants, $107.5 million in net proceeds from the issuance of securities, $10.0 million in proceeds received in borrowings under the Bridge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offset by the repayment of $10.0 million, $8.0 million repayment on a loan under our Credit Mobilization Facility, and $2.3 million in payments of withholding taxes from share-based awards.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our financing activities primarily included $34.1 million in proceeds received upon consummation of the Business Combination and Series A Preferred Stock issuance slightly offset by $9.4 million in related transaction costs paid. We also received $20.0 million in proceeds upon the close of the Private Placement, $12.7 million in cash associated with the termination of a prepaid forward purchase agreement and $16.1 million in proceeds from the exercise of warrants, slightly offset by member distributions of $8.0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real estate for office space and for administrative, research, marketing and light manufacturing operations. These leases are classified as operating leases with various expiration dates through 2043.</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September 2021, we signed a ground lease agreement for the development of a Lunar Production and Operations Center (“LPOC”) that will serve as a production and testing facility of lunar lander components and other aerospace related operations which provided for the lessor to reimburse up to $40.0 million for certain costs incurred by us for design, construction, and development. Management concluded that it was deemed the owner, for accounting purposes only, of the facility under build-to-suit lease accounting due to its involvement in the construction activities of the facility. Accordingly, we are accounting for the construction of the facility as a financing arrangement. Upon completion of the construction, the lease agreement will have an initial term of 20 years with four optional renewal periods of 5 years each.</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construction was completed for the Small Engine Verification facility (the “SEV” facility) portion of the lunar operations center, and we took possession of the SEV facility. As of September 30, 2024, the Company recorded right-of-use assets of $2.8 million and corresponding lease liabilities of $3.3 million.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2023, the remaining construction for the LPOC was near completion, we took possession of the entire facility. Upon commencement of the lease, we determined that the LPOC qualified for sale and leaseback accounting, with the leaseback being classified as an operating lease. As of September 30, 2024, the Company recorded right-of-use assets of $31.3 million and operating lease liabilities of $28.4 million. As of September 30, 2024, we have approximately $1.3 million of contractual obligations to complete construction of the LPOC which will be funded through available cash on hand.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the Company commenced two new lease agreements. In September 2024, the Company entered into a building and land lease agreement in Maryland. This facility is intended to provide space for the designing, building, and testing of space-flight mechanisms and electro-mechanical systems for use in space or on the lunar surface. The lease agreement has an initial term of 10 years, 3 months. As of September 30, 2024, the Company recorded right-of-use assets of $3.1 million and operating lease liabilities of $3.1 million. Also, in August 2024, we entered into a facility lease agreement in Arizona to support operations and data analysis of NASA’s Lunar Reconnaissance Orbiter and ShadowCam cameras and imagery. The lease agreement has an initial term of 52 months. As of September 30, 2024, the Company recorded right-of-use assets of $1.2 million and operating lease liabilities of $1.2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 Oak Credit Mobilization Facility</w:t>
      </w: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disclosures regarding our Live Oak Credit Mobilization Facility, refer to the preceding discussions under Liquidity and Capital Resources and Note 5 -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time-to-time, we enter into long-term commitments with vendors to purchase launch services and for the development of certain components in conjunction with our obligations under revenue contracts with our customers. As of September 30, 2024, we had remaining purchase obligations under non-cancelable commitments with nine vendors totaling $23.8 million of which $19.0 million is due within the next twelve months and the remaining $4.8 million is due in the subsequent twelve-month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judgement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condensed consolidated financial statements included elsewhere in this Quarterly Report and our audited consolidated financial statements as of and for the years ended December 31, 2023 and 2022 contained in our Annual Report on Form 10-K, filed with the SEC on March 25,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September 30, 2024, to provide reasonable assurance that information required to be disclosed in our reports filed or submitted under the Exchange Act is recorded, processed, summarized and reported within the time periods specified in the SEC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three months ended September 30, 2024 that have materially affected, or that are reasonably likely to materially affect,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Information relating to commitments and contingencies is described in Note 12 - Commitments and Contingencies to our condensed consolidated financial statements in Part I, Item 1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report include the risk factors described in our 2023 Annual Report on Form 10-K and our Quarterly Report for the quarters ended March 31, 2024 and June 30, 2024. As of the date of this Quarterly Report, there have been no material changes to the risk factors disclosed except as disclosed below.</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and Non-Rule 10b5-1 Trading Arrangements</w:t>
      </w:r>
    </w:p>
    <w:p>
      <w:pPr>
        <w:spacing w:after="0" w:line="2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certain of our officers or directors listed below adopted or terminated trading arrangements for the purchase or sale of shares of our Class A common stock in amounts and prices determined in accordance with a formula set forth in each such plan: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Entered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Expires</w:t>
            </w:r>
          </w:p>
        </w:tc>
        <w:tc>
          <w:tcPr>
            <w:tcW w:w="31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
        </w:trPr>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155"/>
        </w:trPr>
        <w:tc>
          <w:tcPr>
            <w:tcW w:w="18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Steven Vontur</w:t>
            </w:r>
          </w:p>
        </w:tc>
        <w:tc>
          <w:tcPr>
            <w:tcW w:w="100" w:type="dxa"/>
            <w:vAlign w:val="bottom"/>
          </w:tcPr>
          <w:p>
            <w:pPr>
              <w:spacing w:after="0"/>
              <w:rPr>
                <w:sz w:val="13"/>
                <w:szCs w:val="13"/>
                <w:color w:val="auto"/>
              </w:rPr>
            </w:pPr>
          </w:p>
        </w:tc>
        <w:tc>
          <w:tcPr>
            <w:tcW w:w="25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Chief Accounting Officer and</w:t>
            </w:r>
          </w:p>
        </w:tc>
        <w:tc>
          <w:tcPr>
            <w:tcW w:w="10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September 13, 2024</w:t>
            </w:r>
          </w:p>
        </w:tc>
        <w:tc>
          <w:tcPr>
            <w:tcW w:w="100" w:type="dxa"/>
            <w:vAlign w:val="bottom"/>
          </w:tcPr>
          <w:p>
            <w:pPr>
              <w:spacing w:after="0"/>
              <w:rPr>
                <w:sz w:val="13"/>
                <w:szCs w:val="13"/>
                <w:color w:val="auto"/>
              </w:rPr>
            </w:pPr>
          </w:p>
        </w:tc>
        <w:tc>
          <w:tcPr>
            <w:tcW w:w="1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August 11, 2025</w:t>
            </w:r>
          </w:p>
        </w:tc>
        <w:tc>
          <w:tcPr>
            <w:tcW w:w="100" w:type="dxa"/>
            <w:vAlign w:val="bottom"/>
          </w:tcPr>
          <w:p>
            <w:pPr>
              <w:spacing w:after="0"/>
              <w:rPr>
                <w:sz w:val="13"/>
                <w:szCs w:val="13"/>
                <w:color w:val="auto"/>
              </w:rPr>
            </w:pPr>
          </w:p>
        </w:tc>
        <w:tc>
          <w:tcPr>
            <w:tcW w:w="31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the sale of up to 42,500 shares and contains</w:t>
            </w: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Controller</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pricing conditions that preclude or limit the</w:t>
            </w:r>
          </w:p>
        </w:tc>
      </w:tr>
      <w:tr>
        <w:trPr>
          <w:trHeight w:val="162"/>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sale of shares below predetermined minimum</w:t>
            </w:r>
          </w:p>
        </w:tc>
      </w:tr>
      <w:tr>
        <w:trPr>
          <w:trHeight w:val="210"/>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pricing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260" w:type="dxa"/>
            <w:vAlign w:val="bottom"/>
            <w:vMerge w:val="continue"/>
          </w:tcPr>
          <w:p>
            <w:pPr>
              <w:spacing w:after="0"/>
              <w:rPr>
                <w:sz w:val="10"/>
                <w:szCs w:val="10"/>
                <w:color w:val="auto"/>
              </w:rPr>
            </w:pPr>
          </w:p>
        </w:tc>
        <w:tc>
          <w:tcPr>
            <w:tcW w:w="5520" w:type="dxa"/>
            <w:vAlign w:val="bottom"/>
            <w:gridSpan w:val="6"/>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20" w:type="dxa"/>
            <w:vAlign w:val="bottom"/>
            <w:tcBorders>
              <w:bottom w:val="single" w:sz="8" w:color="auto"/>
            </w:tcBorders>
            <w:gridSpan w:val="6"/>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31.1*</w:t>
            </w:r>
          </w:p>
        </w:tc>
        <w:tc>
          <w:tcPr>
            <w:tcW w:w="5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Rules 13a-14 and 15d-14</w:t>
            </w: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0000FF"/>
            </w:tcBorders>
            <w:gridSpan w:val="4"/>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promulgated under the Securities Exchange Act of 1934</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31.2*</w:t>
            </w:r>
          </w:p>
        </w:tc>
        <w:tc>
          <w:tcPr>
            <w:tcW w:w="55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Rules 13a-14 and 15d-14</w:t>
            </w: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498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promulgated under the Securities Exchange Act of 1934</w:t>
            </w:r>
          </w:p>
        </w:tc>
        <w:tc>
          <w:tcPr>
            <w:tcW w:w="16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364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32.1**</w:t>
            </w:r>
          </w:p>
        </w:tc>
        <w:tc>
          <w:tcPr>
            <w:tcW w:w="55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w:t>
            </w:r>
          </w:p>
        </w:tc>
        <w:tc>
          <w:tcPr>
            <w:tcW w:w="8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3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00"/>
        <w:spacing w:after="0"/>
        <w:rPr>
          <w:sz w:val="20"/>
          <w:szCs w:val="20"/>
          <w:color w:val="auto"/>
        </w:rPr>
      </w:pPr>
      <w:r>
        <w:rPr>
          <w:rFonts w:ascii="Times New Roman" w:cs="Times New Roman" w:eastAsia="Times New Roman" w:hAnsi="Times New Roman"/>
          <w:sz w:val="16"/>
          <w:szCs w:val="16"/>
          <w:color w:val="auto"/>
        </w:rPr>
        <w:t>32.2**</w:t>
      </w: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101.INS*</w:t>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Chief Executive Officer pursuant to 18 U.S.C. Section 1350,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26035</wp:posOffset>
            </wp:positionV>
            <wp:extent cx="7132320" cy="402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35" w:lineRule="exact"/>
        <w:rPr>
          <w:sz w:val="20"/>
          <w:szCs w:val="20"/>
          <w:color w:val="auto"/>
        </w:rPr>
      </w:pPr>
    </w:p>
    <w:p>
      <w:pPr>
        <w:ind w:right="4600"/>
        <w:spacing w:after="0" w:line="272" w:lineRule="auto"/>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 XBRL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29210</wp:posOffset>
            </wp:positionV>
            <wp:extent cx="713232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Exhibit 101.INS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172085</wp:posOffset>
            </wp:positionV>
            <wp:extent cx="36087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 w:space="460"/>
            <w:col w:w="9980"/>
          </w:cols>
          <w:pgMar w:left="320" w:top="121" w:right="339" w:bottom="1440" w:gutter="0" w:footer="0" w:header="0"/>
          <w:type w:val="continuous"/>
        </w:sectPr>
      </w:pPr>
    </w:p>
    <w:p>
      <w:pPr>
        <w:spacing w:after="0" w:line="80" w:lineRule="exact"/>
        <w:rPr>
          <w:sz w:val="20"/>
          <w:szCs w:val="20"/>
          <w:color w:val="auto"/>
        </w:rPr>
      </w:pPr>
    </w:p>
    <w:p>
      <w:pPr>
        <w:ind w:left="480" w:hanging="454"/>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97" w:lineRule="exact"/>
        <w:rPr>
          <w:sz w:val="20"/>
          <w:szCs w:val="20"/>
          <w:color w:val="auto"/>
        </w:rPr>
      </w:pPr>
    </w:p>
    <w:p>
      <w:pPr>
        <w:ind w:left="20"/>
        <w:spacing w:after="0"/>
        <w:tabs>
          <w:tab w:leader="none" w:pos="880" w:val="left"/>
          <w:tab w:leader="none" w:pos="552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Peter McGrath</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Senior Vice President</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74" w:lineRule="exact"/>
        <w:rPr>
          <w:sz w:val="20"/>
          <w:szCs w:val="20"/>
          <w:color w:val="auto"/>
        </w:rPr>
      </w:pPr>
    </w:p>
    <w:p>
      <w:pPr>
        <w:ind w:left="20"/>
        <w:spacing w:after="0"/>
        <w:tabs>
          <w:tab w:leader="none" w:pos="880" w:val="left"/>
          <w:tab w:leader="none" w:pos="60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15, 2024</w:t>
      </w:r>
      <w:r>
        <w:rPr>
          <w:sz w:val="20"/>
          <w:szCs w:val="20"/>
          <w:color w:val="auto"/>
        </w:rPr>
        <w:tab/>
      </w:r>
      <w:r>
        <w:rPr>
          <w:rFonts w:ascii="Times New Roman" w:cs="Times New Roman" w:eastAsia="Times New Roman" w:hAnsi="Times New Roman"/>
          <w:sz w:val="17"/>
          <w:szCs w:val="17"/>
          <w:color w:val="auto"/>
        </w:rPr>
        <w:t>/s/ Steven Vontur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Steven Vontur</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Accounting Officer and Controller</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00"/>
          </w:cols>
          <w:pgMar w:left="320" w:top="121" w:right="3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AND 15d-14</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Stephen Altemus, certify that:</w:t>
      </w:r>
    </w:p>
    <w:p>
      <w:pPr>
        <w:spacing w:after="0" w:line="23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September 30, 2024 of Intuitive Machines, Inc.;</w:t>
      </w:r>
    </w:p>
    <w:p>
      <w:pPr>
        <w:spacing w:after="0" w:line="236" w:lineRule="exact"/>
        <w:rPr>
          <w:rFonts w:ascii="Times New Roman" w:cs="Times New Roman" w:eastAsia="Times New Roman" w:hAnsi="Times New Roman"/>
          <w:sz w:val="17"/>
          <w:szCs w:val="17"/>
          <w:color w:val="auto"/>
        </w:rPr>
      </w:pPr>
    </w:p>
    <w:p>
      <w:pPr>
        <w:ind w:left="660" w:right="160" w:hanging="328"/>
        <w:spacing w:after="0" w:line="264" w:lineRule="auto"/>
        <w:tabs>
          <w:tab w:leader="none" w:pos="6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60" w:right="620" w:hanging="328"/>
        <w:spacing w:after="0" w:line="281" w:lineRule="auto"/>
        <w:tabs>
          <w:tab w:leader="none" w:pos="6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660" w:right="120" w:hanging="328"/>
        <w:spacing w:after="0" w:line="248" w:lineRule="auto"/>
        <w:tabs>
          <w:tab w:leader="none" w:pos="6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7"/>
          <w:szCs w:val="17"/>
          <w:color w:val="auto"/>
        </w:rPr>
      </w:pPr>
    </w:p>
    <w:p>
      <w:pPr>
        <w:ind w:left="1300" w:right="240" w:hanging="320"/>
        <w:spacing w:after="0" w:line="256" w:lineRule="auto"/>
        <w:tabs>
          <w:tab w:leader="none" w:pos="12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300" w:right="540" w:hanging="320"/>
        <w:spacing w:after="0" w:line="248" w:lineRule="auto"/>
        <w:tabs>
          <w:tab w:leader="none" w:pos="129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7"/>
          <w:szCs w:val="17"/>
          <w:color w:val="auto"/>
        </w:rPr>
      </w:pPr>
    </w:p>
    <w:p>
      <w:pPr>
        <w:jc w:val="both"/>
        <w:ind w:left="1300" w:right="700" w:hanging="320"/>
        <w:spacing w:after="0" w:line="281" w:lineRule="auto"/>
        <w:tabs>
          <w:tab w:leader="none" w:pos="12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left="1300" w:right="240" w:hanging="320"/>
        <w:spacing w:after="0" w:line="248" w:lineRule="auto"/>
        <w:tabs>
          <w:tab w:leader="none" w:pos="129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7"/>
          <w:szCs w:val="17"/>
          <w:color w:val="auto"/>
        </w:rPr>
      </w:pPr>
    </w:p>
    <w:p>
      <w:pPr>
        <w:ind w:left="660" w:right="480" w:hanging="328"/>
        <w:spacing w:after="0" w:line="264" w:lineRule="auto"/>
        <w:tabs>
          <w:tab w:leader="none" w:pos="65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rFonts w:ascii="Times New Roman" w:cs="Times New Roman" w:eastAsia="Times New Roman" w:hAnsi="Times New Roman"/>
          <w:sz w:val="17"/>
          <w:szCs w:val="17"/>
          <w:color w:val="auto"/>
        </w:rPr>
      </w:pPr>
    </w:p>
    <w:p>
      <w:pPr>
        <w:ind w:left="1300" w:right="160" w:hanging="320"/>
        <w:spacing w:after="0" w:line="264" w:lineRule="auto"/>
        <w:tabs>
          <w:tab w:leader="none" w:pos="12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1300" w:right="60" w:hanging="320"/>
        <w:spacing w:after="0" w:line="264" w:lineRule="auto"/>
        <w:tabs>
          <w:tab w:leader="none" w:pos="129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47" w:lineRule="exact"/>
        <w:rPr>
          <w:sz w:val="20"/>
          <w:szCs w:val="20"/>
          <w:color w:val="auto"/>
        </w:rPr>
      </w:pPr>
    </w:p>
    <w:p>
      <w:pPr>
        <w:ind w:left="680"/>
        <w:spacing w:after="0"/>
        <w:tabs>
          <w:tab w:leader="none" w:pos="2060" w:val="left"/>
          <w:tab w:leader="none" w:pos="6520" w:val="left"/>
          <w:tab w:leader="none" w:pos="70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15, 2024</w:t>
      </w:r>
      <w:r>
        <w:rPr>
          <w:sz w:val="20"/>
          <w:szCs w:val="20"/>
          <w:color w:val="auto"/>
        </w:rPr>
        <w:tab/>
      </w:r>
      <w:r>
        <w:rPr>
          <w:rFonts w:ascii="Times New Roman" w:cs="Times New Roman" w:eastAsia="Times New Roman" w:hAnsi="Times New Roman"/>
          <w:sz w:val="17"/>
          <w:szCs w:val="17"/>
          <w:color w:val="auto"/>
        </w:rPr>
        <w:t>By:</w:t>
        <w:tab/>
        <w:t>/s/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26670</wp:posOffset>
            </wp:positionV>
            <wp:extent cx="2691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7"/>
          <w:szCs w:val="17"/>
          <w:b w:val="1"/>
          <w:bCs w:val="1"/>
          <w:color w:val="auto"/>
        </w:rPr>
        <w:t>Stephen Altemus</w:t>
      </w:r>
    </w:p>
    <w:p>
      <w:pPr>
        <w:spacing w:after="0" w:line="3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34"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 AND 15d-14</w:t>
      </w: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Peter McGrath, certify that:</w:t>
      </w:r>
    </w:p>
    <w:p>
      <w:pPr>
        <w:spacing w:after="0" w:line="237"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September 30, 2024 of Intuitive Machines, Inc.;</w:t>
      </w:r>
    </w:p>
    <w:p>
      <w:pPr>
        <w:spacing w:after="0" w:line="236" w:lineRule="exact"/>
        <w:rPr>
          <w:rFonts w:ascii="Times New Roman" w:cs="Times New Roman" w:eastAsia="Times New Roman" w:hAnsi="Times New Roman"/>
          <w:sz w:val="17"/>
          <w:szCs w:val="17"/>
          <w:color w:val="auto"/>
        </w:rPr>
      </w:pPr>
    </w:p>
    <w:p>
      <w:pPr>
        <w:ind w:left="660" w:right="160" w:hanging="328"/>
        <w:spacing w:after="0" w:line="264"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60" w:right="620" w:hanging="328"/>
        <w:spacing w:after="0" w:line="281"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ind w:left="660" w:right="120" w:hanging="328"/>
        <w:spacing w:after="0" w:line="248"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7"/>
          <w:szCs w:val="17"/>
          <w:color w:val="auto"/>
        </w:rPr>
      </w:pPr>
    </w:p>
    <w:p>
      <w:pPr>
        <w:ind w:left="1300" w:right="240" w:hanging="320"/>
        <w:spacing w:after="0" w:line="256" w:lineRule="auto"/>
        <w:tabs>
          <w:tab w:leader="none" w:pos="129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300" w:right="540" w:hanging="320"/>
        <w:spacing w:after="0" w:line="248" w:lineRule="auto"/>
        <w:tabs>
          <w:tab w:leader="none" w:pos="129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7"/>
          <w:szCs w:val="17"/>
          <w:color w:val="auto"/>
        </w:rPr>
      </w:pPr>
    </w:p>
    <w:p>
      <w:pPr>
        <w:jc w:val="both"/>
        <w:ind w:left="1300" w:right="700" w:hanging="320"/>
        <w:spacing w:after="0" w:line="281" w:lineRule="auto"/>
        <w:tabs>
          <w:tab w:leader="none" w:pos="129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left="1300" w:right="240" w:hanging="320"/>
        <w:spacing w:after="0" w:line="248" w:lineRule="auto"/>
        <w:tabs>
          <w:tab w:leader="none" w:pos="129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7"/>
          <w:szCs w:val="17"/>
          <w:color w:val="auto"/>
        </w:rPr>
      </w:pPr>
    </w:p>
    <w:p>
      <w:pPr>
        <w:ind w:left="660" w:right="480" w:hanging="328"/>
        <w:spacing w:after="0" w:line="264"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4" w:lineRule="exact"/>
        <w:rPr>
          <w:rFonts w:ascii="Times New Roman" w:cs="Times New Roman" w:eastAsia="Times New Roman" w:hAnsi="Times New Roman"/>
          <w:sz w:val="17"/>
          <w:szCs w:val="17"/>
          <w:color w:val="auto"/>
        </w:rPr>
      </w:pPr>
    </w:p>
    <w:p>
      <w:pPr>
        <w:ind w:left="1300" w:right="160" w:hanging="320"/>
        <w:spacing w:after="0" w:line="264" w:lineRule="auto"/>
        <w:tabs>
          <w:tab w:leader="none" w:pos="129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1300" w:right="60" w:hanging="320"/>
        <w:spacing w:after="0" w:line="264" w:lineRule="auto"/>
        <w:tabs>
          <w:tab w:leader="none" w:pos="129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1580" w:val="left"/>
          <w:tab w:leader="none" w:pos="6220" w:val="left"/>
          <w:tab w:leader="none" w:pos="67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15, 2024</w:t>
      </w:r>
      <w:r>
        <w:rPr>
          <w:sz w:val="20"/>
          <w:szCs w:val="20"/>
          <w:color w:val="auto"/>
        </w:rPr>
        <w:tab/>
      </w:r>
      <w:r>
        <w:rPr>
          <w:rFonts w:ascii="Times New Roman" w:cs="Times New Roman" w:eastAsia="Times New Roman" w:hAnsi="Times New Roman"/>
          <w:sz w:val="17"/>
          <w:szCs w:val="17"/>
          <w:color w:val="auto"/>
        </w:rPr>
        <w:t>By:</w:t>
        <w:tab/>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26670</wp:posOffset>
            </wp:positionV>
            <wp:extent cx="2854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Peter McGrath</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141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Intuitive Machines, Inc. (the “Company”) for the quarter ended September 30, 2024, as filed with the Securities and Exchange Commission on the date hereof (the “Report”), I, Stephen Altemus, certify, pursuant to 18 U.S.C. Section 1350, as adopted pursuant to Section 906 of the Sarbanes-Oxley Act of 2002, that, to my knowledge::</w:t>
      </w:r>
    </w:p>
    <w:p>
      <w:pPr>
        <w:spacing w:after="0" w:line="20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1620" w:val="left"/>
          <w:tab w:leader="none" w:pos="6320" w:val="left"/>
          <w:tab w:leader="none" w:pos="6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17145</wp:posOffset>
            </wp:positionV>
            <wp:extent cx="27000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Stephen Altemus</w:t>
      </w:r>
    </w:p>
    <w:p>
      <w:pPr>
        <w:spacing w:after="0" w:line="3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Director</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41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Intuitive Machines, Inc. (the “Company”) for the quarter ended September 30, 2024, as filed with the Securities and Exchange Commission on the date hereof (the “Report”), I, Peter McGrath, certify, pursuant to 18 U.S.C. Section 1350, as adopted pursuant to Section 906 of the Sarbanes-Oxley Act of 2002, that, to my knowledge:</w:t>
      </w:r>
    </w:p>
    <w:p>
      <w:pPr>
        <w:spacing w:after="0" w:line="20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tabs>
          <w:tab w:leader="none" w:pos="1620" w:val="left"/>
          <w:tab w:leader="none" w:pos="5520" w:val="left"/>
          <w:tab w:leader="none" w:pos="6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Peter McGrath</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 and Senior Vice President</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upperLetter"/>
      <w:start w:val="6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2024-11-15T05:31:07Z</dcterms:created>
  <dcterms:modified xsi:type="dcterms:W3CDTF">2024-11-15T05:31:07Z</dcterms:modified>
</cp:coreProperties>
</file>