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871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1918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Ghaffarian Kamal Seyed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5937 SUNNYSLOPE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Machines,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LUNR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180" w:space="720"/>
            <w:col w:w="3111" w:space="720"/>
            <w:col w:w="3349"/>
          </w:cols>
          <w:pgMar w:left="460" w:top="215" w:right="35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NAPLES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34119</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left="371"/>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4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06/15/2026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vMerge w:val="restart"/>
          </w:tcPr>
          <w:p>
            <w:pPr>
              <w:jc w:val="center"/>
              <w:ind w:right="38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141,909</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0"/>
                <w:szCs w:val="2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3,636,677</w:t>
            </w:r>
          </w:p>
        </w:tc>
        <w:tc>
          <w:tcPr>
            <w:tcW w:w="340" w:type="dxa"/>
            <w:vAlign w:val="bottom"/>
          </w:tcPr>
          <w:p>
            <w:pPr>
              <w:spacing w:after="0"/>
              <w:rPr>
                <w:sz w:val="20"/>
                <w:szCs w:val="20"/>
                <w:color w:val="auto"/>
              </w:rPr>
            </w:pPr>
          </w:p>
        </w:tc>
        <w:tc>
          <w:tcPr>
            <w:tcW w:w="50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06/15/2026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141,909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34,930,085</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06/15/2026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121,809</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26.0322</w:t>
            </w:r>
            <w:r>
              <w:rPr>
                <w:rFonts w:ascii="Times New Roman" w:cs="Times New Roman" w:eastAsia="Times New Roman" w:hAnsi="Times New Roman"/>
                <w:sz w:val="20"/>
                <w:szCs w:val="20"/>
                <w:color w:val="008000"/>
                <w:w w:val="96"/>
                <w:vertAlign w:val="superscript"/>
              </w:rPr>
              <w:t>(5)</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3,514,868</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06/15/2026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19,334</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26.857</w:t>
            </w:r>
            <w:r>
              <w:rPr>
                <w:rFonts w:ascii="Times New Roman" w:cs="Times New Roman" w:eastAsia="Times New Roman" w:hAnsi="Times New Roman"/>
                <w:sz w:val="20"/>
                <w:szCs w:val="20"/>
                <w:color w:val="008000"/>
                <w:w w:val="96"/>
                <w:vertAlign w:val="superscript"/>
              </w:rPr>
              <w:t>(6)</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3,495,534</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tcBorders>
              <w:top w:val="single" w:sz="8" w:color="2C2C2C"/>
            </w:tcBorders>
            <w:gridSpan w:val="2"/>
            <w:vMerge w:val="restart"/>
          </w:tcPr>
          <w:p>
            <w:pPr>
              <w:jc w:val="center"/>
              <w:ind w:left="371"/>
              <w:spacing w:after="0"/>
              <w:rPr>
                <w:sz w:val="20"/>
                <w:szCs w:val="20"/>
                <w:color w:val="auto"/>
              </w:rPr>
            </w:pPr>
            <w:r>
              <w:rPr>
                <w:rFonts w:ascii="Times New Roman" w:cs="Times New Roman" w:eastAsia="Times New Roman" w:hAnsi="Times New Roman"/>
                <w:sz w:val="16"/>
                <w:szCs w:val="16"/>
                <w:color w:val="0000FF"/>
              </w:rPr>
              <w:t>06/15/2026</w:t>
            </w:r>
          </w:p>
        </w:tc>
        <w:tc>
          <w:tcPr>
            <w:tcW w:w="3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vMerge w:val="restart"/>
          </w:tcPr>
          <w:p>
            <w:pPr>
              <w:jc w:val="center"/>
              <w:ind w:right="384"/>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(4)</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766</w:t>
            </w:r>
          </w:p>
        </w:tc>
        <w:tc>
          <w:tcPr>
            <w:tcW w:w="5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27.7482</w:t>
            </w:r>
            <w:r>
              <w:rPr>
                <w:rFonts w:ascii="Times New Roman" w:cs="Times New Roman" w:eastAsia="Times New Roman" w:hAnsi="Times New Roman"/>
                <w:sz w:val="20"/>
                <w:szCs w:val="20"/>
                <w:color w:val="008000"/>
                <w:w w:val="96"/>
                <w:vertAlign w:val="superscript"/>
              </w:rPr>
              <w:t>(7)</w:t>
            </w:r>
          </w:p>
        </w:tc>
        <w:tc>
          <w:tcPr>
            <w:tcW w:w="6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3,494,768</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153,526</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jc w:val="center"/>
              <w:ind w:right="271"/>
              <w:spacing w:after="0"/>
              <w:rPr>
                <w:sz w:val="20"/>
                <w:szCs w:val="20"/>
                <w:color w:val="auto"/>
              </w:rPr>
            </w:pPr>
            <w:r>
              <w:rPr>
                <w:rFonts w:ascii="Times New Roman" w:cs="Times New Roman" w:eastAsia="Times New Roman" w:hAnsi="Times New Roman"/>
                <w:sz w:val="16"/>
                <w:szCs w:val="16"/>
                <w:color w:val="0000FF"/>
              </w:rPr>
              <w:t>D</w:t>
            </w: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3"/>
                <w:szCs w:val="13"/>
                <w:color w:val="0000FF"/>
                <w:w w:val="88"/>
              </w:rPr>
              <w:t>Class A</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gridSpan w:val="2"/>
            <w:vMerge w:val="restart"/>
          </w:tcPr>
          <w:p>
            <w:pPr>
              <w:ind w:left="260"/>
              <w:spacing w:after="0" w:line="113" w:lineRule="exact"/>
              <w:rPr>
                <w:sz w:val="20"/>
                <w:szCs w:val="20"/>
                <w:color w:val="auto"/>
              </w:rPr>
            </w:pPr>
            <w:r>
              <w:rPr>
                <w:rFonts w:ascii="Times New Roman" w:cs="Times New Roman" w:eastAsia="Times New Roman" w:hAnsi="Times New Roman"/>
                <w:sz w:val="13"/>
                <w:szCs w:val="13"/>
                <w:color w:val="0000FF"/>
              </w:rPr>
              <w:t>06/15/2026</w:t>
            </w: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vMerge w:val="restart"/>
          </w:tcPr>
          <w:p>
            <w:pPr>
              <w:ind w:left="160"/>
              <w:spacing w:after="0" w:line="113" w:lineRule="exact"/>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ind w:left="340"/>
              <w:spacing w:after="0" w:line="113" w:lineRule="exact"/>
              <w:rPr>
                <w:sz w:val="20"/>
                <w:szCs w:val="20"/>
                <w:color w:val="auto"/>
              </w:rPr>
            </w:pPr>
            <w:r>
              <w:rPr>
                <w:rFonts w:ascii="Times New Roman" w:cs="Times New Roman" w:eastAsia="Times New Roman" w:hAnsi="Times New Roman"/>
                <w:sz w:val="13"/>
                <w:szCs w:val="13"/>
                <w:color w:val="0000FF"/>
                <w:w w:val="89"/>
              </w:rPr>
              <w:t>141,909</w:t>
            </w: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1360" w:type="dxa"/>
            <w:vAlign w:val="bottom"/>
            <w:gridSpan w:val="3"/>
            <w:vMerge w:val="restart"/>
          </w:tcPr>
          <w:p>
            <w:pPr>
              <w:ind w:left="100"/>
              <w:spacing w:after="0" w:line="11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13"/>
                <w:szCs w:val="13"/>
                <w:color w:val="0000FF"/>
              </w:rPr>
              <w:t>141,909</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gridSpan w:val="2"/>
            <w:vMerge w:val="restart"/>
          </w:tcPr>
          <w:p>
            <w:pPr>
              <w:ind w:left="100"/>
              <w:spacing w:after="0" w:line="113" w:lineRule="exact"/>
              <w:rPr>
                <w:sz w:val="20"/>
                <w:szCs w:val="20"/>
                <w:color w:val="auto"/>
              </w:rPr>
            </w:pPr>
            <w:r>
              <w:rPr>
                <w:rFonts w:ascii="Times New Roman" w:cs="Times New Roman" w:eastAsia="Times New Roman" w:hAnsi="Times New Roman"/>
                <w:sz w:val="13"/>
                <w:szCs w:val="13"/>
                <w:color w:val="0000FF"/>
              </w:rPr>
              <w:t>34,930,085</w:t>
            </w:r>
          </w:p>
        </w:tc>
        <w:tc>
          <w:tcPr>
            <w:tcW w:w="500" w:type="dxa"/>
            <w:vAlign w:val="bottom"/>
            <w:vMerge w:val="restart"/>
          </w:tcPr>
          <w:p>
            <w:pPr>
              <w:ind w:left="380"/>
              <w:spacing w:after="0" w:line="113" w:lineRule="exact"/>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gridSpan w:val="3"/>
          </w:tcPr>
          <w:p>
            <w:pPr>
              <w:ind w:left="60"/>
              <w:spacing w:after="0" w:line="51" w:lineRule="exact"/>
              <w:rPr>
                <w:sz w:val="20"/>
                <w:szCs w:val="20"/>
                <w:color w:val="auto"/>
              </w:rPr>
            </w:pPr>
            <w:r>
              <w:rPr>
                <w:rFonts w:ascii="Times New Roman" w:cs="Times New Roman" w:eastAsia="Times New Roman" w:hAnsi="Times New Roman"/>
                <w:sz w:val="5"/>
                <w:szCs w:val="5"/>
                <w:color w:val="0000FF"/>
              </w:rPr>
              <w:t>Units</w:t>
            </w:r>
          </w:p>
        </w:tc>
        <w:tc>
          <w:tcPr>
            <w:tcW w:w="70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Borders>
              <w:right w:val="single" w:sz="8" w:color="2C2C2C"/>
            </w:tcBorders>
            <w:gridSpan w:val="3"/>
          </w:tcPr>
          <w:p>
            <w:pPr>
              <w:spacing w:after="0" w:line="51" w:lineRule="exact"/>
              <w:rPr>
                <w:sz w:val="20"/>
                <w:szCs w:val="20"/>
                <w:color w:val="auto"/>
              </w:rPr>
            </w:pPr>
            <w:r>
              <w:rPr>
                <w:rFonts w:ascii="Times New Roman" w:cs="Times New Roman" w:eastAsia="Times New Roman" w:hAnsi="Times New Roman"/>
                <w:sz w:val="5"/>
                <w:szCs w:val="5"/>
                <w:color w:val="0000FF"/>
              </w:rPr>
              <w:t>footnotes</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Ghaffarian Kamal Seyed</w:t>
              </w:r>
            </w:hyperlink>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5937 SUNNYSLOPE DRIVE</w:t>
            </w: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NAPLES</w:t>
            </w:r>
          </w:p>
        </w:tc>
        <w:tc>
          <w:tcPr>
            <w:tcW w:w="700" w:type="dxa"/>
            <w:vAlign w:val="bottom"/>
          </w:tcPr>
          <w:p>
            <w:pPr>
              <w:spacing w:after="0"/>
              <w:rPr>
                <w:sz w:val="19"/>
                <w:szCs w:val="19"/>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0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34119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40" w:type="dxa"/>
            <w:vAlign w:val="bottom"/>
          </w:tcPr>
          <w:p>
            <w:pPr>
              <w:ind w:left="3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Ghaffarian Enterprises, LLC</w:t>
              </w:r>
            </w:hyperlink>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40" w:type="dxa"/>
            <w:vAlign w:val="bottom"/>
          </w:tcPr>
          <w:p>
            <w:pPr>
              <w:ind w:left="38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-3898900</wp:posOffset>
            </wp:positionV>
            <wp:extent cx="28575" cy="1728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72847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801 THOMPSON AVENUE</w:t>
      </w:r>
    </w:p>
    <w:p>
      <w:pPr>
        <w:sectPr>
          <w:pgSz w:w="11900" w:h="16838" w:orient="portrait"/>
          <w:cols w:equalWidth="0" w:num="1">
            <w:col w:w="11080"/>
          </w:cols>
          <w:pgMar w:left="460" w:top="215" w:right="359" w:bottom="0" w:gutter="0" w:footer="0" w:header="0"/>
          <w:type w:val="continuous"/>
        </w:sect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ROCKVILLE</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MD</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20852</w:t>
            </w:r>
          </w:p>
        </w:tc>
        <w:tc>
          <w:tcPr>
            <w:tcW w:w="80" w:type="dxa"/>
            <w:vAlign w:val="bottom"/>
          </w:tcPr>
          <w:p>
            <w:pPr>
              <w:spacing w:after="0"/>
              <w:rPr>
                <w:sz w:val="18"/>
                <w:szCs w:val="18"/>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0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GM Enterprises, LLC</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801 THOMPSON AVENUE</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ROCKVILLE</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MD</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20852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-1975485</wp:posOffset>
            </wp:positionV>
            <wp:extent cx="2807335" cy="2051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7335" cy="2051050"/>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Units of Intuitive Machines, LLC may be redeemed for shares of the Issuer's Class A Common Stock on a one-to-one basis at the discretion of the holder. The Common Units do not expire. Upon the redemption of any Common Units, a number of shares of Class C Common Stock equal to the number of Common Units that are redeemed will automatically be cancelled for no consideration.</w:t>
      </w:r>
    </w:p>
    <w:p>
      <w:pPr>
        <w:spacing w:after="0" w:line="22" w:lineRule="exact"/>
        <w:rPr>
          <w:rFonts w:ascii="Times New Roman" w:cs="Times New Roman" w:eastAsia="Times New Roman" w:hAnsi="Times New Roman"/>
          <w:sz w:val="13"/>
          <w:szCs w:val="13"/>
          <w:color w:val="008000"/>
        </w:rPr>
      </w:pPr>
    </w:p>
    <w:p>
      <w:pPr>
        <w:ind w:left="20" w:right="4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represents (i) 2,241,121 Common Units and shares of Class C Common Stock held of record by GM Enterprises, LLC and (ii) (x) 32,688,964 Common Units and shares of Class C Common Stock and (y) 3,494,768 shares of Class A Common Stock held of record by Ghaffarian Enterprises, LLC.</w:t>
      </w:r>
    </w:p>
    <w:p>
      <w:pPr>
        <w:spacing w:after="0" w:line="22" w:lineRule="exact"/>
        <w:rPr>
          <w:rFonts w:ascii="Times New Roman" w:cs="Times New Roman" w:eastAsia="Times New Roman" w:hAnsi="Times New Roman"/>
          <w:sz w:val="13"/>
          <w:szCs w:val="13"/>
          <w:color w:val="008000"/>
        </w:rPr>
      </w:pPr>
    </w:p>
    <w:p>
      <w:pPr>
        <w:ind w:left="20" w:right="34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Kamal Ghaffarian is the sole managing member of GM Enterprises, LLC and is the sole trustee of a revocable trust that is the sole member of Ghaffarian Enterprises, LLC. As a result, Dr. Ghaffarian may be deemed to share beneficial ownership of the securities reported herein, but disclaims beneficial ownership except to the extent of his pecuniary interest therein.</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were effected pursuant to a Rule 10b5-1 plan adopted by Ghaffarian Enterprises, LLC on December 4, 2025.</w:t>
      </w:r>
    </w:p>
    <w:p>
      <w:pPr>
        <w:spacing w:after="0" w:line="39"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$25.58 to $26.57,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pacing w:after="0" w:line="24"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$26.58 to $27.50,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pacing w:after="0" w:line="24" w:lineRule="exact"/>
        <w:rPr>
          <w:rFonts w:ascii="Times New Roman" w:cs="Times New Roman" w:eastAsia="Times New Roman" w:hAnsi="Times New Roman"/>
          <w:sz w:val="13"/>
          <w:szCs w:val="13"/>
          <w:color w:val="008000"/>
        </w:rPr>
      </w:pPr>
    </w:p>
    <w:p>
      <w:pPr>
        <w:jc w:val="both"/>
        <w:ind w:left="20" w:right="200" w:hanging="2"/>
        <w:spacing w:after="0" w:line="236"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$27.59 to $27.85, inclusive. The reporting persons undertake to provide to the Issuer, any security holder of the Issuer or the staff of the Securities and Exchange Commission, upon request, full information regarding the number of shares sold at each separate price within the range set forth herein.</w:t>
      </w:r>
    </w:p>
    <w:p>
      <w:pPr>
        <w:sectPr>
          <w:pgSz w:w="11900" w:h="16838" w:orient="portrait"/>
          <w:cols w:equalWidth="0" w:num="1">
            <w:col w:w="10880"/>
          </w:cols>
          <w:pgMar w:left="480" w:top="127" w:right="539" w:bottom="1440" w:gutter="0" w:footer="0" w:header="0"/>
        </w:sectPr>
      </w:pP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Kamal Ghaffarian,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28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Ghaffarian Enterprises,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16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Kamal Ghaffarian,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56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its sole member,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43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GM Enterprises,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1112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Kamal Ghaffarian, trustee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316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sole member, By: /s/ 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07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81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700" w:space="80"/>
            <w:col w:w="2100"/>
          </w:cols>
          <w:pgMar w:left="480" w:top="127"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00" w:hanging="2"/>
        <w:spacing w:after="0" w:line="328"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3" Type="http://schemas.openxmlformats.org/officeDocument/2006/relationships/hyperlink" Target="http://www.sec.gov/cgi-bin/browse-edgar?action=getcompany&amp;CIK=0001963529" TargetMode="External"/><Relationship Id="rId14" Type="http://schemas.openxmlformats.org/officeDocument/2006/relationships/hyperlink" Target="http://www.sec.gov/cgi-bin/browse-edgar?action=getcompany&amp;CIK=0001844452" TargetMode="External"/><Relationship Id="rId16" Type="http://schemas.openxmlformats.org/officeDocument/2006/relationships/hyperlink" Target="http://www.sec.gov/cgi-bin/browse-edgar?action=getcompany&amp;CIK=0001965259" TargetMode="External"/><Relationship Id="rId18" Type="http://schemas.openxmlformats.org/officeDocument/2006/relationships/hyperlink" Target="http://www.sec.gov/cgi-bin/browse-edgar?action=getcompany&amp;CIK=000196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2026-06-17T17:02:17Z</dcterms:created>
  <dcterms:modified xsi:type="dcterms:W3CDTF">2026-06-17T17:02:17Z</dcterms:modified>
</cp:coreProperties>
</file>