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Intuitive Machines,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46125A100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0000FF"/>
        </w:rPr>
        <w:t>Kamal Seyed Ghaffarian</w:t>
      </w:r>
    </w:p>
    <w:p>
      <w:pPr>
        <w:spacing w:after="0" w:line="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0000FF"/>
        </w:rPr>
        <w:t>5937 Sunnyslope Drive,</w:t>
      </w:r>
    </w:p>
    <w:p>
      <w:pPr>
        <w:ind w:left="4000"/>
        <w:spacing w:after="0" w:line="230" w:lineRule="auto"/>
        <w:rPr>
          <w:sz w:val="20"/>
          <w:szCs w:val="20"/>
          <w:color w:val="auto"/>
        </w:rPr>
      </w:pPr>
      <w:r>
        <w:rPr>
          <w:rFonts w:ascii="Times New Roman" w:cs="Times New Roman" w:eastAsia="Times New Roman" w:hAnsi="Times New Roman"/>
          <w:sz w:val="22"/>
          <w:szCs w:val="22"/>
          <w:b w:val="1"/>
          <w:bCs w:val="1"/>
          <w:color w:val="0000FF"/>
        </w:rPr>
        <w:t>Naples, FL, 34119</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0000FF"/>
        </w:rPr>
        <w:t>(301) 486-3150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06/11/2025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46125A100</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Kamal Seyed Ghaffarian</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123,114.00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39,749,276.00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123,114.00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39,749,276.00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39,872,390.00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46125A100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Ghaffarian Enterprises,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MARYLAND</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37,259,075.00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37,259,075.00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37,259,075.00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46125A100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Intuitive Machines KG Parent,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249,080.00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249,080.00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249,080.00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0.2 %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46125A100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GM Enterprises,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2,241,121.00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2,241,121.00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2,241,121.00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Intuitive Machines,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13467 Columbia Shuttle Street, Houston, TEXAS , 77059.</w:t>
      </w:r>
    </w:p>
    <w:p>
      <w:pPr>
        <w:spacing w:after="0" w:line="20" w:lineRule="exact"/>
        <w:rPr>
          <w:sz w:val="20"/>
          <w:szCs w:val="20"/>
          <w:color w:val="auto"/>
        </w:rPr>
      </w:pPr>
    </w:p>
    <w:p>
      <w:pPr>
        <w:jc w:val="right"/>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9 to Schedule 13D (this "Amendment No. 9") amends and supplements the statement on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Schedule 13D filed with the United States Securities and Exchange Commission on February 8, 2024 (as amended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date, the "Schedule 13D"), relating to the Class A common stock, par value $0.0001 per share (the "Class A Common Stock"), of Intuitive Machines, Inc., a Delaware corporation (the "Issuer"). Capitalized terms used herein without</w:t>
      </w:r>
    </w:p>
    <w:p>
      <w:pPr>
        <w:spacing w:after="0" w:line="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definition shall have the meaning set forth in the Schedule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60"/>
        <w:spacing w:after="0" w:line="249" w:lineRule="auto"/>
        <w:rPr>
          <w:sz w:val="20"/>
          <w:szCs w:val="20"/>
          <w:color w:val="auto"/>
        </w:rPr>
      </w:pPr>
      <w:r>
        <w:rPr>
          <w:rFonts w:ascii="Times New Roman" w:cs="Times New Roman" w:eastAsia="Times New Roman" w:hAnsi="Times New Roman"/>
          <w:sz w:val="21"/>
          <w:szCs w:val="21"/>
          <w:color w:val="auto"/>
        </w:rPr>
        <w:t>Item 5 of the Schedule 13D is hereby amended and restated in its entirety with the following: The following sets forth, as of the date of this Schedule 13D, the aggregate number of shares of Class A Common Stock and percentage of Class A Common Stock beneficially owned by each of the Reporting Persons based on 117,330,851 shares of</w:t>
      </w:r>
    </w:p>
    <w:p>
      <w:pPr>
        <w:spacing w:after="0" w:line="1" w:lineRule="exact"/>
        <w:rPr>
          <w:sz w:val="20"/>
          <w:szCs w:val="20"/>
          <w:color w:val="auto"/>
        </w:rPr>
      </w:pPr>
    </w:p>
    <w:p>
      <w:pPr>
        <w:ind w:left="920" w:right="200" w:hanging="912"/>
        <w:spacing w:after="0" w:line="225"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Class A Common Stock outstanding as of May 8, 2025, as disclosed in the Issuer's Quarterly Report on Form 10-Q, as filed with the Securities and Exchange Commission on May 13, 2025. Kamal Seyed Ghaffarian Amount beneficially owned: 39,749,276 Percent of Class: 26.0% Ghaffarian Enterprises, LLC Amount beneficially owned: 37,259,075 Percent of Class: 24.7% Intuitive Machines KG Parent, LLC Amount beneficially owned: 249,080 Percent of Class: 0.2% GM Enterprises, LLC Amount beneficially owned: 2,241,121 Percent of Class: 1.9% Kamal Seyed Ghaffarian Sole Voting Power: 123,114 Shared Voting Power: 39,749,276 Sole Dispositive Power: 123,114 Shared Dispositive Power: 39,749,276 Ghaffarian Enterprises, LLC Sole Voting Power: 0 Shared Voting Power: 37,259,075 Sole Dispositive Power: 0 Shared Dispositive Power: 37,259,075 Intuitive Machines KG Parent, LLC Sole Voting Power: 0 Shared Voting Power: 249,080 Sole Dispositive Power: 0 Shared Dispositive Power: 249,080 GM Enterprises, LLC Sole Voting Power: 0 Shared Voting Power: 2,241,121 Sole Dispositive Power: 0 Shared Dispositive Power: 2,241,121 The securities reported herein include (i) 36,254,508 Common Units, which</w:t>
      </w:r>
    </w:p>
    <w:p>
      <w:pPr>
        <w:spacing w:after="0" w:line="10" w:lineRule="exact"/>
        <w:rPr>
          <w:rFonts w:ascii="Times New Roman" w:cs="Times New Roman" w:eastAsia="Times New Roman" w:hAnsi="Times New Roman"/>
          <w:sz w:val="42"/>
          <w:szCs w:val="42"/>
          <w:color w:val="auto"/>
          <w:vertAlign w:val="subscript"/>
        </w:rPr>
      </w:pPr>
    </w:p>
    <w:p>
      <w:pPr>
        <w:ind w:left="920" w:right="20" w:hanging="912"/>
        <w:spacing w:after="0" w:line="207" w:lineRule="auto"/>
        <w:tabs>
          <w:tab w:leader="none" w:pos="920" w:val="left"/>
        </w:tabs>
        <w:numPr>
          <w:ilvl w:val="0"/>
          <w:numId w:val="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may be redeemed for shares of Class A Common Stock on a one-to-one basis, of which 33,764,307 Common Units are held by Ghaffarian Enterprises, LLC, 249,080 Common Units are held by Intuitive Machines KG Parent, LLC and 2,241,121 Common Units are held by GM Enterprises, LLC; (ii) 3,494,768 shares of Class A Common Stock held directly by Ghaffarian Enterprises, LLC; and (iii) 123,114 shares of Class A Common Stock held directly by Dr. Ghaffarian. Dr. Ghaffarian is the sole trustee of a revocable trust, which is the sole member of Ghaffarian Enterprises, LLC and the sole managing member of Intuitive Machines KG Parent, LLC, and GM Enterprises, LLC. As a result, Dr. Ghaffarian may be deemed to share beneficial ownership of the securities reported herein, but disclaims beneficial ownership.</w:t>
      </w:r>
    </w:p>
    <w:p>
      <w:pPr>
        <w:spacing w:after="0" w:line="20" w:lineRule="exact"/>
        <w:rPr>
          <w:rFonts w:ascii="Times New Roman" w:cs="Times New Roman" w:eastAsia="Times New Roman" w:hAnsi="Times New Roman"/>
          <w:sz w:val="43"/>
          <w:szCs w:val="43"/>
          <w:color w:val="auto"/>
          <w:vertAlign w:val="subscript"/>
        </w:rPr>
      </w:pPr>
    </w:p>
    <w:p>
      <w:pPr>
        <w:ind w:left="920" w:right="60"/>
        <w:spacing w:after="0" w:line="249" w:lineRule="auto"/>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In the last 60 days, Ghaffarian Enterprises, LLC sold an aggregate of 241,524 shares of Class A Common Stock in open market transactions on the Nasdaq Stock Market pursuant to the Rule 10b5-1 trading plan adopted on December 18, 2024. On May 13, 2025, an aggregate of 161,016 shares were sold at a weighted average price of $12.1005 per</w:t>
      </w:r>
    </w:p>
    <w:p>
      <w:pPr>
        <w:spacing w:after="0" w:line="1" w:lineRule="exact"/>
        <w:rPr>
          <w:rFonts w:ascii="Times New Roman" w:cs="Times New Roman" w:eastAsia="Times New Roman" w:hAnsi="Times New Roman"/>
          <w:sz w:val="43"/>
          <w:szCs w:val="43"/>
          <w:color w:val="auto"/>
          <w:vertAlign w:val="subscript"/>
        </w:rPr>
      </w:pPr>
    </w:p>
    <w:p>
      <w:pPr>
        <w:ind w:left="920" w:right="140" w:hanging="912"/>
        <w:spacing w:after="0" w:line="196" w:lineRule="auto"/>
        <w:tabs>
          <w:tab w:leader="none" w:pos="920" w:val="left"/>
        </w:tabs>
        <w:numPr>
          <w:ilvl w:val="0"/>
          <w:numId w:val="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share, on May 19, 2025, an aggregate of 40,254 shares were sold at a weighted average price of $12.0165 per share and on June 6, 2025, an aggregate of 40,254 shares were sold at a weighted average price of $12.0439 per share. The Reporting Persons undertake to provide, upon request by the staff of the Securities and Exchange Commission, the Issuer, or a security holder of the Issuer, full information regarding the number of shares sold at each separate price for this transaction.</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100"/>
        <w:spacing w:after="0" w:line="244" w:lineRule="auto"/>
        <w:rPr>
          <w:sz w:val="20"/>
          <w:szCs w:val="20"/>
          <w:color w:val="auto"/>
        </w:rPr>
      </w:pPr>
      <w:r>
        <w:rPr>
          <w:rFonts w:ascii="Times New Roman" w:cs="Times New Roman" w:eastAsia="Times New Roman" w:hAnsi="Times New Roman"/>
          <w:sz w:val="21"/>
          <w:szCs w:val="21"/>
          <w:color w:val="auto"/>
        </w:rPr>
        <w:t>Item 6 of the Schedule 13D is hereby amended and supplemented with the following: Collateral Agreement On June 11, 2025, Ghaffarian Enterprises, LLC entered into a Secured Margin Line of Credit Agreement (the "Collateral Agreement") with JPMorgan Chase Bank, N.A. (the "Lender"). As security for its obligations under the Collateral Agreement, Ghaffarian Enterprises, LLC pledged 3,494,768 shares of Class A Common Stock (the "Pledged Shares"). All voting rights and rights to receive dividends or distributions with respect to the Pledged Shares will remain with Ghaffarian Enterprises, LLC unless an event of default under the Collateral Agreement has occurred and is continuing. In connection with the entry into the Collateral Agreement, Dr. Ghaffarian delivered a Representation Letter to the Issuer confirming, among other things, that the Pledged Shares represent less than 10% of the shares of Class A Common Stock beneficially owned by Dr. Ghaffarian and the loan amount represents less than 10% of the then market value of the shares of Class A Common Stock beneficially owned by Dr. Ghaffarian. The foregoing description of the Representation Letter does not purport to be complete and is qualified in its entirety by the full text of the Representation Letter, which is attached as an exhibit to this Schedule 13D and incorporated herein by reference. Except as set forth herein, the Reporting Persons do not have any contracts, arrangements, understandings or relationships (legal or otherwise) with any person with respect to any securities of the Issuer, including but not</w:t>
      </w:r>
    </w:p>
    <w:p>
      <w:pPr>
        <w:sectPr>
          <w:pgSz w:w="11900" w:h="16899" w:orient="portrait"/>
          <w:cols w:equalWidth="0" w:num="1">
            <w:col w:w="11160"/>
          </w:cols>
          <w:pgMar w:left="360" w:top="110" w:right="379" w:bottom="0" w:gutter="0" w:footer="0" w:header="0"/>
        </w:sectPr>
      </w:pPr>
    </w:p>
    <w:bookmarkStart w:id="5" w:name="page6"/>
    <w:bookmarkEnd w:id="5"/>
    <w:p>
      <w:pPr>
        <w:ind w:left="920" w:right="340"/>
        <w:spacing w:after="0" w:line="244" w:lineRule="auto"/>
        <w:rPr>
          <w:sz w:val="20"/>
          <w:szCs w:val="20"/>
          <w:color w:val="auto"/>
        </w:rPr>
      </w:pPr>
      <w:r>
        <w:rPr>
          <w:rFonts w:ascii="Times New Roman" w:cs="Times New Roman" w:eastAsia="Times New Roman" w:hAnsi="Times New Roman"/>
          <w:sz w:val="22"/>
          <w:szCs w:val="22"/>
          <w:color w:val="auto"/>
        </w:rPr>
        <w:t>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w:t>
      </w:r>
    </w:p>
    <w:p>
      <w:pPr>
        <w:spacing w:after="0" w:line="1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560"/>
        <w:spacing w:after="0" w:line="258" w:lineRule="auto"/>
        <w:rPr>
          <w:sz w:val="20"/>
          <w:szCs w:val="20"/>
          <w:color w:val="auto"/>
        </w:rPr>
      </w:pPr>
      <w:r>
        <w:rPr>
          <w:rFonts w:ascii="Times New Roman" w:cs="Times New Roman" w:eastAsia="Times New Roman" w:hAnsi="Times New Roman"/>
          <w:sz w:val="22"/>
          <w:szCs w:val="22"/>
          <w:color w:val="auto"/>
        </w:rPr>
        <w:t>Item 7 of the Schedule 13D is hereby amended and supplemented with the following: Exhibit 9: Representation Letter, dated June 6, 2025.</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Kamal Seyed Ghaffarian</w:t>
      </w:r>
    </w:p>
    <w:p>
      <w:pPr>
        <w:spacing w:after="0" w:line="152" w:lineRule="exact"/>
        <w:rPr>
          <w:sz w:val="20"/>
          <w:szCs w:val="20"/>
          <w:color w:val="auto"/>
        </w:rPr>
      </w:pPr>
    </w:p>
    <w:p>
      <w:pPr>
        <w:ind w:left="368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Kamal Seyed Ghaffarian</w:t>
      </w:r>
    </w:p>
    <w:p>
      <w:pPr>
        <w:spacing w:after="0" w:line="4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Name/Title: Kamal Seyed Ghaffarian</w:t>
      </w:r>
    </w:p>
    <w:p>
      <w:pPr>
        <w:spacing w:after="0" w:line="44" w:lineRule="exact"/>
        <w:rPr>
          <w:sz w:val="20"/>
          <w:szCs w:val="20"/>
          <w:color w:val="auto"/>
        </w:rPr>
      </w:pPr>
    </w:p>
    <w:p>
      <w:pPr>
        <w:ind w:left="3680"/>
        <w:spacing w:after="0"/>
        <w:tabs>
          <w:tab w:leader="none" w:pos="4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06/13/2025</w:t>
      </w:r>
    </w:p>
    <w:p>
      <w:pPr>
        <w:spacing w:after="0" w:line="15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Ghaffarian Enterprises,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Kamal Seyed Ghaffarian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Kamal Seyed Ghaffarian, Trustee of the Sole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06/13/2025</w:t>
      </w:r>
    </w:p>
    <w:p>
      <w:pPr>
        <w:spacing w:after="0" w:line="15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Intuitive Machines KG Parent,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Kamal Seyed Ghaffarian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Kamal Seyed Ghaffarian, Trustee of the Sole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Managing 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06/13/2025</w:t>
      </w:r>
    </w:p>
    <w:p>
      <w:pPr>
        <w:spacing w:after="0" w:line="152"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GM Enterprises,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Kamal Seyed Ghaffarian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Kamal Seyed Ghaffarian, Trustee of the Sole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Managing 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06/13/2025</w:t>
      </w:r>
    </w:p>
    <w:p>
      <w:pPr>
        <w:sectPr>
          <w:pgSz w:w="11900" w:h="16838" w:orient="portrait"/>
          <w:cols w:equalWidth="0" w:num="1">
            <w:col w:w="11140"/>
          </w:cols>
          <w:pgMar w:left="360" w:top="111" w:right="3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9</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6,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Intuitive Machines,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13467 Columbia Shuttle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TX 77059</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 Request for Approval of Pledge of Intuitive Machines, Inc.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undersigned, Dr. Kamal Ghaffarian, Chairman of the Board of Directors of Intuitive Machines,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proposes to enter into a credit facility (the “</w:t>
      </w:r>
      <w:r>
        <w:rPr>
          <w:rFonts w:ascii="Times New Roman" w:cs="Times New Roman" w:eastAsia="Times New Roman" w:hAnsi="Times New Roman"/>
          <w:sz w:val="18"/>
          <w:szCs w:val="18"/>
          <w:b w:val="1"/>
          <w:bCs w:val="1"/>
          <w:i w:val="1"/>
          <w:iCs w:val="1"/>
          <w:color w:val="auto"/>
        </w:rPr>
        <w:t>Credit Facility</w:t>
      </w:r>
      <w:r>
        <w:rPr>
          <w:rFonts w:ascii="Times New Roman" w:cs="Times New Roman" w:eastAsia="Times New Roman" w:hAnsi="Times New Roman"/>
          <w:sz w:val="18"/>
          <w:szCs w:val="18"/>
          <w:color w:val="auto"/>
        </w:rPr>
        <w:t>”) between the undersigned and/or one or more of the undersigned’s affiliates, as borrower (the “</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 and the applicable lender(s) party there (the “</w:t>
      </w:r>
      <w:r>
        <w:rPr>
          <w:rFonts w:ascii="Times New Roman" w:cs="Times New Roman" w:eastAsia="Times New Roman" w:hAnsi="Times New Roman"/>
          <w:sz w:val="18"/>
          <w:szCs w:val="18"/>
          <w:b w:val="1"/>
          <w:bCs w:val="1"/>
          <w:i w:val="1"/>
          <w:iCs w:val="1"/>
          <w:color w:val="auto"/>
        </w:rPr>
        <w:t>Lender</w:t>
      </w:r>
      <w:r>
        <w:rPr>
          <w:rFonts w:ascii="Times New Roman" w:cs="Times New Roman" w:eastAsia="Times New Roman" w:hAnsi="Times New Roman"/>
          <w:sz w:val="18"/>
          <w:szCs w:val="18"/>
          <w:color w:val="auto"/>
        </w:rPr>
        <w:t>”) and to pledge as security for the Credit Facility an aggregate of 3,494,768 shares (the “</w:t>
      </w:r>
      <w:r>
        <w:rPr>
          <w:rFonts w:ascii="Times New Roman" w:cs="Times New Roman" w:eastAsia="Times New Roman" w:hAnsi="Times New Roman"/>
          <w:sz w:val="18"/>
          <w:szCs w:val="18"/>
          <w:b w:val="1"/>
          <w:bCs w:val="1"/>
          <w:i w:val="1"/>
          <w:iCs w:val="1"/>
          <w:color w:val="auto"/>
        </w:rPr>
        <w:t>Pledged Shares</w:t>
      </w:r>
      <w:r>
        <w:rPr>
          <w:rFonts w:ascii="Times New Roman" w:cs="Times New Roman" w:eastAsia="Times New Roman" w:hAnsi="Times New Roman"/>
          <w:sz w:val="18"/>
          <w:szCs w:val="18"/>
          <w:color w:val="auto"/>
        </w:rPr>
        <w:t>”) of Class A common stock,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beneficially owned by the Borrower. Under the Company’s Insider Trading Compliance Policy and Procedures (the “</w:t>
      </w:r>
      <w:r>
        <w:rPr>
          <w:rFonts w:ascii="Times New Roman" w:cs="Times New Roman" w:eastAsia="Times New Roman" w:hAnsi="Times New Roman"/>
          <w:sz w:val="18"/>
          <w:szCs w:val="18"/>
          <w:b w:val="1"/>
          <w:bCs w:val="1"/>
          <w:i w:val="1"/>
          <w:iCs w:val="1"/>
          <w:color w:val="auto"/>
        </w:rPr>
        <w:t>Trading Policy</w:t>
      </w:r>
      <w:r>
        <w:rPr>
          <w:rFonts w:ascii="Times New Roman" w:cs="Times New Roman" w:eastAsia="Times New Roman" w:hAnsi="Times New Roman"/>
          <w:sz w:val="18"/>
          <w:szCs w:val="18"/>
          <w:color w:val="auto"/>
        </w:rPr>
        <w:t>”), the undersigned is prohibited from pledging Company securities as collateral for a loan except with the specific pre-approval by the Company’s Compliance Officer (as defined in the Trading Policy) upon request for an exemption. The undersigned hereby requests that the Compliance Officer consider and approve the pledge of the Pledged Shares in accordance with the Trading Policy and, in that connection, hereby warrants and represents to, and agrees with, the Company as of the date hereof:</w:t>
      </w:r>
    </w:p>
    <w:p>
      <w:pPr>
        <w:spacing w:after="0" w:line="189" w:lineRule="exact"/>
        <w:rPr>
          <w:sz w:val="20"/>
          <w:szCs w:val="20"/>
          <w:color w:val="auto"/>
        </w:rPr>
      </w:pPr>
    </w:p>
    <w:p>
      <w:pPr>
        <w:ind w:left="840" w:hanging="184"/>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Pledged Shares does not exceed 10% of the total shares of Common Stock beneficially owned by the undersigned.</w:t>
      </w:r>
    </w:p>
    <w:p>
      <w:pPr>
        <w:spacing w:after="0" w:line="22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82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borrowing of all amounts available under the Credit Facility, the aggregate loan amount would not exceed 10% of the fair market value of the total shares of Common Stock beneficially owned by the undersigned based on the closing price for the Common Stock on The Nasdaq Stock Market LLC on June 6, 2025.</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the financial resources and ability to repay all amounts under the Credit Facility when due without recourse to the Pledged Shares, and the assuming the borrowing of all amounts available under the Credit Facility, the aggregate loan amount would not exceed 5% of the undersigned’s net worth as reflected in the most recent financial information available.</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8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understands that the decision to allow the Lender to foreclose on Pledged Shares rather than repay applicable amounts under the Credit Facility or pledge additional or substitute collateral may be deemed to violate the Company’s Trading Policy and applicable rules and regulations of the U.S. federal securities laws, unless made in compliance with the requirements of the Company’s Trading Policy and such rules and regulations. In furtherance of the foregoing, the undersigned agrees to take such action under the Credit Facility as may be necessary to ensure that a liquidation of Pledged Shares does not occur, except in compliance with the Company’s Trading Policy and applicable rules and regulations of the U.S. federal securities laws (and not, for clarity, at any time when the undersigned is in possession of material nonpublic information with respect to the Company).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Dr. Kamal Ghaffarian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Kamal Ghaffarian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and Agreed: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INTUITIVE MACHINES, INC.</w:t>
      </w: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Anna Chiara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249428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Anna Chiara Jones</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2025-06-13T20:08:20Z</dcterms:created>
  <dcterms:modified xsi:type="dcterms:W3CDTF">2025-06-13T20:08:20Z</dcterms:modified>
</cp:coreProperties>
</file>