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2144d8ka.htm"/>
      <w:bookmarkStart w:id="1" w:name="ksd132144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January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INTUITIVE MACHINES,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265" w:type="dxa"/>
        <w:jc w:val="left"/>
        <w:tblInd w:w="0" w:type="dxa"/>
        <w:tblLayout w:type="fixed"/>
        <w:tblCellMar>
          <w:top w:w="0" w:type="dxa"/>
          <w:left w:w="0" w:type="dxa"/>
          <w:bottom w:w="0" w:type="dxa"/>
          <w:right w:w="0" w:type="dxa"/>
        </w:tblCellMar>
      </w:tblPr>
      <w:tblGrid>
        <w:gridCol w:w="2720"/>
        <w:gridCol w:w="60"/>
        <w:gridCol w:w="1055"/>
        <w:gridCol w:w="60"/>
        <w:gridCol w:w="137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001-40823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36-5056189</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935"/>
        <w:gridCol w:w="60"/>
        <w:gridCol w:w="10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13467 Columbia Shuttle Street</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77059</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(281) 520-3703</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985" w:type="dxa"/>
        <w:jc w:val="left"/>
        <w:tblInd w:w="0" w:type="dxa"/>
        <w:tblLayout w:type="fixed"/>
        <w:tblCellMar>
          <w:top w:w="0" w:type="dxa"/>
          <w:left w:w="0" w:type="dxa"/>
          <w:bottom w:w="0" w:type="dxa"/>
          <w:right w:w="0" w:type="dxa"/>
        </w:tblCellMar>
      </w:tblPr>
      <w:tblGrid>
        <w:gridCol w:w="5075"/>
        <w:gridCol w:w="60"/>
        <w:gridCol w:w="740"/>
        <w:gridCol w:w="60"/>
        <w:gridCol w:w="3050"/>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075"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LUNR</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As previously reported, on January 13, 2026, Intuitive Machines, Inc. (the “Company”) consummated the acquisition (the “Acquisition”) of 100% of the issued and outstanding membership interests of Lanteris Space Holdings LLC (“Lanteris”) through its subsidiary, Intuitive Machines, LLC (“Purchaser”), pursuant to the previously announced Membership Interest Purchase Agreement, dated as of November 3, 2025 (the “Purchase Agreement”), by and among the Company, Purchaser, Lanteris, Vantor Holdings Inc. (“Seller”) and Galileo TopCo, Inc. The Acquisition, first announced on November 4, 2025, was completed for $800 million before closing adjustments, consisting of $450 million in cash and $350 million of Intuitive Machines, Inc. Class A Common Stock, par value $0.0001 per share.</w:t>
      </w:r>
    </w:p>
    <w:p>
      <w:pPr>
        <w:pStyle w:val="TextBody"/>
        <w:bidi w:val="0"/>
        <w:spacing w:before="240" w:after="0"/>
        <w:jc w:val="left"/>
        <w:rPr/>
      </w:pPr>
      <w:r>
        <w:rPr>
          <w:rFonts w:ascii="Times New Roman" w:hAnsi="Times New Roman"/>
          <w:sz w:val="20"/>
        </w:rPr>
        <w:t>The Company’s Current Report on Form 8-K, filed with the Securities and Exchange Commission (the “SEC”) on January 13, 2026 (the “</w:t>
      </w:r>
      <w:hyperlink r:id="rId2">
        <w:r>
          <w:rPr>
            <w:rStyle w:val="InternetLink"/>
            <w:rFonts w:ascii="Times New Roman" w:hAnsi="Times New Roman"/>
            <w:sz w:val="20"/>
          </w:rPr>
          <w:t>Original Report</w:t>
        </w:r>
      </w:hyperlink>
      <w:r>
        <w:rPr>
          <w:rFonts w:ascii="Times New Roman" w:hAnsi="Times New Roman"/>
          <w:sz w:val="20"/>
        </w:rPr>
        <w:t>”), contains a description of the closing of the Acquisition and related matters, which description is incorporated herein by reference.</w:t>
      </w:r>
    </w:p>
    <w:p>
      <w:pPr>
        <w:pStyle w:val="TextBody"/>
        <w:bidi w:val="0"/>
        <w:spacing w:before="240" w:after="0"/>
        <w:jc w:val="left"/>
        <w:rPr>
          <w:rFonts w:ascii="Times New Roman" w:hAnsi="Times New Roman"/>
          <w:sz w:val="20"/>
        </w:rPr>
      </w:pPr>
      <w:r>
        <w:rPr>
          <w:rFonts w:ascii="Times New Roman" w:hAnsi="Times New Roman"/>
          <w:sz w:val="20"/>
        </w:rPr>
        <w:t>This Amendment No. 1 to the Original Report is being filed with the SEC solely to amend and supplement Item 9.01 of the Original Report to include the following information:</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historical audited consolidated financial statements of Lanteris as of December 31, 2025 and 2024, and for the years ended December 31, 2025 and 2024, attached hereto as Exhibit 99.1 and related consent of KPMG LLP, which is filed hereto as Exhibit 23.1;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Unaudited pro forma financial information and accompanying notes, as of and for the year ended December 31, 2025, attached hereto as Exhibit 99.2.</w:t>
            </w:r>
          </w:p>
        </w:tc>
      </w:tr>
    </w:tbl>
    <w:p>
      <w:pPr>
        <w:pStyle w:val="TextBody"/>
        <w:bidi w:val="0"/>
        <w:spacing w:before="240" w:after="0"/>
        <w:jc w:val="left"/>
        <w:rPr>
          <w:rFonts w:ascii="Times New Roman" w:hAnsi="Times New Roman"/>
          <w:sz w:val="20"/>
        </w:rPr>
      </w:pPr>
      <w:r>
        <w:rPr>
          <w:rFonts w:ascii="Times New Roman" w:hAnsi="Times New Roman"/>
          <w:sz w:val="20"/>
        </w:rPr>
        <w:t>This Amendment No. 1 makes no other amendments to the Original Report and should be read in conjunction with the Original Report. This Amendment No. 1 does not purport to provide an update or a discussion of any developments at the Company or its subsidiaries subsequent to the filing of the Original Report.</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 Financial Statements of Businesses or Funds Acquired. </w:t>
      </w:r>
    </w:p>
    <w:p>
      <w:pPr>
        <w:pStyle w:val="TextBody"/>
        <w:bidi w:val="0"/>
        <w:spacing w:before="120" w:after="0"/>
        <w:jc w:val="left"/>
        <w:rPr>
          <w:rFonts w:ascii="Times New Roman" w:hAnsi="Times New Roman"/>
          <w:sz w:val="20"/>
        </w:rPr>
      </w:pPr>
      <w:r>
        <w:rPr>
          <w:rFonts w:ascii="Times New Roman" w:hAnsi="Times New Roman"/>
          <w:sz w:val="20"/>
        </w:rPr>
        <w:t>The historical audited consolidated financial statements of Lanteris as of and for the years ended December 31, 2025 and 2024, consisting of the consolidated statements of operations for the years ended December 31, 2025 and 2024, consolidated statements of comprehensive income (loss) for the years ended December 31, 2025 and 2024, consolidated balance sheets as of December 31, 2025 and 2024, consolidated statements of cash flows for the years ended December 31, 2025 and 2024, consolidated statements of changes in member’s equity for the years ended December 31, 2025 and 2024 and related notes, are filed as Exhibit 99.1 hereto and incorporated herein by reference.</w:t>
      </w:r>
    </w:p>
    <w:p>
      <w:pPr>
        <w:pStyle w:val="TextBody"/>
        <w:bidi w:val="0"/>
        <w:spacing w:before="360" w:after="0"/>
        <w:jc w:val="left"/>
        <w:rPr>
          <w:rFonts w:ascii="Times New Roman" w:hAnsi="Times New Roman"/>
          <w:b/>
          <w:i/>
          <w:sz w:val="20"/>
        </w:rPr>
      </w:pPr>
      <w:r>
        <w:rPr>
          <w:rFonts w:ascii="Times New Roman" w:hAnsi="Times New Roman"/>
          <w:b/>
          <w:i/>
          <w:sz w:val="20"/>
        </w:rPr>
        <w:t xml:space="preserve">(b)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The unaudited pro forma condensed combined financial information of the Company giving effect to the Acquisition, including the unaudited pro forma condensed combined balance sheet as of December 31, 2025 and statement of income for the year ended December 31, 2025, and related notes thereto, are attached hereto as Exhibit 99.2 and incorporated herein by reference.</w:t>
      </w:r>
    </w:p>
    <w:p>
      <w:pPr>
        <w:pStyle w:val="TextBody"/>
        <w:bidi w:val="0"/>
        <w:spacing w:before="240" w:after="0"/>
        <w:jc w:val="left"/>
        <w:rPr>
          <w:rFonts w:ascii="Times New Roman" w:hAnsi="Times New Roman"/>
          <w:sz w:val="20"/>
        </w:rPr>
      </w:pPr>
      <w:r>
        <w:rPr>
          <w:rFonts w:ascii="Times New Roman" w:hAnsi="Times New Roman"/>
          <w:sz w:val="20"/>
        </w:rPr>
        <w:t>The unaudited pro forma condensed combined financial information has been prepared in accordance with Article 11 of Regulation S-X and should be read in conjunction with the accompanying notes. The unaudited pro forma condensed combined financial information is not intended to represent or be indicative of the Company’s consolidated results of operations or financial position that would have been reported had the Acquisition been completed as of the date presented and should not be taken as a representation of the Company’s future consolidated results of operations or financial condition. The pro forma adjustments are based on available information and certain assumptions that management believes are reasonable under the circumstances and are presented for informational purposes only.</w:t>
      </w:r>
    </w:p>
    <w:p>
      <w:pPr>
        <w:pStyle w:val="TextBody"/>
        <w:bidi w:val="0"/>
        <w:spacing w:before="24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0"/>
        <w:gridCol w:w="120"/>
        <w:gridCol w:w="838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8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center"/>
              <w:rPr>
                <w:b/>
              </w:rPr>
            </w:pPr>
            <w:r>
              <w:rPr>
                <w:b/>
              </w:rPr>
              <w:t>Exhibit Number</w:t>
            </w:r>
          </w:p>
        </w:tc>
        <w:tc>
          <w:tcPr>
            <w:tcW w:w="12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left"/>
              <w:rPr>
                <w:b/>
              </w:rPr>
            </w:pPr>
            <w:r>
              <w:rPr>
                <w:b/>
              </w:rPr>
              <w:t>Exhibit Description</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left"/>
              <w:rPr/>
            </w:pPr>
            <w:hyperlink w:anchor="d132144dex231.htm">
              <w:r>
                <w:rPr>
                  <w:rStyle w:val="InternetLink"/>
                </w:rPr>
                <w:t>Consent of KPMG LLP.</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left"/>
              <w:rPr/>
            </w:pPr>
            <w:hyperlink w:anchor="d132144dex991.htm">
              <w:r>
                <w:rPr>
                  <w:rStyle w:val="InternetLink"/>
                </w:rPr>
                <w:t>Audited consolidated financial statements of Lanteris Space Holdings LLC, as of and for the years ended December 31, 2025 and 2024.</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left"/>
              <w:rPr/>
            </w:pPr>
            <w:hyperlink w:anchor="d132144dex992.htm">
              <w:r>
                <w:rPr>
                  <w:rStyle w:val="InternetLink"/>
                </w:rPr>
                <w:t>Unaudited pro forma condensed combined financial information and accompanying notes, as of and for the year ended December 31, 2025.</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6283" w:type="dxa"/>
        <w:jc w:val="left"/>
        <w:tblInd w:w="0" w:type="dxa"/>
        <w:tblLayout w:type="fixed"/>
        <w:tblCellMar>
          <w:top w:w="0" w:type="dxa"/>
          <w:left w:w="0" w:type="dxa"/>
          <w:bottom w:w="0" w:type="dxa"/>
          <w:right w:w="0" w:type="dxa"/>
        </w:tblCellMar>
      </w:tblPr>
      <w:tblGrid>
        <w:gridCol w:w="589"/>
        <w:gridCol w:w="931"/>
        <w:gridCol w:w="358"/>
        <w:gridCol w:w="60"/>
        <w:gridCol w:w="650"/>
        <w:gridCol w:w="60"/>
        <w:gridCol w:w="3635"/>
      </w:tblGrid>
      <w:tr>
        <w:trPr/>
        <w:tc>
          <w:tcPr>
            <w:tcW w:w="58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vAlign w:val="center"/>
          </w:tcPr>
          <w:p>
            <w:pPr>
              <w:pStyle w:val="TableContents"/>
              <w:bidi w:val="0"/>
              <w:spacing w:before="0" w:after="283"/>
              <w:jc w:val="left"/>
              <w:rPr/>
            </w:pPr>
            <w:r>
              <w:rPr/>
              <w:t>Date: April 1, 2026</w:t>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pPr>
            <w:r>
              <w:rPr/>
              <w:t>INTUITIVE MACHINES, INC.</w:t>
            </w:r>
          </w:p>
        </w:tc>
      </w:tr>
      <w:tr>
        <w:trPr/>
        <w:tc>
          <w:tcPr>
            <w:tcW w:w="589" w:type="dxa"/>
            <w:tcBorders/>
            <w:vAlign w:val="center"/>
          </w:tcPr>
          <w:p>
            <w:pPr>
              <w:pStyle w:val="TableContents"/>
              <w:bidi w:val="0"/>
              <w:spacing w:before="0" w:after="283"/>
              <w:jc w:val="left"/>
              <w:rPr>
                <w:sz w:val="4"/>
                <w:szCs w:val="4"/>
              </w:rPr>
            </w:pPr>
            <w:r>
              <w:rPr>
                <w:sz w:val="4"/>
                <w:szCs w:val="4"/>
              </w:rPr>
            </w:r>
          </w:p>
        </w:tc>
        <w:tc>
          <w:tcPr>
            <w:tcW w:w="128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58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Altemus</w:t>
            </w:r>
          </w:p>
        </w:tc>
      </w:tr>
      <w:tr>
        <w:trPr/>
        <w:tc>
          <w:tcPr>
            <w:tcW w:w="58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Stephen Altemus</w:t>
            </w:r>
          </w:p>
        </w:tc>
      </w:tr>
      <w:tr>
        <w:trPr/>
        <w:tc>
          <w:tcPr>
            <w:tcW w:w="58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jc w:val="right"/>
        <w:rPr>
          <w:rFonts w:ascii="Times New Roman" w:hAnsi="Times New Roman"/>
          <w:b/>
          <w:sz w:val="20"/>
        </w:rPr>
      </w:pPr>
      <w:bookmarkStart w:id="2" w:name="d132144dex231.htm"/>
      <w:bookmarkStart w:id="3" w:name="ksd132144dex231"/>
      <w:bookmarkEnd w:id="2"/>
      <w:bookmarkEnd w:id="3"/>
      <w:r>
        <w:rPr>
          <w:rFonts w:ascii="Times New Roman" w:hAnsi="Times New Roman"/>
          <w:b/>
          <w:sz w:val="20"/>
        </w:rPr>
        <w:t xml:space="preserve">Exhibit 23.1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5"/>
        <w:gridCol w:w="121"/>
        <w:gridCol w:w="4220"/>
        <w:gridCol w:w="121"/>
        <w:gridCol w:w="3998"/>
      </w:tblGrid>
      <w:tr>
        <w:trPr/>
        <w:tc>
          <w:tcPr>
            <w:tcW w:w="17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2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98" w:type="dxa"/>
            <w:tcBorders/>
            <w:vAlign w:val="center"/>
          </w:tcPr>
          <w:p>
            <w:pPr>
              <w:pStyle w:val="TableContents"/>
              <w:bidi w:val="0"/>
              <w:spacing w:before="0" w:after="283"/>
              <w:jc w:val="left"/>
              <w:rPr>
                <w:sz w:val="4"/>
                <w:szCs w:val="4"/>
              </w:rPr>
            </w:pPr>
            <w:r>
              <w:rPr>
                <w:sz w:val="4"/>
                <w:szCs w:val="4"/>
              </w:rPr>
            </w:r>
          </w:p>
        </w:tc>
      </w:tr>
      <w:tr>
        <w:trPr/>
        <w:tc>
          <w:tcPr>
            <w:tcW w:w="1745" w:type="dxa"/>
            <w:tcBorders/>
          </w:tcPr>
          <w:p>
            <w:pPr>
              <w:pStyle w:val="TableContents"/>
              <w:bidi w:val="0"/>
              <w:spacing w:before="0" w:after="283"/>
              <w:jc w:val="left"/>
              <w:rPr/>
            </w:pPr>
            <w:r>
              <w:rPr/>
              <w:drawing>
                <wp:inline distT="0" distB="0" distL="0" distR="0">
                  <wp:extent cx="8953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895350" cy="3714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22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998" w:type="dxa"/>
            <w:tcBorders/>
          </w:tcPr>
          <w:p>
            <w:pPr>
              <w:pStyle w:val="TableContents"/>
              <w:bidi w:val="0"/>
              <w:spacing w:before="0" w:after="283"/>
              <w:jc w:val="left"/>
              <w:rPr>
                <w:sz w:val="4"/>
                <w:szCs w:val="4"/>
              </w:rPr>
            </w:pPr>
            <w:r>
              <w:rPr>
                <w:sz w:val="4"/>
                <w:szCs w:val="4"/>
              </w:rPr>
            </w:r>
          </w:p>
        </w:tc>
      </w:tr>
      <w:tr>
        <w:trPr/>
        <w:tc>
          <w:tcPr>
            <w:tcW w:w="17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20" w:type="dxa"/>
            <w:tcBorders/>
          </w:tcPr>
          <w:p>
            <w:pPr>
              <w:pStyle w:val="TableContents"/>
              <w:bidi w:val="0"/>
              <w:spacing w:before="0" w:after="0"/>
              <w:jc w:val="left"/>
              <w:rPr>
                <w:rFonts w:ascii="Times New Roman" w:hAnsi="Times New Roman"/>
                <w:sz w:val="20"/>
              </w:rPr>
            </w:pPr>
            <w:r>
              <w:rPr>
                <w:rFonts w:ascii="Times New Roman" w:hAnsi="Times New Roman"/>
                <w:sz w:val="20"/>
              </w:rPr>
              <w:t>KPMG LLP</w:t>
            </w:r>
          </w:p>
          <w:p>
            <w:pPr>
              <w:pStyle w:val="TableContents"/>
              <w:bidi w:val="0"/>
              <w:spacing w:before="0" w:after="0"/>
              <w:jc w:val="left"/>
              <w:rPr>
                <w:rFonts w:ascii="Times New Roman" w:hAnsi="Times New Roman"/>
                <w:sz w:val="20"/>
              </w:rPr>
            </w:pPr>
            <w:r>
              <w:rPr>
                <w:rFonts w:ascii="Times New Roman" w:hAnsi="Times New Roman"/>
                <w:sz w:val="20"/>
              </w:rPr>
              <w:t>Suite 800</w:t>
            </w:r>
          </w:p>
          <w:p>
            <w:pPr>
              <w:pStyle w:val="TableContents"/>
              <w:bidi w:val="0"/>
              <w:spacing w:before="0" w:after="0"/>
              <w:jc w:val="left"/>
              <w:rPr>
                <w:rFonts w:ascii="Times New Roman" w:hAnsi="Times New Roman"/>
                <w:sz w:val="20"/>
              </w:rPr>
            </w:pPr>
            <w:r>
              <w:rPr>
                <w:rFonts w:ascii="Times New Roman" w:hAnsi="Times New Roman"/>
                <w:sz w:val="20"/>
              </w:rPr>
              <w:t>1225 17th Street</w:t>
            </w:r>
          </w:p>
          <w:p>
            <w:pPr>
              <w:pStyle w:val="TableContents"/>
              <w:bidi w:val="0"/>
              <w:spacing w:before="0" w:after="20"/>
              <w:jc w:val="left"/>
              <w:rPr>
                <w:rFonts w:ascii="Times New Roman" w:hAnsi="Times New Roman"/>
                <w:sz w:val="20"/>
              </w:rPr>
            </w:pPr>
            <w:r>
              <w:rPr>
                <w:rFonts w:ascii="Times New Roman" w:hAnsi="Times New Roman"/>
                <w:sz w:val="20"/>
              </w:rPr>
              <w:t>Denver, CO 80202-5598</w:t>
            </w:r>
          </w:p>
        </w:tc>
        <w:tc>
          <w:tcPr>
            <w:tcW w:w="121" w:type="dxa"/>
            <w:tcBorders/>
            <w:vAlign w:val="bottom"/>
          </w:tcPr>
          <w:p>
            <w:pPr>
              <w:pStyle w:val="TableContents"/>
              <w:bidi w:val="0"/>
              <w:spacing w:before="0" w:after="283"/>
              <w:jc w:val="left"/>
              <w:rPr/>
            </w:pPr>
            <w:r>
              <w:rPr/>
              <w:t>  </w:t>
            </w:r>
          </w:p>
        </w:tc>
        <w:tc>
          <w:tcPr>
            <w:tcW w:w="3998"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statements on Form S-3 (File No. 333-278288) and on Form S-8 (File No. 333-271787) of Intuitive Machines, Inc of our report dated March 4, 2026, with respect to the consolidated financial statements of Lanteris Space Holdings, LLC included herein.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0" w:after="0"/>
        <w:jc w:val="left"/>
        <w:rPr>
          <w:rFonts w:ascii="Times New Roman" w:hAnsi="Times New Roman"/>
          <w:sz w:val="20"/>
        </w:rPr>
      </w:pPr>
      <w:r>
        <w:rPr>
          <w:rFonts w:ascii="Times New Roman" w:hAnsi="Times New Roman"/>
          <w:sz w:val="20"/>
        </w:rPr>
        <w:t xml:space="preserve">Denver, Colorado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KPMG LLP, a Delaware limited liability partnership, and its subsidiaries are part of </w:t>
      </w:r>
    </w:p>
    <w:p>
      <w:pPr>
        <w:pStyle w:val="TextBody"/>
        <w:bidi w:val="0"/>
        <w:spacing w:before="0" w:after="0"/>
        <w:jc w:val="left"/>
        <w:rPr>
          <w:rFonts w:ascii="Times New Roman" w:hAnsi="Times New Roman"/>
          <w:sz w:val="20"/>
        </w:rPr>
      </w:pPr>
      <w:r>
        <w:rPr>
          <w:rFonts w:ascii="Times New Roman" w:hAnsi="Times New Roman"/>
          <w:sz w:val="20"/>
        </w:rPr>
        <w:t xml:space="preserve">the KPMG global organization of independent member firms affiliated with KPMG </w:t>
      </w:r>
    </w:p>
    <w:p>
      <w:pPr>
        <w:pStyle w:val="TextBody"/>
        <w:bidi w:val="0"/>
        <w:spacing w:before="0" w:after="0"/>
        <w:jc w:val="left"/>
        <w:rPr>
          <w:rFonts w:ascii="Times New Roman" w:hAnsi="Times New Roman"/>
          <w:sz w:val="20"/>
        </w:rPr>
      </w:pPr>
      <w:r>
        <w:rPr>
          <w:rFonts w:ascii="Times New Roman" w:hAnsi="Times New Roman"/>
          <w:sz w:val="20"/>
        </w:rPr>
        <w:t xml:space="preserve">International Limited, a private English company limited by guarantee. </w:t>
      </w:r>
    </w:p>
    <w:p>
      <w:pPr>
        <w:pStyle w:val="TextBody"/>
        <w:bidi w:val="0"/>
        <w:spacing w:before="0" w:after="0"/>
        <w:jc w:val="right"/>
        <w:rPr>
          <w:rFonts w:ascii="Times New Roman" w:hAnsi="Times New Roman"/>
          <w:b/>
          <w:sz w:val="20"/>
        </w:rPr>
      </w:pPr>
      <w:bookmarkStart w:id="4" w:name="d132144dex991.htm"/>
      <w:bookmarkStart w:id="5" w:name="ksd132144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Lanteris Space Holdings LLC </w:t>
      </w:r>
    </w:p>
    <w:p>
      <w:pPr>
        <w:pStyle w:val="TextBody"/>
        <w:bidi w:val="0"/>
        <w:spacing w:before="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and 2024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66"/>
        <w:gridCol w:w="60"/>
        <w:gridCol w:w="470"/>
        <w:gridCol w:w="62"/>
      </w:tblGrid>
      <w:tr>
        <w:trPr/>
        <w:tc>
          <w:tcPr>
            <w:tcW w:w="9447"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Independent Auditor’s Report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Operations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Comprehensive Income (Loss)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Balance Sheets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Cash Flows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Consolidated Statements of Changes in Member’s Equity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Notes to Consolidated Financial Statements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8-29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9715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971550" cy="447675"/>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KPMG LLP </w:t>
      </w:r>
    </w:p>
    <w:p>
      <w:pPr>
        <w:pStyle w:val="TextBody"/>
        <w:bidi w:val="0"/>
        <w:spacing w:before="0" w:after="0"/>
        <w:jc w:val="left"/>
        <w:rPr>
          <w:rFonts w:ascii="Times New Roman" w:hAnsi="Times New Roman"/>
          <w:sz w:val="20"/>
        </w:rPr>
      </w:pPr>
      <w:r>
        <w:rPr>
          <w:rFonts w:ascii="Times New Roman" w:hAnsi="Times New Roman"/>
          <w:sz w:val="20"/>
        </w:rPr>
        <w:t xml:space="preserve">Suite 800 </w:t>
      </w:r>
    </w:p>
    <w:p>
      <w:pPr>
        <w:pStyle w:val="TextBody"/>
        <w:bidi w:val="0"/>
        <w:spacing w:before="0" w:after="0"/>
        <w:jc w:val="left"/>
        <w:rPr>
          <w:rFonts w:ascii="Times New Roman" w:hAnsi="Times New Roman"/>
          <w:sz w:val="20"/>
        </w:rPr>
      </w:pPr>
      <w:r>
        <w:rPr>
          <w:rFonts w:ascii="Times New Roman" w:hAnsi="Times New Roman"/>
          <w:sz w:val="20"/>
        </w:rPr>
        <w:t xml:space="preserve">1225 17th Street </w:t>
      </w:r>
    </w:p>
    <w:p>
      <w:pPr>
        <w:pStyle w:val="TextBody"/>
        <w:bidi w:val="0"/>
        <w:spacing w:before="0" w:after="0"/>
        <w:jc w:val="left"/>
        <w:rPr>
          <w:rFonts w:ascii="Times New Roman" w:hAnsi="Times New Roman"/>
          <w:sz w:val="20"/>
        </w:rPr>
      </w:pPr>
      <w:r>
        <w:rPr>
          <w:rFonts w:ascii="Times New Roman" w:hAnsi="Times New Roman"/>
          <w:sz w:val="20"/>
        </w:rPr>
        <w:t xml:space="preserve">Denver, CO 80202-5598 </w:t>
      </w:r>
    </w:p>
    <w:p>
      <w:pPr>
        <w:pStyle w:val="TextBody"/>
        <w:bidi w:val="0"/>
        <w:spacing w:before="240" w:after="0"/>
        <w:jc w:val="center"/>
        <w:rPr>
          <w:rFonts w:ascii="Times New Roman" w:hAnsi="Times New Roman"/>
          <w:b/>
          <w:sz w:val="20"/>
        </w:rPr>
      </w:pPr>
      <w:r>
        <w:rPr>
          <w:rFonts w:ascii="Times New Roman" w:hAnsi="Times New Roman"/>
          <w:b/>
          <w:sz w:val="20"/>
        </w:rPr>
        <w:t xml:space="preserve">Independent Auditors’ Report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Lanteris Space Holdings LLC: </w:t>
      </w:r>
    </w:p>
    <w:p>
      <w:pPr>
        <w:pStyle w:val="TextBody"/>
        <w:bidi w:val="0"/>
        <w:spacing w:before="120" w:after="0"/>
        <w:jc w:val="left"/>
        <w:rPr>
          <w:rFonts w:ascii="Times New Roman" w:hAnsi="Times New Roman"/>
          <w:i/>
          <w:sz w:val="20"/>
        </w:rPr>
      </w:pPr>
      <w:r>
        <w:rPr>
          <w:rFonts w:ascii="Times New Roman" w:hAnsi="Times New Roman"/>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Lanteris Space Holdings LLC and its subsidiaries (the Company), which comprise the consolidated balance sheets as of December 31, 2025 and 2024, and the related consolidated statements of operations, comprehensive income (loss), changes in member’s equity, and cash flows for the years then ended, and the related notes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financial statements present fairly, in all material respects, the financial position of the Company as of December 31, 2025 and 2024, and the results of its operations and its cash flows for the years then ended in accordance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i/>
          <w:sz w:val="20"/>
        </w:rPr>
      </w:pPr>
      <w:r>
        <w:rPr>
          <w:rFonts w:ascii="Times New Roman" w:hAnsi="Times New Roman"/>
          <w:i/>
          <w:sz w:val="20"/>
        </w:rPr>
        <w:t xml:space="preserve">Responsibilities of Management for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issued. </w:t>
      </w:r>
    </w:p>
    <w:p>
      <w:pPr>
        <w:pStyle w:val="TextBody"/>
        <w:bidi w:val="0"/>
        <w:spacing w:before="360" w:after="0"/>
        <w:jc w:val="left"/>
        <w:rPr>
          <w:rFonts w:ascii="Times New Roman" w:hAnsi="Times New Roman"/>
          <w:i/>
          <w:sz w:val="20"/>
        </w:rPr>
      </w:pPr>
      <w:r>
        <w:rPr>
          <w:rFonts w:ascii="Times New Roman" w:hAnsi="Times New Roman"/>
          <w:i/>
          <w:sz w:val="20"/>
        </w:rPr>
        <w:t xml:space="preserve">Auditors’ Responsibilities for the Audit of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KPMG LLP, a Delaware limited liability partnership, and its subsidiaries are part of </w:t>
      </w:r>
    </w:p>
    <w:p>
      <w:pPr>
        <w:pStyle w:val="TextBody"/>
        <w:bidi w:val="0"/>
        <w:spacing w:before="0" w:after="0"/>
        <w:jc w:val="center"/>
        <w:rPr>
          <w:rFonts w:ascii="Times New Roman" w:hAnsi="Times New Roman"/>
          <w:sz w:val="20"/>
        </w:rPr>
      </w:pPr>
      <w:r>
        <w:rPr>
          <w:rFonts w:ascii="Times New Roman" w:hAnsi="Times New Roman"/>
          <w:sz w:val="20"/>
        </w:rPr>
        <w:t xml:space="preserve">the KPMG global organization of independent member firms affiliated with KPMG </w:t>
      </w:r>
    </w:p>
    <w:p>
      <w:pPr>
        <w:pStyle w:val="TextBody"/>
        <w:bidi w:val="0"/>
        <w:spacing w:before="0" w:after="0"/>
        <w:jc w:val="center"/>
        <w:rPr>
          <w:rFonts w:ascii="Times New Roman" w:hAnsi="Times New Roman"/>
          <w:sz w:val="20"/>
        </w:rPr>
      </w:pPr>
      <w:r>
        <w:rPr>
          <w:rFonts w:ascii="Times New Roman" w:hAnsi="Times New Roman"/>
          <w:sz w:val="20"/>
        </w:rPr>
        <w:t xml:space="preserve">International Limited, a private English company limited by guarantee.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66750" cy="3200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666750" cy="32004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 related matters that we identified during the audit.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23975" cy="3390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323975" cy="3390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Denver, Colorado </w:t>
      </w:r>
    </w:p>
    <w:p>
      <w:pPr>
        <w:pStyle w:val="TextBody"/>
        <w:bidi w:val="0"/>
        <w:spacing w:before="0" w:after="0"/>
        <w:jc w:val="left"/>
        <w:rPr>
          <w:rFonts w:ascii="Times New Roman" w:hAnsi="Times New Roman"/>
          <w:sz w:val="20"/>
        </w:rPr>
      </w:pPr>
      <w:r>
        <w:rPr>
          <w:rFonts w:ascii="Times New Roman" w:hAnsi="Times New Roman"/>
          <w:sz w:val="20"/>
        </w:rPr>
        <w:t xml:space="preserve">March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Lanteris Space Holdings LLC </w:t>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Operations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8"/>
        <w:gridCol w:w="494"/>
        <w:gridCol w:w="352"/>
        <w:gridCol w:w="964"/>
        <w:gridCol w:w="155"/>
        <w:gridCol w:w="437"/>
        <w:gridCol w:w="352"/>
        <w:gridCol w:w="964"/>
        <w:gridCol w:w="159"/>
      </w:tblGrid>
      <w:tr>
        <w:trPr/>
        <w:tc>
          <w:tcPr>
            <w:tcW w:w="6328"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8"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 31, 2025</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 31, 2024</w:t>
            </w:r>
          </w:p>
        </w:tc>
        <w:tc>
          <w:tcPr>
            <w:tcW w:w="159"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964"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964" w:type="dxa"/>
            <w:tcBorders/>
            <w:vAlign w:val="bottom"/>
          </w:tcPr>
          <w:p>
            <w:pPr>
              <w:pStyle w:val="TableContents"/>
              <w:bidi w:val="0"/>
              <w:spacing w:before="0" w:after="283"/>
              <w:jc w:val="right"/>
              <w:rPr/>
            </w:pPr>
            <w:r>
              <w:rPr/>
              <w:t>647</w:t>
            </w:r>
          </w:p>
        </w:tc>
        <w:tc>
          <w:tcPr>
            <w:tcW w:w="159"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 Related Party</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75</w:t>
            </w:r>
          </w:p>
        </w:tc>
        <w:tc>
          <w:tcPr>
            <w:tcW w:w="159" w:type="dxa"/>
            <w:tcBorders/>
            <w:shd w:fill="CCEEFF" w:val="clear"/>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601</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722</w:t>
            </w:r>
          </w:p>
        </w:tc>
        <w:tc>
          <w:tcPr>
            <w:tcW w:w="159"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Product costs, excluding depreciation and amortization</w:t>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470</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543</w:t>
            </w:r>
          </w:p>
        </w:tc>
        <w:tc>
          <w:tcPr>
            <w:tcW w:w="159"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costs, excluding depreciation and amortization – Related Party</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65</w:t>
            </w:r>
          </w:p>
        </w:tc>
        <w:tc>
          <w:tcPr>
            <w:tcW w:w="159"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59</w:t>
            </w:r>
          </w:p>
        </w:tc>
        <w:tc>
          <w:tcPr>
            <w:tcW w:w="159"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38</w:t>
            </w:r>
          </w:p>
        </w:tc>
        <w:tc>
          <w:tcPr>
            <w:tcW w:w="159"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14</w:t>
            </w:r>
          </w:p>
        </w:tc>
        <w:tc>
          <w:tcPr>
            <w:tcW w:w="159" w:type="dxa"/>
            <w:tcBorders/>
            <w:vAlign w:val="bottom"/>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15</w:t>
            </w:r>
          </w:p>
        </w:tc>
        <w:tc>
          <w:tcPr>
            <w:tcW w:w="159" w:type="dxa"/>
            <w:tcBorders/>
            <w:shd w:fill="CCEEFF" w:val="clear"/>
            <w:vAlign w:val="bottom"/>
          </w:tcPr>
          <w:p>
            <w:pPr>
              <w:pStyle w:val="TableContents"/>
              <w:bidi w:val="0"/>
              <w:spacing w:before="0" w:after="283"/>
              <w:jc w:val="left"/>
              <w:rPr/>
            </w:pPr>
            <w:r>
              <w:rPr/>
              <w:t> </w:t>
            </w:r>
          </w:p>
        </w:tc>
      </w:tr>
      <w:tr>
        <w:trPr/>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49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4"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4"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6328"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Lanteris Space Holdings LLC </w:t>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Comprehensive Income (Loss)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5"/>
        <w:gridCol w:w="548"/>
        <w:gridCol w:w="458"/>
        <w:gridCol w:w="852"/>
        <w:gridCol w:w="155"/>
        <w:gridCol w:w="493"/>
        <w:gridCol w:w="458"/>
        <w:gridCol w:w="852"/>
        <w:gridCol w:w="64"/>
      </w:tblGrid>
      <w:tr>
        <w:trPr/>
        <w:tc>
          <w:tcPr>
            <w:tcW w:w="6325" w:type="dxa"/>
            <w:tcBorders/>
            <w:vAlign w:val="center"/>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5"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 31, 2025</w:t>
            </w:r>
          </w:p>
        </w:tc>
        <w:tc>
          <w:tcPr>
            <w:tcW w:w="155"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 31, 2024</w:t>
            </w:r>
          </w:p>
        </w:tc>
        <w:tc>
          <w:tcPr>
            <w:tcW w:w="64"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548"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14</w:t>
            </w:r>
          </w:p>
        </w:tc>
        <w:tc>
          <w:tcPr>
            <w:tcW w:w="64"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net of tax:</w:t>
            </w:r>
          </w:p>
        </w:tc>
        <w:tc>
          <w:tcPr>
            <w:tcW w:w="548"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pension and other postretirement benefit plans, net</w:t>
            </w:r>
          </w:p>
        </w:tc>
        <w:tc>
          <w:tcPr>
            <w:tcW w:w="548"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14</w:t>
            </w:r>
          </w:p>
        </w:tc>
        <w:tc>
          <w:tcPr>
            <w:tcW w:w="64"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net of tax:</w:t>
            </w:r>
          </w:p>
        </w:tc>
        <w:tc>
          <w:tcPr>
            <w:tcW w:w="548"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income, net of tax</w:t>
            </w:r>
          </w:p>
        </w:tc>
        <w:tc>
          <w:tcPr>
            <w:tcW w:w="548"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28</w:t>
            </w:r>
          </w:p>
        </w:tc>
        <w:tc>
          <w:tcPr>
            <w:tcW w:w="64"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Lanteris Space Holdings LLC </w:t>
      </w:r>
    </w:p>
    <w:p>
      <w:pPr>
        <w:pStyle w:val="TextBody"/>
        <w:bidi w:val="0"/>
        <w:spacing w:before="0" w:after="0"/>
        <w:jc w:val="left"/>
        <w:rPr>
          <w:rFonts w:ascii="Times New Roman" w:hAnsi="Times New Roman"/>
          <w:sz w:val="20"/>
        </w:rPr>
      </w:pPr>
      <w:r>
        <w:rPr>
          <w:rFonts w:ascii="Times New Roman" w:hAnsi="Times New Roman"/>
          <w:sz w:val="20"/>
        </w:rPr>
        <w:t xml:space="preserve">Consolidated Balance Sheets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42"/>
        <w:gridCol w:w="487"/>
        <w:gridCol w:w="380"/>
        <w:gridCol w:w="1058"/>
        <w:gridCol w:w="60"/>
        <w:gridCol w:w="487"/>
        <w:gridCol w:w="283"/>
        <w:gridCol w:w="1145"/>
        <w:gridCol w:w="63"/>
      </w:tblGrid>
      <w:tr>
        <w:trPr/>
        <w:tc>
          <w:tcPr>
            <w:tcW w:w="6242" w:type="dxa"/>
            <w:tcBorders/>
            <w:vAlign w:val="center"/>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42"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2</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Trade and other receivables, net</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157</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34</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Advances to suppliers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11</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239</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Orbital receivables, net</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226</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265</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133</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178</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194</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194</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919</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1,017</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and member’s equity</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5"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37</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156</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212</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47</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273</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399</w:t>
            </w:r>
          </w:p>
        </w:tc>
        <w:tc>
          <w:tcPr>
            <w:tcW w:w="63" w:type="dxa"/>
            <w:tcBorders/>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other postretirement benefits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42</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422</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612</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462</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383</w:t>
            </w:r>
          </w:p>
        </w:tc>
        <w:tc>
          <w:tcPr>
            <w:tcW w:w="63" w:type="dxa"/>
            <w:tcBorders/>
            <w:vAlign w:val="bottom"/>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22</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497</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405</w:t>
            </w:r>
          </w:p>
        </w:tc>
        <w:tc>
          <w:tcPr>
            <w:tcW w:w="63" w:type="dxa"/>
            <w:tcBorders/>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4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919</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1,017</w:t>
            </w:r>
          </w:p>
        </w:tc>
        <w:tc>
          <w:tcPr>
            <w:tcW w:w="63" w:type="dxa"/>
            <w:tcBorders/>
            <w:shd w:fill="CCEEFF" w:val="clear"/>
            <w:vAlign w:val="bottom"/>
          </w:tcPr>
          <w:p>
            <w:pPr>
              <w:pStyle w:val="TableContents"/>
              <w:bidi w:val="0"/>
              <w:spacing w:before="0" w:after="283"/>
              <w:jc w:val="left"/>
              <w:rPr/>
            </w:pPr>
            <w:r>
              <w:rPr/>
              <w:t> </w:t>
            </w:r>
          </w:p>
        </w:tc>
      </w:tr>
      <w:tr>
        <w:trPr/>
        <w:tc>
          <w:tcPr>
            <w:tcW w:w="6242"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Lanteris Space Holdings LLC </w:t>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Cash Flows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25"/>
        <w:gridCol w:w="545"/>
        <w:gridCol w:w="352"/>
        <w:gridCol w:w="965"/>
        <w:gridCol w:w="155"/>
        <w:gridCol w:w="488"/>
        <w:gridCol w:w="352"/>
        <w:gridCol w:w="965"/>
        <w:gridCol w:w="158"/>
      </w:tblGrid>
      <w:tr>
        <w:trPr/>
        <w:tc>
          <w:tcPr>
            <w:tcW w:w="6225"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 31, 2025</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 31, 2024</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(used in) provided by:</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14</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(used in) provided by operating activities: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38</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and other receivables, net</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103</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to suppliers</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14</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assets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33</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other liabilities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(71</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(55</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Cash (used in) provided by operating activities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87</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 and development of software</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(32</w:t>
            </w:r>
          </w:p>
        </w:tc>
        <w:tc>
          <w:tcPr>
            <w:tcW w:w="158" w:type="dxa"/>
            <w:tcBorders/>
            <w:vAlign w:val="bottom"/>
          </w:tcPr>
          <w:p>
            <w:pPr>
              <w:pStyle w:val="TableContents"/>
              <w:bidi w:val="0"/>
              <w:spacing w:before="0" w:after="283"/>
              <w:jc w:val="left"/>
              <w:rPr/>
            </w:pPr>
            <w:r>
              <w:rPr/>
              <w:t>) </w:t>
            </w:r>
          </w:p>
        </w:tc>
      </w:tr>
      <w:tr>
        <w:trPr/>
        <w:tc>
          <w:tcPr>
            <w:tcW w:w="6225"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used in investing activities</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(32</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securitization liability</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(38</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securitization of orbital receivables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 (to), contributions from Parent, net</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(51</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Cash provided by (used in) financing activities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(54</w:t>
            </w:r>
          </w:p>
        </w:tc>
        <w:tc>
          <w:tcPr>
            <w:tcW w:w="158" w:type="dxa"/>
            <w:tcBorders/>
            <w:vAlign w:val="bottom"/>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cash, cash equivalents, and restricted cash</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year</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6225"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Reconciliation of cash flow information:</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included in Prepaid and other current assets</w:t>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6225"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54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6225"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Lanteris Space Holdings LLC </w:t>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Changes in Member’s Equity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7"/>
        <w:gridCol w:w="414"/>
        <w:gridCol w:w="469"/>
        <w:gridCol w:w="1278"/>
        <w:gridCol w:w="155"/>
        <w:gridCol w:w="355"/>
        <w:gridCol w:w="433"/>
        <w:gridCol w:w="1182"/>
        <w:gridCol w:w="60"/>
        <w:gridCol w:w="414"/>
        <w:gridCol w:w="437"/>
        <w:gridCol w:w="1192"/>
        <w:gridCol w:w="159"/>
      </w:tblGrid>
      <w:tr>
        <w:trPr/>
        <w:tc>
          <w:tcPr>
            <w:tcW w:w="3657"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7"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Member’s equity</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Income</w:t>
            </w:r>
          </w:p>
        </w:tc>
        <w:tc>
          <w:tcPr>
            <w:tcW w:w="6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equity</w:t>
            </w:r>
          </w:p>
        </w:tc>
        <w:tc>
          <w:tcPr>
            <w:tcW w:w="159"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on December 31, 2023</w:t>
            </w:r>
          </w:p>
        </w:tc>
        <w:tc>
          <w:tcPr>
            <w:tcW w:w="414"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417</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425</w:t>
            </w:r>
          </w:p>
        </w:tc>
        <w:tc>
          <w:tcPr>
            <w:tcW w:w="159"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14"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14</w:t>
            </w:r>
          </w:p>
        </w:tc>
        <w:tc>
          <w:tcPr>
            <w:tcW w:w="159"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and other post retirement plan adjustments</w:t>
            </w:r>
          </w:p>
        </w:tc>
        <w:tc>
          <w:tcPr>
            <w:tcW w:w="414"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Parent, net</w:t>
            </w:r>
          </w:p>
        </w:tc>
        <w:tc>
          <w:tcPr>
            <w:tcW w:w="414"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(48</w:t>
            </w:r>
          </w:p>
        </w:tc>
        <w:tc>
          <w:tcPr>
            <w:tcW w:w="159" w:type="dxa"/>
            <w:tcBorders/>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on December 31, 2024</w:t>
            </w:r>
          </w:p>
        </w:tc>
        <w:tc>
          <w:tcPr>
            <w:tcW w:w="414"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383</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405</w:t>
            </w:r>
          </w:p>
        </w:tc>
        <w:tc>
          <w:tcPr>
            <w:tcW w:w="159" w:type="dxa"/>
            <w:tcBorders/>
            <w:shd w:fill="CCEEFF" w:val="clear"/>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14"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and other post retirement plan adjustments</w:t>
            </w:r>
          </w:p>
        </w:tc>
        <w:tc>
          <w:tcPr>
            <w:tcW w:w="414"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13</w:t>
            </w:r>
          </w:p>
        </w:tc>
        <w:tc>
          <w:tcPr>
            <w:tcW w:w="159" w:type="dxa"/>
            <w:tcBorders/>
            <w:shd w:fill="CCEEFF" w:val="clear"/>
            <w:vAlign w:val="bottom"/>
          </w:tcPr>
          <w:p>
            <w:pPr>
              <w:pStyle w:val="TableContents"/>
              <w:bidi w:val="0"/>
              <w:spacing w:before="0" w:after="283"/>
              <w:jc w:val="left"/>
              <w:rPr/>
            </w:pPr>
            <w:r>
              <w:rPr/>
              <w:t> </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 from Parent, net</w:t>
            </w:r>
          </w:p>
        </w:tc>
        <w:tc>
          <w:tcPr>
            <w:tcW w:w="414"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82</w:t>
            </w:r>
          </w:p>
        </w:tc>
        <w:tc>
          <w:tcPr>
            <w:tcW w:w="159" w:type="dxa"/>
            <w:tcBorders/>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on December 31, 2025</w:t>
            </w:r>
          </w:p>
        </w:tc>
        <w:tc>
          <w:tcPr>
            <w:tcW w:w="414"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462</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497</w:t>
            </w:r>
          </w:p>
        </w:tc>
        <w:tc>
          <w:tcPr>
            <w:tcW w:w="159" w:type="dxa"/>
            <w:tcBorders/>
            <w:shd w:fill="CCEEFF" w:val="clear"/>
            <w:vAlign w:val="bottom"/>
          </w:tcPr>
          <w:p>
            <w:pPr>
              <w:pStyle w:val="TableContents"/>
              <w:bidi w:val="0"/>
              <w:spacing w:before="0" w:after="283"/>
              <w:jc w:val="left"/>
              <w:rPr/>
            </w:pPr>
            <w:r>
              <w:rPr/>
              <w:t> </w:t>
            </w:r>
          </w:p>
        </w:tc>
      </w:tr>
      <w:tr>
        <w:trPr/>
        <w:tc>
          <w:tcPr>
            <w:tcW w:w="3657"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37"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6" w:name="ex99_1toc132144_6"/>
      <w:bookmarkEnd w:id="6"/>
      <w:r>
        <w:rPr>
          <w:rFonts w:ascii="Times New Roman" w:hAnsi="Times New Roman"/>
          <w:b/>
          <w:sz w:val="20"/>
        </w:rPr>
        <w:t xml:space="preserve">1. GENERAL BUSINESS DESCRIPTION </w:t>
      </w:r>
    </w:p>
    <w:p>
      <w:pPr>
        <w:pStyle w:val="TextBody"/>
        <w:bidi w:val="0"/>
        <w:spacing w:before="120" w:after="0"/>
        <w:jc w:val="left"/>
        <w:rPr>
          <w:rFonts w:ascii="Times New Roman" w:hAnsi="Times New Roman"/>
          <w:b/>
          <w:sz w:val="20"/>
        </w:rPr>
      </w:pPr>
      <w:r>
        <w:rPr>
          <w:rFonts w:ascii="Times New Roman" w:hAnsi="Times New Roman"/>
          <w:b/>
          <w:sz w:val="20"/>
        </w:rPr>
        <w:t xml:space="preserve">Organization and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Lanteris Space Holdings LLC (“Lanteris” or the “Company”) is a wholly owned subsidiary of Vantor Inc. (“Vantor”). Galileo Topco, Inc. (“Galileo” or “Parent”) is the parent company of Vantor and is the ultimate parent of Lanteris. On October 1, 2025, Maxar Technologies Inc. was renamed Vantor Inc. and its wholly owned subsidiary Maxar Space Systems was renamed Lanteris Space Holdings LLC. </w:t>
      </w:r>
    </w:p>
    <w:p>
      <w:pPr>
        <w:pStyle w:val="TextBody"/>
        <w:bidi w:val="0"/>
        <w:spacing w:before="240" w:after="0"/>
        <w:jc w:val="left"/>
        <w:rPr>
          <w:rFonts w:ascii="Times New Roman" w:hAnsi="Times New Roman"/>
          <w:sz w:val="20"/>
        </w:rPr>
      </w:pPr>
      <w:r>
        <w:rPr>
          <w:rFonts w:ascii="Times New Roman" w:hAnsi="Times New Roman"/>
          <w:sz w:val="20"/>
        </w:rPr>
        <w:t xml:space="preserve">Lanteris is a leading provider of comprehensive space technologies. Lanteris delivers innovative solutions to government and commercial customers helping them address a broad spectrum of needs, including mission systems engineering, product design, spacecraft manufacturing, assembly, integration, and testing. With more than 60 years of mission experience Lanteris is a trusted partner in commercial and government missions, to design and manufacture satellites and spacecraft components for communications, earth observation, space exploration, and on-orbit servicing and assembly.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Lanteris has historically operated as a part of Galileo; consequently, stand-alone financial statements have not historically been prepared for Lanteris. The accompanying Consolidated Financial Statements have been prepared from Galileo’s historical accounting records and are presented on a stand-alone basis as if the Company’s operations had been conducted independently from Galileo. These Consolidated Financial Statements have been prepared in accordance with accounting principles generally accepted (“GAAP”) in the United States of America (“U.S.”), collectively (“U.S. GAAP”).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Statements of Operations include all revenues and costs directly attributable to Lanteris, including costs for facilities, functions and services used by Lanteris. Costs for certain functions and services performed by centralized Galileo organizations are directly charged to Lanteris based on specific identification when possible or based on a reasonable allocation driver such as net sales, headcount, usage or other allocation methods. The results of operations include allocations of costs for administrative functions and services performed on behalf of Lanteris by centralized groups within Galileo (see Note 9 – Related Parties for a description of the allocation methodologies employed). All charges and allocations for facilities, functions and services performed by Galileo have been settled in cash by Lanteris to Galileo in the period in which the cost was recorded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Galileo uses a centralized approach to cash management and treasury functions to finance its operations. Accordingly, none of the cash, third-party debt, or related interest expense of Galileo has been allocated to Lanteris in the Consolidated Financial Statements. However, cash balances of Lanteris that were specific to the Company and therefore not part Galileo’s cash management program have been included in the Consolidated Financial Statements. Transactions between Galileo and Lanteris are deemed to have been settled immediately through equity. The net effect of the deemed settled transactions is reflected in the Consolidated Statements of Cash Flows as Distributions to Parent, net within financing activities and in the Consolidated Balance Sheets as equity. See Note 9 – Related Parties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significant intracompany accounts and transactions within the Company have been eliminated in the preparation of the Consolidated Financial Statements. The Consolidated Financial Statements of the Company include assets and liabilities that have been determined to be specifically or otherwise attributable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All of the allocations and estimates in the Consolidated Financial Statements are based on assumptions that management believes are reasonable. However, the Consolidated Financial Statements included herein may not be indicative of the financial position, results of operations and cash flows of Lanteris in the future, or if Lanteris had been a separate, stand-alone entity during the years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Use of estimates, assumptions and judgments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accordance with U.S. GAAP requires the Company to make estimates and judgments that affect the reported amounts of assets and liabilities and the disclosure of contingencies at the reporting date, as well as the reported amounts of revenues and expenses during the reporting period. Estimates have been prepared using the most current and best available information; however, actual results could differ materially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in accordance with the five-step model set forth by Accounting Standards Codification (“ASC”) 606, which involves identification of the contract(s), identification of performance obligations in the contract, determination of the transaction price, allocation of the transaction price to the previously identified performance obligations and recognition of revenue as the performance obligations are satisfied. Revenue is measured at the fair value of consideration received or receivable, net of discounts as of the date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Contract costs generally include direct costs such as materials, labor and subcontract costs. Costs are expensed as incurred except for certain costs incurred to obtain or fulfill a contract, which are capitalized and amortized on a systematic basis consistent with the transfer of goods or services to the customer to which the capitalized costs relate. As of December 31, 2025 and 2024, costs to obtain or fulfill a contract were insignificant and $3 million, respectively and are included in Prepaid and other current assets within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revenue is primarily generated from long-term construction contracts. Due to the long-term nature of these contracts, the Company generally recognizes revenue over time using the cost-to-cost method to measure progress. Under the cost-to-cost method, revenue is recognized based on the proportion of total costs incurred to estimated total costs at completion (“EAC”). Revenue recognition is also contingent on estimated contractual consideration. Variable consideration is included in the Company’s estimates to the extent it is probable that a significant reversal in the amount of cumulative revenue recognized will not occur when the uncertainty associated with the variable consideration is subsequently resolved. The Company estimates variable consideration as the most likely amount to which it expects to be entitled. An EAC includes all direct costs and indirect costs directly attributable to a program or allocable based on program cost pooling arrangements. Estimates regarding the Company’s cost associated with the design, manufacture and delivery of products and services are used in determining the EAC. Changes to EAC costs or estimated contractual consideration are recorded as a cumulative catch-up adjustment. When estimates of total costs to be incurred on a contract exceed total estimated contractual consideration, a provision for the entire forward loss is recognized in the period in which the loss becomes evident. </w:t>
      </w:r>
    </w:p>
    <w:p>
      <w:pPr>
        <w:pStyle w:val="TextBody"/>
        <w:bidi w:val="0"/>
        <w:spacing w:before="240" w:after="0"/>
        <w:jc w:val="left"/>
        <w:rPr>
          <w:rFonts w:ascii="Times New Roman" w:hAnsi="Times New Roman"/>
          <w:sz w:val="20"/>
        </w:rPr>
      </w:pPr>
      <w:r>
        <w:rPr>
          <w:rFonts w:ascii="Times New Roman" w:hAnsi="Times New Roman"/>
          <w:sz w:val="20"/>
        </w:rPr>
        <w:t xml:space="preserve">Our cost estimation process is based on the professional knowledge of our engineering, program management and financial professionals and draws on their significant experience and judgement. We prepare EAC’s for our contracts and calculate estimated revenues and costs over the life of our contracts. Variable consideration is included in our estimates to the extent it is probable that a significant reversal in the amount of cumulative revenue recognized will not occur when the uncertainty associated with the variable consideration is subsequently resolved. Since our contracts typically span a period of several years, estimates of revenue, cost and progress toward completion requires the use of judgement. Judgements and estimates are re-assessed at least quarterly with most estimates being updated on a monthly basis. Adjustments in estimates could have a material impact on revenue recognition based on the significance of the adjustments. Factors considered in these estimates include our historical performance, the availability, productivity and costs of labor, the nature and complexity of work to be performed, availability and costs of materials, components and subcontracts, the risk and impact of delayed performance and level of indirect cost allocations. </w:t>
      </w:r>
    </w:p>
    <w:p>
      <w:pPr>
        <w:pStyle w:val="TextBody"/>
        <w:bidi w:val="0"/>
        <w:spacing w:before="240" w:after="0"/>
        <w:jc w:val="left"/>
        <w:rPr>
          <w:rFonts w:ascii="Times New Roman" w:hAnsi="Times New Roman"/>
          <w:sz w:val="20"/>
        </w:rPr>
      </w:pPr>
      <w:r>
        <w:rPr>
          <w:rFonts w:ascii="Times New Roman" w:hAnsi="Times New Roman"/>
          <w:sz w:val="20"/>
        </w:rPr>
        <w:t xml:space="preserve">Satellite construction contracts may include performance incentives whereby payment for a portion of the purchase price is contingent upon in-orbit performance of the satellite. These performance incentives are structured in two forms. As a warranty payback, the customer pays the entire amount of the performance incentive during the period of the satellite construction and such incentives are subject to refund if satellite performance does not achieve certain predefined operating specifications. As an orbital receivable, the customer makes payment of performance incentives over the estimated in-orbit life of the satellite. Performance incentives, whether warranty payback or orbital receivables, are included in revenue during the construction period to the extent it is probable that a significant reversal in the amount of cumulative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recognized will not occur when the uncertainty associated with the variable consideration is subsequently resolved. Amounts attributable to the financing element of post-launch payments are recorded as revenue over the incentive period. A portion of performance incentives may be allocated to services in the post-launch period if a separate performance obligation for such services has been determined to exist within the contract. In addition to the in-orbit performance incentives, satellite construction contracts may include liquidated damages clauses. Liquidated damages can be incurred on programs as a result of delays due to slippage or for programs which fail to meet all milestone requirements as outlined within the contractual arrangements with customers. Losses related to liquidated damages result in a reduction of revenue recognized and are recorded in the period in which, based on available facts and circumstances, management believes it is probable that liquidated damages will be incurred and enforced. </w:t>
      </w:r>
    </w:p>
    <w:p>
      <w:pPr>
        <w:pStyle w:val="TextBody"/>
        <w:bidi w:val="0"/>
        <w:spacing w:before="240" w:after="0"/>
        <w:jc w:val="left"/>
        <w:rPr>
          <w:rFonts w:ascii="Times New Roman" w:hAnsi="Times New Roman"/>
          <w:sz w:val="20"/>
        </w:rPr>
      </w:pPr>
      <w:r>
        <w:rPr>
          <w:rFonts w:ascii="Times New Roman" w:hAnsi="Times New Roman"/>
          <w:sz w:val="20"/>
        </w:rPr>
        <w:t xml:space="preserve">Construction contracts have termination clauses. If a contract is terminated for convenience by a customer, the Company is typically entitled to costs incurred plus a reasonable profit.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is comprised of cash on hand, cash balances with banks and similar institutions and term deposits redeemable within three months or less from date of acquisition with banks and similar institutions. Restricted cash is excluded from cash and cash equivalents and is included in Prepaid and other current assets or Other non-current assets in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 and other receivables, net </w:t>
      </w:r>
    </w:p>
    <w:p>
      <w:pPr>
        <w:pStyle w:val="TextBody"/>
        <w:bidi w:val="0"/>
        <w:spacing w:before="120" w:after="0"/>
        <w:jc w:val="left"/>
        <w:rPr>
          <w:rFonts w:ascii="Times New Roman" w:hAnsi="Times New Roman"/>
          <w:sz w:val="20"/>
        </w:rPr>
      </w:pPr>
      <w:r>
        <w:rPr>
          <w:rFonts w:ascii="Times New Roman" w:hAnsi="Times New Roman"/>
          <w:sz w:val="20"/>
        </w:rPr>
        <w:t xml:space="preserve">Trade and other receivables include amounts billed to customers, unbilled receivables in which the Company’s right to consideration is unconditional and current portion of orbital receivables, net of allowance for expected credit losses. The Company bills customers as work progresses in accordance with agreed-upon contractual terms, either at periodic intervals, upon achievement of contractual milestones or upon deliveries. The allowance for credit losses is determined primarily based on historical losses, current economic conditions, and customer financial condition. As of December 31, 2025 and December 31, 2024, the allowance for credit losses were insignificant. </w:t>
      </w:r>
    </w:p>
    <w:p>
      <w:pPr>
        <w:pStyle w:val="TextBody"/>
        <w:bidi w:val="0"/>
        <w:spacing w:before="360" w:after="0"/>
        <w:jc w:val="left"/>
        <w:rPr>
          <w:rFonts w:ascii="Times New Roman" w:hAnsi="Times New Roman"/>
          <w:i/>
          <w:sz w:val="20"/>
        </w:rPr>
      </w:pPr>
      <w:r>
        <w:rPr>
          <w:rFonts w:ascii="Times New Roman" w:hAnsi="Times New Roman"/>
          <w:i/>
          <w:sz w:val="20"/>
        </w:rPr>
        <w:t xml:space="preserve">Orbital Receivables </w:t>
      </w:r>
    </w:p>
    <w:p>
      <w:pPr>
        <w:pStyle w:val="TextBody"/>
        <w:bidi w:val="0"/>
        <w:spacing w:before="120" w:after="0"/>
        <w:jc w:val="left"/>
        <w:rPr>
          <w:rFonts w:ascii="Times New Roman" w:hAnsi="Times New Roman"/>
          <w:sz w:val="20"/>
        </w:rPr>
      </w:pPr>
      <w:r>
        <w:rPr>
          <w:rFonts w:ascii="Times New Roman" w:hAnsi="Times New Roman"/>
          <w:sz w:val="20"/>
        </w:rPr>
        <w:t xml:space="preserve">Orbital receivables relate to performance incentives due under certain satellite construction contracts that are paid over the in-orbit life of the satellite. Orbital receivables are recognized as revenue when measuring progress under the cost-to-cost method during the construction period. The interest portion of the in-orbit payments is recognized as orbital revenue. Current orbital receivables are included in Trade and other receivables, net and long-term orbital receivables are included in Non-current assets, net of allowances 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an allowance on its orbital receivables when, based on current events and circumstances, it believes it is probable the outstanding amounts will not be collected. The Company utilizes customer credit ratings, expected credit loss and other credit quality indicators, as well as contractual terms to evaluate the collectability of orbital receivables annually. When qualitative factors indicate that all or a portion of an outstanding orbital receivable is uncollectable, or that all or a portion of an outstanding orbital receivable previously deemed uncollectable is collectable, a fair value assessment is performed using a discounted cash flow model as an indicator to determine whether an increase or decrease in the allowance is necessary. Increases and decreases in the orbital receivables allowance are included in (Gain) loss on orbital receivables allowance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does not fulfill its performance obligation associated with its orbital receivables, a write-off of those orbital receivables will occur resulting in a reduction in the contractual value and revenue recognition associated with the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 revolving securitization facility agreement with an international financial institution. Under the terms of the agreement, the Company may offer to sell eligible orbital receivables from time to time with terms of five years or less, discounted to face value using prevailing market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sold certain orbital receivables in tranches that span multiple years and include longer-term maturities. The orbital receivables that have been securitized remain recognized on the Consolidated Balance Sheets as the Company does not meet the accounting criteria for surrendering control of the receivables. The net proceeds received on the orbital receivables have been recognized as securitization liabilities and are subsequently measured at amortized cost using the effective interest rate method. Securitization liabilities are presented in Other current liabilities and Other non-current liabilities on the Consolidated Balance Sheets. The securitized orbital receivables and the securitization liabilities are being drawn down as payments are received from the customers and passed on to the purchaser of the tranche. The Company continues to recognize orbital revenue on the orbital receivables that are subject to the securitization transactions and recognizes interest expense to accrete the securitization liability. </w:t>
      </w:r>
    </w:p>
    <w:p>
      <w:pPr>
        <w:pStyle w:val="TextBody"/>
        <w:bidi w:val="0"/>
        <w:spacing w:before="360" w:after="0"/>
        <w:jc w:val="left"/>
        <w:rPr>
          <w:rFonts w:ascii="Times New Roman" w:hAnsi="Times New Roman"/>
          <w:sz w:val="20"/>
        </w:rPr>
      </w:pPr>
      <w:r>
        <w:rPr>
          <w:rFonts w:ascii="Times New Roman" w:hAnsi="Times New Roman"/>
          <w:b/>
          <w:i/>
          <w:sz w:val="20"/>
        </w:rPr>
        <w:t>Inventor</w:t>
      </w:r>
      <w:r>
        <w:rPr>
          <w:rFonts w:ascii="Times New Roman" w:hAnsi="Times New Roman"/>
          <w:b/>
          <w:sz w:val="20"/>
        </w:rPr>
        <w:t xml:space="preserve">y </w:t>
      </w:r>
    </w:p>
    <w:p>
      <w:pPr>
        <w:pStyle w:val="TextBody"/>
        <w:bidi w:val="0"/>
        <w:spacing w:before="120" w:after="0"/>
        <w:jc w:val="left"/>
        <w:rPr>
          <w:rFonts w:ascii="Times New Roman" w:hAnsi="Times New Roman"/>
          <w:sz w:val="20"/>
        </w:rPr>
      </w:pPr>
      <w:r>
        <w:rPr>
          <w:rFonts w:ascii="Times New Roman" w:hAnsi="Times New Roman"/>
          <w:sz w:val="20"/>
        </w:rPr>
        <w:t xml:space="preserve">Inventories are measured at the lower of cost or net realizable value and consist primarily of parts and sub-assemblies used in the manufacturing of satellites. The cost of inventories is determined on a first-in-first-out basis or weighted average cost basis, depending on the nature of the inventory. Net realizable value is the estimated selling price in the ordinary course of business, less the estimated costs of completion and selling expense. Inventory is impaired when it is probable inventory values exceed their net realizable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is measured at cost less accumulated depreciation. When the costs of certain components of an item of property, plant and equipment are significant in relation to the total cost of the item and the components have different useful lives, they are accounted for and depreciated separately. Property, plant and equipment under construction are measured at cost less any impairment losses. Construction in progress includes capitalizable costs related to internally developed software, classified as property, plant and equipment until the software is ready for its intended use, at which point in time amounts are classified as software within Intangible assets, net. </w:t>
      </w:r>
    </w:p>
    <w:p>
      <w:pPr>
        <w:pStyle w:val="TextBody"/>
        <w:bidi w:val="0"/>
        <w:spacing w:before="240" w:after="0"/>
        <w:jc w:val="left"/>
        <w:rPr>
          <w:rFonts w:ascii="Times New Roman" w:hAnsi="Times New Roman"/>
          <w:sz w:val="20"/>
        </w:rPr>
      </w:pPr>
      <w:r>
        <w:rPr>
          <w:rFonts w:ascii="Times New Roman" w:hAnsi="Times New Roman"/>
          <w:sz w:val="20"/>
        </w:rPr>
        <w:t xml:space="preserve">Depreciation expense is recognized in income on a straight-line basis over the estimated useful life of the related asset to its residual value. Expected useful lives are reviewed at least annually. Land is not depreciated. </w:t>
      </w:r>
    </w:p>
    <w:p>
      <w:pPr>
        <w:pStyle w:val="TextBody"/>
        <w:bidi w:val="0"/>
        <w:spacing w:before="240" w:after="0"/>
        <w:jc w:val="left"/>
        <w:rPr>
          <w:rFonts w:ascii="Times New Roman" w:hAnsi="Times New Roman"/>
          <w:sz w:val="20"/>
        </w:rPr>
      </w:pPr>
      <w:r>
        <w:rPr>
          <w:rFonts w:ascii="Times New Roman" w:hAnsi="Times New Roman"/>
          <w:sz w:val="20"/>
        </w:rPr>
        <w:t xml:space="preserve">The estimated useful lives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6"/>
        <w:gridCol w:w="123"/>
        <w:gridCol w:w="2736"/>
      </w:tblGrid>
      <w:tr>
        <w:trPr/>
        <w:tc>
          <w:tcPr>
            <w:tcW w:w="734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734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73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Estimated useful life</w:t>
            </w:r>
          </w:p>
        </w:tc>
      </w:tr>
      <w:tr>
        <w:trPr/>
        <w:tc>
          <w:tcPr>
            <w:tcW w:w="7346" w:type="dxa"/>
            <w:tcBorders/>
            <w:vAlign w:val="bottom"/>
          </w:tcPr>
          <w:p>
            <w:pPr>
              <w:pStyle w:val="TableContents"/>
              <w:bidi w:val="0"/>
              <w:spacing w:before="0" w:after="283"/>
              <w:jc w:val="left"/>
              <w:rPr/>
            </w:pPr>
            <w:r>
              <w:rPr/>
              <w:t>Land improvements</w:t>
            </w:r>
          </w:p>
        </w:tc>
        <w:tc>
          <w:tcPr>
            <w:tcW w:w="123" w:type="dxa"/>
            <w:tcBorders/>
            <w:vAlign w:val="bottom"/>
          </w:tcPr>
          <w:p>
            <w:pPr>
              <w:pStyle w:val="TableContents"/>
              <w:bidi w:val="0"/>
              <w:spacing w:before="0" w:after="283"/>
              <w:jc w:val="left"/>
              <w:rPr/>
            </w:pPr>
            <w:r>
              <w:rPr/>
              <w:t>  </w:t>
            </w:r>
          </w:p>
        </w:tc>
        <w:tc>
          <w:tcPr>
            <w:tcW w:w="2736" w:type="dxa"/>
            <w:tcBorders/>
            <w:vAlign w:val="bottom"/>
          </w:tcPr>
          <w:p>
            <w:pPr>
              <w:pStyle w:val="TableContents"/>
              <w:bidi w:val="0"/>
              <w:spacing w:before="0" w:after="283"/>
              <w:jc w:val="left"/>
              <w:rPr/>
            </w:pPr>
            <w:r>
              <w:rPr/>
              <w:t>20 years</w:t>
            </w:r>
          </w:p>
        </w:tc>
      </w:tr>
      <w:tr>
        <w:trPr/>
        <w:tc>
          <w:tcPr>
            <w:tcW w:w="7346" w:type="dxa"/>
            <w:tcBorders/>
            <w:vAlign w:val="bottom"/>
          </w:tcPr>
          <w:p>
            <w:pPr>
              <w:pStyle w:val="TableContents"/>
              <w:bidi w:val="0"/>
              <w:spacing w:before="0" w:after="283"/>
              <w:jc w:val="left"/>
              <w:rPr/>
            </w:pPr>
            <w:r>
              <w:rPr/>
              <w:t>Buildings</w:t>
            </w:r>
          </w:p>
        </w:tc>
        <w:tc>
          <w:tcPr>
            <w:tcW w:w="123" w:type="dxa"/>
            <w:tcBorders/>
            <w:vAlign w:val="bottom"/>
          </w:tcPr>
          <w:p>
            <w:pPr>
              <w:pStyle w:val="TableContents"/>
              <w:bidi w:val="0"/>
              <w:spacing w:before="0" w:after="283"/>
              <w:jc w:val="left"/>
              <w:rPr/>
            </w:pPr>
            <w:r>
              <w:rPr/>
              <w:t>  </w:t>
            </w:r>
          </w:p>
        </w:tc>
        <w:tc>
          <w:tcPr>
            <w:tcW w:w="2736" w:type="dxa"/>
            <w:tcBorders/>
            <w:vAlign w:val="bottom"/>
          </w:tcPr>
          <w:p>
            <w:pPr>
              <w:pStyle w:val="TableContents"/>
              <w:bidi w:val="0"/>
              <w:spacing w:before="0" w:after="283"/>
              <w:jc w:val="left"/>
              <w:rPr/>
            </w:pPr>
            <w:r>
              <w:rPr/>
              <w:t>7 - 21 years</w:t>
            </w:r>
          </w:p>
        </w:tc>
      </w:tr>
      <w:tr>
        <w:trPr/>
        <w:tc>
          <w:tcPr>
            <w:tcW w:w="7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3" w:type="dxa"/>
            <w:tcBorders/>
            <w:vAlign w:val="bottom"/>
          </w:tcPr>
          <w:p>
            <w:pPr>
              <w:pStyle w:val="TableContents"/>
              <w:bidi w:val="0"/>
              <w:spacing w:before="0" w:after="283"/>
              <w:jc w:val="left"/>
              <w:rPr/>
            </w:pPr>
            <w:r>
              <w:rPr/>
              <w:t>  </w:t>
            </w:r>
          </w:p>
        </w:tc>
        <w:tc>
          <w:tcPr>
            <w:tcW w:w="2736" w:type="dxa"/>
            <w:tcBorders/>
            <w:vAlign w:val="bottom"/>
          </w:tcPr>
          <w:p>
            <w:pPr>
              <w:pStyle w:val="TableContents"/>
              <w:bidi w:val="0"/>
              <w:spacing w:before="0" w:after="283"/>
              <w:jc w:val="left"/>
              <w:rPr/>
            </w:pPr>
            <w:r>
              <w:rPr/>
              <w:t>lesser of useful life or term of lease</w:t>
            </w:r>
          </w:p>
        </w:tc>
      </w:tr>
      <w:tr>
        <w:trPr/>
        <w:tc>
          <w:tcPr>
            <w:tcW w:w="7346" w:type="dxa"/>
            <w:tcBorders/>
            <w:vAlign w:val="bottom"/>
          </w:tcPr>
          <w:p>
            <w:pPr>
              <w:pStyle w:val="TableContents"/>
              <w:bidi w:val="0"/>
              <w:spacing w:before="0" w:after="283"/>
              <w:jc w:val="left"/>
              <w:rPr/>
            </w:pPr>
            <w:r>
              <w:rPr/>
              <w:t>Equipment</w:t>
            </w:r>
          </w:p>
        </w:tc>
        <w:tc>
          <w:tcPr>
            <w:tcW w:w="123" w:type="dxa"/>
            <w:tcBorders/>
            <w:vAlign w:val="bottom"/>
          </w:tcPr>
          <w:p>
            <w:pPr>
              <w:pStyle w:val="TableContents"/>
              <w:bidi w:val="0"/>
              <w:spacing w:before="0" w:after="283"/>
              <w:jc w:val="left"/>
              <w:rPr/>
            </w:pPr>
            <w:r>
              <w:rPr/>
              <w:t>  </w:t>
            </w:r>
          </w:p>
        </w:tc>
        <w:tc>
          <w:tcPr>
            <w:tcW w:w="2736" w:type="dxa"/>
            <w:tcBorders/>
            <w:vAlign w:val="bottom"/>
          </w:tcPr>
          <w:p>
            <w:pPr>
              <w:pStyle w:val="TableContents"/>
              <w:bidi w:val="0"/>
              <w:spacing w:before="0" w:after="283"/>
              <w:jc w:val="left"/>
              <w:rPr/>
            </w:pPr>
            <w:r>
              <w:rPr/>
              <w:t>2 - 18 years</w:t>
            </w:r>
          </w:p>
        </w:tc>
      </w:tr>
      <w:tr>
        <w:trPr/>
        <w:tc>
          <w:tcPr>
            <w:tcW w:w="7346" w:type="dxa"/>
            <w:tcBorders/>
            <w:vAlign w:val="bottom"/>
          </w:tcPr>
          <w:p>
            <w:pPr>
              <w:pStyle w:val="TableContents"/>
              <w:bidi w:val="0"/>
              <w:spacing w:before="0" w:after="283"/>
              <w:jc w:val="left"/>
              <w:rPr/>
            </w:pPr>
            <w:r>
              <w:rPr/>
              <w:t>Furniture and fixtures</w:t>
            </w:r>
          </w:p>
        </w:tc>
        <w:tc>
          <w:tcPr>
            <w:tcW w:w="123" w:type="dxa"/>
            <w:tcBorders/>
            <w:vAlign w:val="bottom"/>
          </w:tcPr>
          <w:p>
            <w:pPr>
              <w:pStyle w:val="TableContents"/>
              <w:bidi w:val="0"/>
              <w:spacing w:before="0" w:after="283"/>
              <w:jc w:val="left"/>
              <w:rPr/>
            </w:pPr>
            <w:r>
              <w:rPr/>
              <w:t>  </w:t>
            </w:r>
          </w:p>
        </w:tc>
        <w:tc>
          <w:tcPr>
            <w:tcW w:w="2736" w:type="dxa"/>
            <w:tcBorders/>
            <w:vAlign w:val="bottom"/>
          </w:tcPr>
          <w:p>
            <w:pPr>
              <w:pStyle w:val="TableContents"/>
              <w:bidi w:val="0"/>
              <w:spacing w:before="0" w:after="283"/>
              <w:jc w:val="left"/>
              <w:rPr/>
            </w:pPr>
            <w:r>
              <w:rPr/>
              <w:t>2 - 10 years</w:t>
            </w:r>
          </w:p>
        </w:tc>
      </w:tr>
      <w:tr>
        <w:trPr/>
        <w:tc>
          <w:tcPr>
            <w:tcW w:w="7346" w:type="dxa"/>
            <w:tcBorders/>
          </w:tcPr>
          <w:p>
            <w:pPr>
              <w:pStyle w:val="TableContents"/>
              <w:bidi w:val="0"/>
              <w:spacing w:before="0" w:after="0"/>
              <w:jc w:val="left"/>
              <w:rPr>
                <w:rFonts w:ascii="Times New Roman" w:hAnsi="Times New Roman"/>
                <w:sz w:val="20"/>
              </w:rPr>
            </w:pPr>
            <w:r>
              <w:rPr>
                <w:rFonts w:ascii="Times New Roman" w:hAnsi="Times New Roman"/>
                <w:sz w:val="20"/>
              </w:rPr>
              <w:t>Computer hardware</w:t>
            </w:r>
          </w:p>
        </w:tc>
        <w:tc>
          <w:tcPr>
            <w:tcW w:w="123" w:type="dxa"/>
            <w:tcBorders/>
            <w:vAlign w:val="bottom"/>
          </w:tcPr>
          <w:p>
            <w:pPr>
              <w:pStyle w:val="TableContents"/>
              <w:bidi w:val="0"/>
              <w:spacing w:before="0" w:after="283"/>
              <w:jc w:val="left"/>
              <w:rPr/>
            </w:pPr>
            <w:r>
              <w:rPr/>
              <w:t>  </w:t>
            </w:r>
          </w:p>
        </w:tc>
        <w:tc>
          <w:tcPr>
            <w:tcW w:w="2736" w:type="dxa"/>
            <w:tcBorders/>
            <w:vAlign w:val="bottom"/>
          </w:tcPr>
          <w:p>
            <w:pPr>
              <w:pStyle w:val="TableContents"/>
              <w:bidi w:val="0"/>
              <w:spacing w:before="0" w:after="283"/>
              <w:jc w:val="left"/>
              <w:rPr/>
            </w:pPr>
            <w:r>
              <w:rPr/>
              <w:t>2 - 5 years</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Intangible assets and Goodwill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consist of customer relationships, software, and trade names. Internally developed software costs are initially classified within construction in process within property, plant and equipment until ready for its intended use which at that point in time are then recorded within software. Intangible assets are generally amortized on a straight-line basis over their estimated useful lives and are recorded at fair value at the time of acquisition, or in the case of internally developed software, at cost. Intangible assets are currently amortized over the following estimated useful lives: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25"/>
        <w:gridCol w:w="121"/>
        <w:gridCol w:w="2759"/>
      </w:tblGrid>
      <w:tr>
        <w:trPr/>
        <w:tc>
          <w:tcPr>
            <w:tcW w:w="732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732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75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Estimated useful life</w:t>
            </w:r>
          </w:p>
        </w:tc>
      </w:tr>
      <w:tr>
        <w:trPr/>
        <w:tc>
          <w:tcPr>
            <w:tcW w:w="7325" w:type="dxa"/>
            <w:tcBorders/>
            <w:vAlign w:val="bottom"/>
          </w:tcPr>
          <w:p>
            <w:pPr>
              <w:pStyle w:val="TableContents"/>
              <w:bidi w:val="0"/>
              <w:spacing w:before="0" w:after="283"/>
              <w:jc w:val="left"/>
              <w:rPr/>
            </w:pPr>
            <w:r>
              <w:rPr/>
              <w:t>Customer relationships</w:t>
            </w:r>
          </w:p>
        </w:tc>
        <w:tc>
          <w:tcPr>
            <w:tcW w:w="121" w:type="dxa"/>
            <w:tcBorders/>
            <w:vAlign w:val="bottom"/>
          </w:tcPr>
          <w:p>
            <w:pPr>
              <w:pStyle w:val="TableContents"/>
              <w:bidi w:val="0"/>
              <w:spacing w:before="0" w:after="283"/>
              <w:jc w:val="left"/>
              <w:rPr/>
            </w:pPr>
            <w:r>
              <w:rPr/>
              <w:t>  </w:t>
            </w:r>
          </w:p>
        </w:tc>
        <w:tc>
          <w:tcPr>
            <w:tcW w:w="2759" w:type="dxa"/>
            <w:tcBorders/>
            <w:vAlign w:val="bottom"/>
          </w:tcPr>
          <w:p>
            <w:pPr>
              <w:pStyle w:val="TableContents"/>
              <w:bidi w:val="0"/>
              <w:spacing w:before="0" w:after="283"/>
              <w:jc w:val="left"/>
              <w:rPr/>
            </w:pPr>
            <w:r>
              <w:rPr/>
              <w:t>15 years</w:t>
            </w:r>
          </w:p>
        </w:tc>
      </w:tr>
      <w:tr>
        <w:trPr/>
        <w:tc>
          <w:tcPr>
            <w:tcW w:w="7325" w:type="dxa"/>
            <w:tcBorders/>
            <w:vAlign w:val="bottom"/>
          </w:tcPr>
          <w:p>
            <w:pPr>
              <w:pStyle w:val="TableContents"/>
              <w:bidi w:val="0"/>
              <w:spacing w:before="0" w:after="283"/>
              <w:jc w:val="left"/>
              <w:rPr/>
            </w:pPr>
            <w:r>
              <w:rPr/>
              <w:t>Software</w:t>
            </w:r>
          </w:p>
        </w:tc>
        <w:tc>
          <w:tcPr>
            <w:tcW w:w="121" w:type="dxa"/>
            <w:tcBorders/>
            <w:vAlign w:val="bottom"/>
          </w:tcPr>
          <w:p>
            <w:pPr>
              <w:pStyle w:val="TableContents"/>
              <w:bidi w:val="0"/>
              <w:spacing w:before="0" w:after="283"/>
              <w:jc w:val="left"/>
              <w:rPr/>
            </w:pPr>
            <w:r>
              <w:rPr/>
              <w:t>  </w:t>
            </w:r>
          </w:p>
        </w:tc>
        <w:tc>
          <w:tcPr>
            <w:tcW w:w="2759" w:type="dxa"/>
            <w:tcBorders/>
            <w:vAlign w:val="bottom"/>
          </w:tcPr>
          <w:p>
            <w:pPr>
              <w:pStyle w:val="TableContents"/>
              <w:bidi w:val="0"/>
              <w:spacing w:before="0" w:after="283"/>
              <w:jc w:val="left"/>
              <w:rPr/>
            </w:pPr>
            <w:r>
              <w:rPr/>
              <w:t>3 - 15 years</w:t>
            </w:r>
          </w:p>
        </w:tc>
      </w:tr>
      <w:tr>
        <w:trPr/>
        <w:tc>
          <w:tcPr>
            <w:tcW w:w="7325" w:type="dxa"/>
            <w:tcBorders/>
          </w:tcPr>
          <w:p>
            <w:pPr>
              <w:pStyle w:val="TableContents"/>
              <w:bidi w:val="0"/>
              <w:spacing w:before="0" w:after="0"/>
              <w:jc w:val="left"/>
              <w:rPr>
                <w:rFonts w:ascii="Times New Roman" w:hAnsi="Times New Roman"/>
                <w:sz w:val="20"/>
              </w:rPr>
            </w:pPr>
            <w:r>
              <w:rPr>
                <w:rFonts w:ascii="Times New Roman" w:hAnsi="Times New Roman"/>
                <w:sz w:val="20"/>
              </w:rPr>
              <w:t>Trade names and other</w:t>
            </w:r>
          </w:p>
        </w:tc>
        <w:tc>
          <w:tcPr>
            <w:tcW w:w="121" w:type="dxa"/>
            <w:tcBorders/>
            <w:vAlign w:val="bottom"/>
          </w:tcPr>
          <w:p>
            <w:pPr>
              <w:pStyle w:val="TableContents"/>
              <w:bidi w:val="0"/>
              <w:spacing w:before="0" w:after="283"/>
              <w:jc w:val="left"/>
              <w:rPr/>
            </w:pPr>
            <w:r>
              <w:rPr/>
              <w:t>  </w:t>
            </w:r>
          </w:p>
        </w:tc>
        <w:tc>
          <w:tcPr>
            <w:tcW w:w="2759" w:type="dxa"/>
            <w:tcBorders/>
            <w:vAlign w:val="bottom"/>
          </w:tcPr>
          <w:p>
            <w:pPr>
              <w:pStyle w:val="TableContents"/>
              <w:bidi w:val="0"/>
              <w:spacing w:before="0" w:after="283"/>
              <w:jc w:val="left"/>
              <w:rPr/>
            </w:pPr>
            <w:r>
              <w:rPr/>
              <w:t>1 - 10 years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Impairment </w:t>
      </w:r>
    </w:p>
    <w:p>
      <w:pPr>
        <w:pStyle w:val="TextBody"/>
        <w:bidi w:val="0"/>
        <w:spacing w:before="120" w:after="0"/>
        <w:jc w:val="left"/>
        <w:rPr>
          <w:rFonts w:ascii="Times New Roman" w:hAnsi="Times New Roman"/>
          <w:i/>
          <w:sz w:val="20"/>
        </w:rPr>
      </w:pPr>
      <w:r>
        <w:rPr>
          <w:rFonts w:ascii="Times New Roman" w:hAnsi="Times New Roman"/>
          <w:i/>
          <w:sz w:val="20"/>
        </w:rPr>
        <w:t xml:space="preserve">Intangible assets and property, plant and equipment and other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Finite-lived intangible assets, property, plant and equipment and other long-lived assets are tested for impairment at least annually on October 1, or whenever events or changes in circumstances indicate the carrying amount may not be recoverable. An impairment loss is recognized when the undiscounted cash flows expected to be generated by an asset (or group of assets) are less than the asset’s carrying value. Any required impairment loss is measured as the amount by which the asset’s carrying value exceeds its fair value and recorded as a reduction in the carrying value of the related asset.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We perform an impairment test of our goodwill at least annually in the fourth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operating performance indicators, competition, reorganizations of our business, U.S. Government budget restrictions or the disposal of all or a portion of a reporting unit. Our goodwill is tested for impairment at a level referred to as the reporting unit. Lanteris has one reporting unit for goodwill testing. </w:t>
      </w:r>
    </w:p>
    <w:p>
      <w:pPr>
        <w:pStyle w:val="TextBody"/>
        <w:bidi w:val="0"/>
        <w:spacing w:before="240" w:after="0"/>
        <w:jc w:val="left"/>
        <w:rPr>
          <w:rFonts w:ascii="Times New Roman" w:hAnsi="Times New Roman"/>
          <w:sz w:val="20"/>
        </w:rPr>
      </w:pPr>
      <w:r>
        <w:rPr>
          <w:rFonts w:ascii="Times New Roman" w:hAnsi="Times New Roman"/>
          <w:sz w:val="20"/>
        </w:rPr>
        <w:t xml:space="preserve">We may use either a qualitative or quantitative approach when testing a reporting unit’s goodwill for impairment. When we use the qualitative approach, we perform a qualitative evaluation of events and circumstances impacting the reporting unit to determine the likelihood of goodwill impairment. Based on that qualitative evaluation, if it is determined that it is more likely than not that the fair value of the reporting unit exceeds its carrying amount, no further evaluation is necessary. Otherwise, a quantitative impairment test is performed. </w:t>
      </w:r>
    </w:p>
    <w:p>
      <w:pPr>
        <w:pStyle w:val="TextBody"/>
        <w:bidi w:val="0"/>
        <w:spacing w:before="240" w:after="0"/>
        <w:jc w:val="left"/>
        <w:rPr>
          <w:rFonts w:ascii="Times New Roman" w:hAnsi="Times New Roman"/>
          <w:sz w:val="20"/>
        </w:rPr>
      </w:pPr>
      <w:r>
        <w:rPr>
          <w:rFonts w:ascii="Times New Roman" w:hAnsi="Times New Roman"/>
          <w:sz w:val="20"/>
        </w:rPr>
        <w:t xml:space="preserve">For the quantitative impairment test we compare the fair value of the reporting unit to its carrying value, including goodwill. If the fair value of the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 Determining fair value requires the exercise of significant judgments, including the amount and timing of expected future cash flows, long-term growth rates, discount rates and relevant comparable public company earnings multiples and relevant transaction multiples. The cash flows employed in the DCF analysis are based on our best estimate of future sales, earnings and cash flows after considering factors such as general market conditions, U.S. Government budgets, existing firm orders, expected future orders, contracts with suppliers, changes in working capital, long term business plans and recent operating performance. The discount rates utilized in the DCF analysis are based on the reporting unit’s weighted average cost of capital, which takes into account the relative weights of each component of capital structure (equity and debt) and represents the expected cost of new capital, adjusted as appropriate to consider the risk inherent in future cash flows of the reporting unit. The carrying value of the reporting unit includes the assets and liabilities employed in its operations and goodwill. </w:t>
      </w:r>
    </w:p>
    <w:p>
      <w:pPr>
        <w:pStyle w:val="TextBody"/>
        <w:bidi w:val="0"/>
        <w:spacing w:before="240" w:after="0"/>
        <w:jc w:val="left"/>
        <w:rPr>
          <w:rFonts w:ascii="Times New Roman" w:hAnsi="Times New Roman"/>
          <w:sz w:val="20"/>
        </w:rPr>
      </w:pPr>
      <w:r>
        <w:rPr>
          <w:rFonts w:ascii="Times New Roman" w:hAnsi="Times New Roman"/>
          <w:sz w:val="20"/>
        </w:rPr>
        <w:t xml:space="preserve">During the fourth quarters of 2025 and 2024, we performed our annual goodwill impairment test for our reporting unit. The results of our annual impairment tests of goodwill indicated that no impairment existed.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leases. The majority of the Company’s leases are related to buildings.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determines if a contract is or contains a lease at inception based on whether it conveys the right to control the use of an identified asset. The Company recognizes lease liabilities and right-of-use assets based on the present value of the future minimum lease payments over the lease term at the commencement date. Right-of-use assets are adjusted for any prepayments, lease incentives received, and initial direct costs incurred. If the rate implicit in the lease is not readily determinable, the Company’s incremental borrowing rate with a similar term to the lease term is used to determine the present value of future payments and appropriate lease classification. The lease term includes renewal options that are reasonably certain to be exercised. The Company elected the practical expedient not to separate lease and non-lease components. The Company also elected to include in minimum lease payments any executory costs that are part of the fixed lease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Leases with an initial term of 12 months or less are not recorded on the Company’s Consolidated Balance Sheets and are recognized as lease expense on a straight-line basis in the Consolidated Statements of Operations. Certain leasing arrangements require variable payments, such as insurance and tax payments. Variable lease payments that do not depend on an index or rate are excluded from lease payments in the measurement of the right-of-use asset and lease liability and are recognized as expense in the period in which the payment occurs.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material restrictions or covenants in our lease agreements, sale leaseback transactions or residual value guarantees. The Company recognizes fixed lease expense for operating leases on a straight-line basis over the lease term. Certain amounts related to operating leases are recorded within Other current liabilities and Other non-current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Contract liabilities primarily consist of advance payments from customers. Changes in contract liabilities are primarily due to the timing difference between the Company’s performance of services and payments from customers.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Warranty and after-sale service costs </w:t>
      </w:r>
    </w:p>
    <w:p>
      <w:pPr>
        <w:pStyle w:val="TextBody"/>
        <w:bidi w:val="0"/>
        <w:spacing w:before="120" w:after="0"/>
        <w:jc w:val="left"/>
        <w:rPr>
          <w:rFonts w:ascii="Times New Roman" w:hAnsi="Times New Roman"/>
          <w:sz w:val="20"/>
        </w:rPr>
      </w:pPr>
      <w:r>
        <w:rPr>
          <w:rFonts w:ascii="Times New Roman" w:hAnsi="Times New Roman"/>
          <w:sz w:val="20"/>
        </w:rPr>
        <w:t xml:space="preserve">Warranty and after-sale service provisions are based on management’s best estimate of the expected obligation using historical warranty data and experience. Warranty and after-sale service liabilities are presented in Other current liabilities and Other non-current liabilities on the Consolidated Balance Sheets. Warranty and after-sale service costs are recognized within Product costs, excluding depreciation and amortization in the Consolidated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Restructuring costs </w:t>
      </w:r>
    </w:p>
    <w:p>
      <w:pPr>
        <w:pStyle w:val="TextBody"/>
        <w:bidi w:val="0"/>
        <w:spacing w:before="120" w:after="0"/>
        <w:jc w:val="left"/>
        <w:rPr>
          <w:rFonts w:ascii="Times New Roman" w:hAnsi="Times New Roman"/>
          <w:sz w:val="20"/>
        </w:rPr>
      </w:pPr>
      <w:r>
        <w:rPr>
          <w:rFonts w:ascii="Times New Roman" w:hAnsi="Times New Roman"/>
          <w:sz w:val="20"/>
        </w:rPr>
        <w:t xml:space="preserve">We record charges associated with restructuring activities such as employee termination benefits, when management approves and commits to a plan of termination, or over the future service period, if any. Restructuring liabilities are presented in Other current liabilities and Other non-current liabilities on the Consolidated Balance Sheets. Restructuring costs are recognized within Selling, general and administrative expense or within Product costs and Service costs, excluding depreciation and amortization in the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i/>
          <w:sz w:val="20"/>
        </w:rPr>
      </w:pPr>
      <w:r>
        <w:rPr>
          <w:rFonts w:ascii="Times New Roman" w:hAnsi="Times New Roman"/>
          <w:i/>
          <w:sz w:val="20"/>
        </w:rPr>
        <w:t xml:space="preserve">Defined benefit pension and other postretirement benefit plans </w:t>
      </w:r>
    </w:p>
    <w:p>
      <w:pPr>
        <w:pStyle w:val="TextBody"/>
        <w:bidi w:val="0"/>
        <w:spacing w:before="120" w:after="0"/>
        <w:jc w:val="left"/>
        <w:rPr>
          <w:rFonts w:ascii="Times New Roman" w:hAnsi="Times New Roman"/>
          <w:sz w:val="20"/>
        </w:rPr>
      </w:pPr>
      <w:r>
        <w:rPr>
          <w:rFonts w:ascii="Times New Roman" w:hAnsi="Times New Roman"/>
          <w:sz w:val="20"/>
        </w:rPr>
        <w:t xml:space="preserve">Pension and postretirement obligation balances and related costs reflected within the Consolidated Financial Statements include costs directly attributable to plans dedicated to the Company. The pension and other postretirement plan benefits for the Company were frozen on December 31, 2013. See Note 11– </w:t>
      </w:r>
      <w:r>
        <w:rPr>
          <w:rFonts w:ascii="Times New Roman" w:hAnsi="Times New Roman"/>
          <w:i/>
          <w:sz w:val="20"/>
        </w:rPr>
        <w:t>Employee Benefit Plans</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funded status of each pension and other postretirement benefit plan in the Consolidated Balance Sheets. The calculation of pension and other postretirement benefit obligations is performed annually by qualified actuaries using the projected unit credit actuarial cost method. The projected benefit obligation is the sum of the actuarial present value of all pension benefits attributed to benefit service completed to the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Pension and other postretirement plan liabilities are revalued annually, or when an event occurs that requires remeasurement, based on updated assumptions and information about the individuals covered by the plan. The Company’s net obligation in respect of the pension and other postretirement benefit plans is calculated separately for each plan by estimating the amount of future benefit that employees have earned in the prior periods, discounting that amount and deducting the fair value of associated plan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uses the net asset value (“NAV”) practical expedient to measure the fair value of the plan’s commingled fund investments. These commingled fund investments for which the fair value is measured using the NAV practical expedient are excluded from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amortization of prior service costs as a component of Selling, general and administrative expense. All other costs are recognized outside of Operating income (loss) within Other expense, net. The Company recognizes administrative expenses related to frozen plans outside of Operating income (loss) within Other (income), net. </w:t>
      </w:r>
    </w:p>
    <w:p>
      <w:pPr>
        <w:pStyle w:val="TextBody"/>
        <w:bidi w:val="0"/>
        <w:spacing w:before="240" w:after="0"/>
        <w:jc w:val="left"/>
        <w:rPr>
          <w:rFonts w:ascii="Times New Roman" w:hAnsi="Times New Roman"/>
          <w:sz w:val="20"/>
        </w:rPr>
      </w:pPr>
      <w:r>
        <w:rPr>
          <w:rFonts w:ascii="Times New Roman" w:hAnsi="Times New Roman"/>
          <w:sz w:val="20"/>
        </w:rPr>
        <w:t xml:space="preserve">When the benefits of a plan are changed or when a plan is curtailed, the resulting change in the net benefit liability that relates to past service or the gain or loss on curtailment is recognized immediately in Accumulated other comprehensive income. The Company recognizes gains or losses on the settlement of a defined benefit plan when settlement occurs. </w:t>
      </w:r>
    </w:p>
    <w:p>
      <w:pPr>
        <w:pStyle w:val="TextBody"/>
        <w:bidi w:val="0"/>
        <w:spacing w:before="240" w:after="0"/>
        <w:jc w:val="left"/>
        <w:rPr>
          <w:rFonts w:ascii="Times New Roman" w:hAnsi="Times New Roman"/>
          <w:sz w:val="20"/>
        </w:rPr>
      </w:pPr>
      <w:r>
        <w:rPr>
          <w:rFonts w:ascii="Times New Roman" w:hAnsi="Times New Roman"/>
          <w:sz w:val="20"/>
        </w:rPr>
        <w:t xml:space="preserve">For the Company’s pension and other postretirement benefit plans, accumulated actuarial gains and losses in excess of a 10 percent corridor and the prior service cost are amortized on a straight-line basis from the date recognized over the average remaining service period of active participants or over the average life expectancy for plans with significant inactive participants. </w:t>
      </w:r>
    </w:p>
    <w:p>
      <w:pPr>
        <w:pStyle w:val="TextBody"/>
        <w:bidi w:val="0"/>
        <w:spacing w:before="360" w:after="0"/>
        <w:jc w:val="left"/>
        <w:rPr>
          <w:rFonts w:ascii="Times New Roman" w:hAnsi="Times New Roman"/>
          <w:i/>
          <w:sz w:val="20"/>
        </w:rPr>
      </w:pPr>
      <w:r>
        <w:rPr>
          <w:rFonts w:ascii="Times New Roman" w:hAnsi="Times New Roman"/>
          <w:i/>
          <w:sz w:val="20"/>
        </w:rPr>
        <w:t xml:space="preserve">Defined contribution plans </w:t>
      </w:r>
    </w:p>
    <w:p>
      <w:pPr>
        <w:pStyle w:val="TextBody"/>
        <w:bidi w:val="0"/>
        <w:spacing w:before="120" w:after="0"/>
        <w:jc w:val="left"/>
        <w:rPr>
          <w:rFonts w:ascii="Times New Roman" w:hAnsi="Times New Roman"/>
          <w:sz w:val="20"/>
        </w:rPr>
      </w:pPr>
      <w:r>
        <w:rPr>
          <w:rFonts w:ascii="Times New Roman" w:hAnsi="Times New Roman"/>
          <w:sz w:val="20"/>
        </w:rPr>
        <w:t xml:space="preserve">The Parent also maintains defined contribution plans for some of its employees whereby the Parent makes contributions based on a percentage of the employees’ annual salary. Obligations for contributions to defined contribution plans are recognized as an employee benefit expense for the Company’s employees in Operating income (loss) as the services are provided.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compensation plans </w:t>
      </w:r>
    </w:p>
    <w:p>
      <w:pPr>
        <w:pStyle w:val="TextBody"/>
        <w:bidi w:val="0"/>
        <w:spacing w:before="120" w:after="0"/>
        <w:jc w:val="left"/>
        <w:rPr>
          <w:rFonts w:ascii="Times New Roman" w:hAnsi="Times New Roman"/>
          <w:i/>
          <w:sz w:val="20"/>
        </w:rPr>
      </w:pPr>
      <w:r>
        <w:rPr>
          <w:rFonts w:ascii="Times New Roman" w:hAnsi="Times New Roman"/>
          <w:i/>
          <w:sz w:val="20"/>
        </w:rPr>
        <w:t xml:space="preserve">Long 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Lanteris participates in Galileo’s incentive plans The Long Term Incentive Plan (the “LTIP”) is a cash incentive plan that is available to employees and other service providers of Lanteris and its subsidiaries and direct parent, Vantor. Each participant in the plan is awarded a set cash amount which vests over a 4-year period at 20% per year. The final 20% of the award remains unvested until a Change in Control event occurs. Additionally, upon a Change in Control event any unvested amounts shall immediately vest. However, if a Change in Control event does not occur prior to May 3, 2029, the Long-Term Incentive Plan will terminate, and all outstanding awards will immediately be forfeited and cancelled. As of December 31, 2025, the Company has not recorded any expense related to the LTIP as a Change in Control event is not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in the period incurred. For the years ended December 31, 2025 and 2024, the Company expensed research and development costs of $9 million and $13 million, respectively, in Selling, general and administrative expense within the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income taxes in the United States. The Company computes its provision for income taxes using the asset and liability method, under which deferred tax assets and liabilities are determined based on the temporary differences between the financial reporting and tax bases of assets and liabilities. Deferred tax assets and liabilities are measured at the currently enacted tax rates that are expected to apply in years in which they are expected to be paid for or realized. All deferred income taxes are classified as non-current in the Company’s Consolidated Balance Sheets. Significant judgments are required in order to determine the realizability of deferred tax assets. In assessing the need for a valuation allowance, the Company’s management evaluates all significant available positive and negative evidence, including historical operating results, estimates of future sources of taxable income, carry-forward periods available, the existence of prudent and feasible tax planning strategies and other relevant factors. </w:t>
      </w:r>
    </w:p>
    <w:p>
      <w:pPr>
        <w:pStyle w:val="TextBody"/>
        <w:bidi w:val="0"/>
        <w:spacing w:before="240" w:after="0"/>
        <w:jc w:val="left"/>
        <w:rPr>
          <w:rFonts w:ascii="Times New Roman" w:hAnsi="Times New Roman"/>
          <w:sz w:val="20"/>
        </w:rPr>
      </w:pPr>
      <w:r>
        <w:rPr>
          <w:rFonts w:ascii="Times New Roman" w:hAnsi="Times New Roman"/>
          <w:sz w:val="20"/>
        </w:rPr>
        <w:t xml:space="preserve">The recognition of uncertain tax positions is evaluated based on whether it is considered more likely than not that the position taken, or expected to be taken, on a tax return will be sustained upon examination through litigation or appeal. For those positions that meet the recognition criteria, they are measured as the largest amount that is more than 50 percent likely to be realized upon ultimate settlement. The Company believes the reserves for unrecognized tax benefits are adequate to cover all open tax years based on its assessment. If the expected outcome of the matter changes, the Company will adjust income tax expense (benefit) or the deferred tax asset accordingly in the period in which the expected outcome has changed. The Company classifies interest and penalties related to income taxes as income tax expense. </w:t>
      </w:r>
    </w:p>
    <w:p>
      <w:pPr>
        <w:pStyle w:val="TextBody"/>
        <w:bidi w:val="0"/>
        <w:spacing w:before="240" w:after="0"/>
        <w:jc w:val="left"/>
        <w:rPr>
          <w:rFonts w:ascii="Times New Roman" w:hAnsi="Times New Roman"/>
          <w:sz w:val="20"/>
        </w:rPr>
      </w:pPr>
      <w:r>
        <w:rPr>
          <w:rFonts w:ascii="Times New Roman" w:hAnsi="Times New Roman"/>
          <w:sz w:val="20"/>
        </w:rPr>
        <w:t xml:space="preserve">We have allocated current and deferred income taxes of Parent in the Consolidated Financial Statements in a manner that is systematic, rational, and consistent with the asset and liability method prescribed by ASC 740. Accordingly, the income tax provision was prepared following the separate return method. The separate return method applies ASC 740 to the financial statements of each member of the consolidated group as if the group members were separate taxpayers. The calculation of income taxes on a separate return basis requires a considerable amount of judgment and use of both estimates and allocations. As a result, actual transactions included in the consolidated financial statements of Parent may not be included in the Consolidated Financial Statements. Similarly, the tax treatment of certain items reflected in the Consolidated Financial Statements may not be reflected in the consolidated financial statements and tax returns of Parent. Therefore, items such as net operating losses, tax credit carryforwards and valuation allowances may exist in the Consolidated Financial Statements that may or may not exist in the Parent’s consolidated financial statements. The income taxes as presented in the Consolidated Financial Statements may not be indicative of the income taxes that the Company will generate in the future. Income taxes payable are deemed settled with the Parent for purposes of the Consolidated Financial Statements, as discussed in the basis of presentation section.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Income Taxes (Topic 740): Improvements to Income Tax Disclosures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 xml:space="preserve">Income Taxes (Topic 740): Improvements to Income Tax Disclosures. </w:t>
      </w:r>
      <w:r>
        <w:rPr>
          <w:rFonts w:ascii="Times New Roman" w:hAnsi="Times New Roman"/>
          <w:sz w:val="20"/>
        </w:rPr>
        <w:t xml:space="preserve">The amendments in this update address requests for more transparency about income tax information through improvements to income tax disclosures primarily related to rate reconciliations and income taxes paid information. This update also includes certain other amendments to improve the effectiveness of income tax disclosures. The ASU is effective for non-public business entities for fiscal years beginning after December 15, 2025, with early adoption permitted. Adoption of the standard should be applied on a prospective basis and retrospective application to all periods presented is permitted. The Company adopted this ASU retrospectively for the year beginning January 1, 2024, and updated its income tax disclosures in accordance with the requirements of this ASU. See Note 13 – </w:t>
      </w:r>
      <w:r>
        <w:rPr>
          <w:rFonts w:ascii="Times New Roman" w:hAnsi="Times New Roman"/>
          <w:i/>
          <w:sz w:val="20"/>
        </w:rPr>
        <w:t>Income Taxes</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Instruments-Credit Losses (Topic 326): Measurement of Credit Losses for Accounts Receivable and Contract Assets </w:t>
      </w:r>
    </w:p>
    <w:p>
      <w:pPr>
        <w:pStyle w:val="TextBody"/>
        <w:bidi w:val="0"/>
        <w:spacing w:before="120" w:after="0"/>
        <w:jc w:val="left"/>
        <w:rPr>
          <w:rFonts w:ascii="Times New Roman" w:hAnsi="Times New Roman"/>
          <w:sz w:val="20"/>
        </w:rPr>
      </w:pPr>
      <w:r>
        <w:rPr>
          <w:rFonts w:ascii="Times New Roman" w:hAnsi="Times New Roman"/>
          <w:sz w:val="20"/>
        </w:rPr>
        <w:t xml:space="preserve">In July 2025, the FASB issued ASU 2025-05, </w:t>
      </w:r>
      <w:r>
        <w:rPr>
          <w:rFonts w:ascii="Times New Roman" w:hAnsi="Times New Roman"/>
          <w:i/>
          <w:sz w:val="20"/>
        </w:rPr>
        <w:t xml:space="preserve">Financial Instruments-Credit Losses (Topic 326): Measurement of Credit Losses for Accounts Receivable and Contract Assets. </w:t>
      </w:r>
      <w:r>
        <w:rPr>
          <w:rFonts w:ascii="Times New Roman" w:hAnsi="Times New Roman"/>
          <w:sz w:val="20"/>
        </w:rPr>
        <w:t xml:space="preserve">The amendments in this update provide all entities with a practical expedient in developing reasonable and supportable forecasts as part of estimating expected credit losses, all entities may elect a practical expedient that assumes that current conditions as of the balance sheet date do not change for the remaining life of the asset. Additionally, an entity other than a public entity that elects the practical expedient is permitted to make an accounting policy election to consider collection activity after the balance sheet date when estimating expected credit losses. The amendments will be effective for annual reporting periods beginning after December 15, 2025, and interim reporting periods within those annual reporting periods. The Company has adopted the amendments as of December 31, 2025, with no impact to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Intangibles-Goodwill and Other-Internal-Used Software (Subtopic 350-40)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the FASB issued ASU 2025-06, </w:t>
      </w:r>
      <w:r>
        <w:rPr>
          <w:rFonts w:ascii="Times New Roman" w:hAnsi="Times New Roman"/>
          <w:i/>
          <w:sz w:val="20"/>
        </w:rPr>
        <w:t xml:space="preserve">Intangibles-Goodwill and Other-Internal-Used Software (Subtopic 350-40). </w:t>
      </w:r>
      <w:r>
        <w:rPr>
          <w:rFonts w:ascii="Times New Roman" w:hAnsi="Times New Roman"/>
          <w:sz w:val="20"/>
        </w:rPr>
        <w:t xml:space="preserve">The amendments in this update this Update remove all references to prescriptive and sequential software development stages (referred to as “project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The Company has adopted the amendments as of December 31, 2025, with no impact to our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Disaggregation of Income Statement Expenses (DISE) (ASU 2024-03)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No. 2024-03, Disaggregation of Income Statement Expenses (DISE), which requires disclosure of certain categories of expenses such as the purchase of inventory, employee compensation, depreciation and intangible asset amortization that are components of existing expense captions presented on the face of the income statement. The ASU is effective public business entities for annual periods beginning after December 15, 2026 and interim periods beginning after December 15, 2027, with early adoption permitted. The ASU should be applied prospectively, however, retrospective application is permitted. We are currently evaluating the impact to our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TRADE AND OTHER RECEIVABLES, NET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27"/>
        <w:gridCol w:w="484"/>
        <w:gridCol w:w="380"/>
        <w:gridCol w:w="1038"/>
        <w:gridCol w:w="60"/>
        <w:gridCol w:w="484"/>
        <w:gridCol w:w="380"/>
        <w:gridCol w:w="1038"/>
        <w:gridCol w:w="64"/>
      </w:tblGrid>
      <w:tr>
        <w:trPr/>
        <w:tc>
          <w:tcPr>
            <w:tcW w:w="3827"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27"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827" w:type="dxa"/>
            <w:tcBorders/>
            <w:shd w:fill="CCEEFF" w:val="clear"/>
            <w:vAlign w:val="bottom"/>
          </w:tcPr>
          <w:p>
            <w:pPr>
              <w:pStyle w:val="TableContents"/>
              <w:bidi w:val="0"/>
              <w:spacing w:before="0" w:after="283"/>
              <w:jc w:val="left"/>
              <w:rPr/>
            </w:pPr>
            <w:r>
              <w:rPr/>
              <w:t>U.S. government receivables:</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27" w:type="dxa"/>
            <w:tcBorders/>
          </w:tcPr>
          <w:p>
            <w:pPr>
              <w:pStyle w:val="TableContents"/>
              <w:bidi w:val="0"/>
              <w:spacing w:before="0" w:after="0"/>
              <w:jc w:val="left"/>
              <w:rPr>
                <w:rFonts w:ascii="Times New Roman" w:hAnsi="Times New Roman"/>
                <w:sz w:val="20"/>
              </w:rPr>
            </w:pPr>
            <w:r>
              <w:rPr>
                <w:rFonts w:ascii="Times New Roman" w:hAnsi="Times New Roman"/>
                <w:sz w:val="20"/>
              </w:rPr>
              <w:t>Billed</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38"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38"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3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6</w:t>
            </w:r>
          </w:p>
        </w:tc>
        <w:tc>
          <w:tcPr>
            <w:tcW w:w="64" w:type="dxa"/>
            <w:tcBorders/>
            <w:shd w:fill="CCEEFF" w:val="clear"/>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27" w:type="dxa"/>
            <w:tcBorders/>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3827" w:type="dxa"/>
            <w:tcBorders/>
            <w:shd w:fill="CCEEFF" w:val="clear"/>
            <w:vAlign w:val="bottom"/>
          </w:tcPr>
          <w:p>
            <w:pPr>
              <w:pStyle w:val="TableContents"/>
              <w:bidi w:val="0"/>
              <w:spacing w:before="0" w:after="283"/>
              <w:jc w:val="left"/>
              <w:rPr/>
            </w:pPr>
            <w:r>
              <w:rPr/>
              <w:t>Other government and commercial receivables:</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27" w:type="dxa"/>
            <w:tcBorders/>
          </w:tcPr>
          <w:p>
            <w:pPr>
              <w:pStyle w:val="TableContents"/>
              <w:bidi w:val="0"/>
              <w:spacing w:before="0" w:after="0"/>
              <w:jc w:val="left"/>
              <w:rPr>
                <w:rFonts w:ascii="Times New Roman" w:hAnsi="Times New Roman"/>
                <w:sz w:val="20"/>
              </w:rPr>
            </w:pPr>
            <w:r>
              <w:rPr>
                <w:rFonts w:ascii="Times New Roman" w:hAnsi="Times New Roman"/>
                <w:sz w:val="20"/>
              </w:rPr>
              <w:t>Billed</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3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19</w:t>
            </w:r>
          </w:p>
        </w:tc>
        <w:tc>
          <w:tcPr>
            <w:tcW w:w="64" w:type="dxa"/>
            <w:tcBorders/>
            <w:shd w:fill="CCEEFF" w:val="clear"/>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27" w:type="dxa"/>
            <w:tcBorders/>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27" w:type="dxa"/>
            <w:tcBorders/>
            <w:shd w:fill="CCEEFF" w:val="clear"/>
            <w:vAlign w:val="bottom"/>
          </w:tcPr>
          <w:p>
            <w:pPr>
              <w:pStyle w:val="TableContents"/>
              <w:bidi w:val="0"/>
              <w:spacing w:before="0" w:after="283"/>
              <w:jc w:val="left"/>
              <w:rPr/>
            </w:pPr>
            <w:r>
              <w:rPr/>
              <w:t>Total trade receivables</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71</w:t>
            </w:r>
          </w:p>
        </w:tc>
        <w:tc>
          <w:tcPr>
            <w:tcW w:w="64" w:type="dxa"/>
            <w:tcBorders/>
            <w:shd w:fill="CCEEFF" w:val="clear"/>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27" w:type="dxa"/>
            <w:tcBorders/>
          </w:tcPr>
          <w:p>
            <w:pPr>
              <w:pStyle w:val="TableContents"/>
              <w:bidi w:val="0"/>
              <w:spacing w:before="0" w:after="0"/>
              <w:jc w:val="left"/>
              <w:rPr>
                <w:rFonts w:ascii="Times New Roman" w:hAnsi="Times New Roman"/>
                <w:sz w:val="20"/>
              </w:rPr>
            </w:pPr>
            <w:r>
              <w:rPr>
                <w:rFonts w:ascii="Times New Roman" w:hAnsi="Times New Roman"/>
                <w:sz w:val="20"/>
              </w:rPr>
              <w:t>Orbital receivables, current position</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3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6</w:t>
            </w:r>
          </w:p>
        </w:tc>
        <w:tc>
          <w:tcPr>
            <w:tcW w:w="64" w:type="dxa"/>
            <w:tcBorders/>
            <w:shd w:fill="CCEEFF" w:val="clear"/>
            <w:vAlign w:val="bottom"/>
          </w:tcPr>
          <w:p>
            <w:pPr>
              <w:pStyle w:val="TableContents"/>
              <w:bidi w:val="0"/>
              <w:spacing w:before="0" w:after="283"/>
              <w:jc w:val="left"/>
              <w:rPr/>
            </w:pPr>
            <w:r>
              <w:rPr/>
              <w:t> </w:t>
            </w:r>
          </w:p>
        </w:tc>
      </w:tr>
      <w:tr>
        <w:trPr/>
        <w:tc>
          <w:tcPr>
            <w:tcW w:w="3827"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and other receivables, net</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157</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122</w:t>
            </w:r>
          </w:p>
        </w:tc>
        <w:tc>
          <w:tcPr>
            <w:tcW w:w="64" w:type="dxa"/>
            <w:tcBorders/>
            <w:shd w:fill="CCEEFF" w:val="clear"/>
            <w:vAlign w:val="bottom"/>
          </w:tcPr>
          <w:p>
            <w:pPr>
              <w:pStyle w:val="TableContents"/>
              <w:bidi w:val="0"/>
              <w:spacing w:before="0" w:after="283"/>
              <w:jc w:val="left"/>
              <w:rPr/>
            </w:pPr>
            <w:r>
              <w:rPr/>
              <w:t> </w:t>
            </w:r>
          </w:p>
        </w:tc>
      </w:tr>
      <w:tr>
        <w:trPr/>
        <w:tc>
          <w:tcPr>
            <w:tcW w:w="3827"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non-current orbital receivables, net of allowances were $226 million and $265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orbital receivables from 12 customers for which the largest customer’s value represents 32% of the stated current and non-current balance sheet values for the year ended December 31, 2025. As of December 31, 2024, the Company had orbital receivables from 12 customers for which the largest customer’s value represents 30% of the stated current and non-current balance sheet values.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expected timing of total contractual cash flows, including principal and interest payments for orbital receivables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1"/>
        <w:gridCol w:w="182"/>
        <w:gridCol w:w="175"/>
        <w:gridCol w:w="333"/>
        <w:gridCol w:w="60"/>
        <w:gridCol w:w="182"/>
        <w:gridCol w:w="175"/>
        <w:gridCol w:w="333"/>
        <w:gridCol w:w="60"/>
        <w:gridCol w:w="182"/>
        <w:gridCol w:w="174"/>
        <w:gridCol w:w="333"/>
        <w:gridCol w:w="60"/>
        <w:gridCol w:w="182"/>
        <w:gridCol w:w="175"/>
        <w:gridCol w:w="333"/>
        <w:gridCol w:w="60"/>
        <w:gridCol w:w="182"/>
        <w:gridCol w:w="175"/>
        <w:gridCol w:w="333"/>
        <w:gridCol w:w="60"/>
        <w:gridCol w:w="181"/>
        <w:gridCol w:w="311"/>
        <w:gridCol w:w="818"/>
        <w:gridCol w:w="60"/>
        <w:gridCol w:w="182"/>
        <w:gridCol w:w="150"/>
        <w:gridCol w:w="411"/>
        <w:gridCol w:w="72"/>
      </w:tblGrid>
      <w:tr>
        <w:trPr/>
        <w:tc>
          <w:tcPr>
            <w:tcW w:w="4271"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42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2025:</w:t>
            </w:r>
          </w:p>
        </w:tc>
        <w:tc>
          <w:tcPr>
            <w:tcW w:w="182"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Thereafter</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2" w:type="dxa"/>
            <w:tcBorders/>
            <w:vAlign w:val="bottom"/>
          </w:tcPr>
          <w:p>
            <w:pPr>
              <w:pStyle w:val="TableContents"/>
              <w:bidi w:val="0"/>
              <w:spacing w:before="0" w:after="283"/>
              <w:jc w:val="left"/>
              <w:rPr/>
            </w:pPr>
            <w:r>
              <w:rPr/>
              <w:t> </w:t>
            </w:r>
          </w:p>
        </w:tc>
      </w:tr>
      <w:tr>
        <w:trPr/>
        <w:tc>
          <w:tcPr>
            <w:tcW w:w="4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Contractual cash flows from orbital receivables</w:t>
            </w:r>
          </w:p>
        </w:tc>
        <w:tc>
          <w:tcPr>
            <w:tcW w:w="18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11" w:type="dxa"/>
            <w:tcBorders/>
            <w:shd w:fill="CCEEFF" w:val="clear"/>
            <w:vAlign w:val="bottom"/>
          </w:tcPr>
          <w:p>
            <w:pPr>
              <w:pStyle w:val="TableContents"/>
              <w:bidi w:val="0"/>
              <w:spacing w:before="0" w:after="283"/>
              <w:jc w:val="right"/>
              <w:rPr/>
            </w:pPr>
            <w:r>
              <w:rPr/>
              <w:t>312</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did not sell orbital receivables. During the year ended December 31, 2024, the Company sold orbital receivables for net proceeds of $35 million. These orbital receivables were purchased in tranches that span multiple years and include longer-term maturities. The orbital receivables that were securitized remain recognized on the Consolidated Balance Sheets as the Company did not meet the accounting criteria for surrendering control of the receivables. The net proceeds received have been recognized as a securitization liability and are subsequently measured at amortized cost using the effective interest rate method. The securitized orbital receivables and the securitization liabilities are being drawn down as payments are received from the customers and passed on to the purchaser of the tranche. The Company continues to recognize orbital interest revenue on the orbital receivables that are subject to the securitization transactions and recognizes interest expense to accrete the securitization. </w:t>
      </w:r>
    </w:p>
    <w:p>
      <w:pPr>
        <w:pStyle w:val="TextBody"/>
        <w:bidi w:val="0"/>
        <w:spacing w:before="240" w:after="0"/>
        <w:jc w:val="left"/>
        <w:rPr>
          <w:rFonts w:ascii="Times New Roman" w:hAnsi="Times New Roman"/>
          <w:sz w:val="20"/>
        </w:rPr>
      </w:pPr>
      <w:r>
        <w:rPr>
          <w:rFonts w:ascii="Times New Roman" w:hAnsi="Times New Roman"/>
          <w:sz w:val="20"/>
        </w:rPr>
        <w:t xml:space="preserve">Securitization liabilities current and non-current are presented in Other current liabilities and Other non-current liabilities, respectively,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75"/>
        <w:gridCol w:w="508"/>
        <w:gridCol w:w="495"/>
        <w:gridCol w:w="925"/>
        <w:gridCol w:w="60"/>
        <w:gridCol w:w="508"/>
        <w:gridCol w:w="495"/>
        <w:gridCol w:w="925"/>
        <w:gridCol w:w="64"/>
      </w:tblGrid>
      <w:tr>
        <w:trPr/>
        <w:tc>
          <w:tcPr>
            <w:tcW w:w="3775"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75"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775" w:type="dxa"/>
            <w:tcBorders/>
            <w:shd w:fill="CCEEFF" w:val="clear"/>
            <w:vAlign w:val="bottom"/>
          </w:tcPr>
          <w:p>
            <w:pPr>
              <w:pStyle w:val="TableContents"/>
              <w:bidi w:val="0"/>
              <w:spacing w:before="0" w:after="283"/>
              <w:jc w:val="left"/>
              <w:rPr/>
            </w:pPr>
            <w:r>
              <w:rPr/>
              <w:t>Current portion</w:t>
            </w:r>
          </w:p>
        </w:tc>
        <w:tc>
          <w:tcPr>
            <w:tcW w:w="50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33</w:t>
            </w:r>
          </w:p>
        </w:tc>
        <w:tc>
          <w:tcPr>
            <w:tcW w:w="64" w:type="dxa"/>
            <w:tcBorders/>
            <w:shd w:fill="CCEEFF" w:val="clear"/>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pPr>
            <w:r>
              <w:rPr/>
              <w:t>Non-current portion</w:t>
            </w:r>
          </w:p>
        </w:tc>
        <w:tc>
          <w:tcPr>
            <w:tcW w:w="50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securitization liabilities</w:t>
            </w:r>
          </w:p>
        </w:tc>
        <w:tc>
          <w:tcPr>
            <w:tcW w:w="50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96</w:t>
            </w:r>
          </w:p>
        </w:tc>
        <w:tc>
          <w:tcPr>
            <w:tcW w:w="64" w:type="dxa"/>
            <w:tcBorders/>
            <w:shd w:fill="CCEEFF" w:val="clear"/>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4. INVENTORY, NET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40"/>
        <w:gridCol w:w="549"/>
        <w:gridCol w:w="495"/>
        <w:gridCol w:w="925"/>
        <w:gridCol w:w="155"/>
        <w:gridCol w:w="513"/>
        <w:gridCol w:w="495"/>
        <w:gridCol w:w="925"/>
        <w:gridCol w:w="158"/>
      </w:tblGrid>
      <w:tr>
        <w:trPr/>
        <w:tc>
          <w:tcPr>
            <w:tcW w:w="3540"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40"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283"/>
              <w:jc w:val="left"/>
              <w:rPr/>
            </w:pPr>
            <w:r>
              <w:rPr/>
              <w:t>Raw materials</w:t>
            </w:r>
          </w:p>
        </w:tc>
        <w:tc>
          <w:tcPr>
            <w:tcW w:w="549"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36</w:t>
            </w:r>
          </w:p>
        </w:tc>
        <w:tc>
          <w:tcPr>
            <w:tcW w:w="158"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pPr>
            <w:r>
              <w:rPr/>
              <w:t>Work in process</w:t>
            </w:r>
          </w:p>
        </w:tc>
        <w:tc>
          <w:tcPr>
            <w:tcW w:w="549"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49"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38</w:t>
            </w:r>
          </w:p>
        </w:tc>
        <w:tc>
          <w:tcPr>
            <w:tcW w:w="158"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pPr>
            <w:r>
              <w:rPr/>
              <w:t>Inventory reserve</w:t>
            </w:r>
          </w:p>
        </w:tc>
        <w:tc>
          <w:tcPr>
            <w:tcW w:w="549"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549"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34</w:t>
            </w:r>
          </w:p>
        </w:tc>
        <w:tc>
          <w:tcPr>
            <w:tcW w:w="158"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5. PROPERTY, PLANT AND EQUIPMENT, NET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2"/>
        <w:gridCol w:w="451"/>
        <w:gridCol w:w="380"/>
        <w:gridCol w:w="1036"/>
        <w:gridCol w:w="155"/>
        <w:gridCol w:w="417"/>
        <w:gridCol w:w="380"/>
        <w:gridCol w:w="1036"/>
        <w:gridCol w:w="158"/>
      </w:tblGrid>
      <w:tr>
        <w:trPr/>
        <w:tc>
          <w:tcPr>
            <w:tcW w:w="3742"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4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w:t>
            </w:r>
          </w:p>
        </w:tc>
        <w:tc>
          <w:tcPr>
            <w:tcW w:w="45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112</w:t>
            </w:r>
          </w:p>
        </w:tc>
        <w:tc>
          <w:tcPr>
            <w:tcW w:w="158" w:type="dxa"/>
            <w:tcBorders/>
            <w:shd w:fill="CCEEFF" w:val="clear"/>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pPr>
            <w:r>
              <w:rPr/>
              <w:t>Leasehold improvements</w:t>
            </w:r>
          </w:p>
        </w:tc>
        <w:tc>
          <w:tcPr>
            <w:tcW w:w="45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r>
      <w:tr>
        <w:trPr/>
        <w:tc>
          <w:tcPr>
            <w:tcW w:w="3742" w:type="dxa"/>
            <w:tcBorders/>
            <w:shd w:fill="CCEEFF" w:val="clear"/>
            <w:vAlign w:val="bottom"/>
          </w:tcPr>
          <w:p>
            <w:pPr>
              <w:pStyle w:val="TableContents"/>
              <w:bidi w:val="0"/>
              <w:spacing w:before="0" w:after="283"/>
              <w:jc w:val="left"/>
              <w:rPr/>
            </w:pPr>
            <w:r>
              <w:rPr/>
              <w:t>Computer hardware</w:t>
            </w:r>
          </w:p>
        </w:tc>
        <w:tc>
          <w:tcPr>
            <w:tcW w:w="45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pPr>
            <w:r>
              <w:rPr/>
              <w:t>Furniture and fixtures</w:t>
            </w:r>
          </w:p>
        </w:tc>
        <w:tc>
          <w:tcPr>
            <w:tcW w:w="45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3742" w:type="dxa"/>
            <w:tcBorders/>
            <w:shd w:fill="CCEEFF" w:val="clear"/>
            <w:vAlign w:val="bottom"/>
          </w:tcPr>
          <w:p>
            <w:pPr>
              <w:pStyle w:val="TableContents"/>
              <w:bidi w:val="0"/>
              <w:spacing w:before="0" w:after="283"/>
              <w:jc w:val="left"/>
              <w:rPr/>
            </w:pPr>
            <w:r>
              <w:rPr/>
              <w:t>Buildings</w:t>
            </w:r>
          </w:p>
        </w:tc>
        <w:tc>
          <w:tcPr>
            <w:tcW w:w="45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pPr>
            <w:r>
              <w:rPr/>
              <w:t>Construction in process</w:t>
            </w:r>
          </w:p>
        </w:tc>
        <w:tc>
          <w:tcPr>
            <w:tcW w:w="45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62</w:t>
            </w:r>
          </w:p>
        </w:tc>
        <w:tc>
          <w:tcPr>
            <w:tcW w:w="158" w:type="dxa"/>
            <w:tcBorders/>
            <w:vAlign w:val="bottom"/>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w:t>
            </w:r>
          </w:p>
        </w:tc>
        <w:tc>
          <w:tcPr>
            <w:tcW w:w="45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198</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220</w:t>
            </w:r>
          </w:p>
        </w:tc>
        <w:tc>
          <w:tcPr>
            <w:tcW w:w="158" w:type="dxa"/>
            <w:tcBorders/>
            <w:shd w:fill="CCEEFF" w:val="clear"/>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pPr>
            <w:r>
              <w:rPr/>
              <w:t>Accumulated depreciation</w:t>
            </w:r>
          </w:p>
        </w:tc>
        <w:tc>
          <w:tcPr>
            <w:tcW w:w="45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(42</w:t>
            </w:r>
          </w:p>
        </w:tc>
        <w:tc>
          <w:tcPr>
            <w:tcW w:w="158" w:type="dxa"/>
            <w:tcBorders/>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45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178</w:t>
            </w:r>
          </w:p>
        </w:tc>
        <w:tc>
          <w:tcPr>
            <w:tcW w:w="158" w:type="dxa"/>
            <w:tcBorders/>
            <w:shd w:fill="CCEEFF" w:val="clear"/>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property, plant and equipment was $23 million and $25 million for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$34 million and $4 million during the years ended December 31, 2025 and 2024, respectively from construction in process to software, related to internal use software at the point in time it is ready for its intended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 INTANGIBLE ASSETS AND GOODWILL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and goodwill are the result of the allocation of purchase consideration to the assets of the Company resulting from the 2023 acquisition of Vantor (previously named Maxar) by a subsidiary of Galileo Topco, Inc. The carrying values of Intangible assets, net as of December 31, 2025 and 2024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39"/>
        <w:gridCol w:w="281"/>
        <w:gridCol w:w="401"/>
        <w:gridCol w:w="1109"/>
        <w:gridCol w:w="60"/>
        <w:gridCol w:w="281"/>
        <w:gridCol w:w="403"/>
        <w:gridCol w:w="969"/>
        <w:gridCol w:w="155"/>
        <w:gridCol w:w="261"/>
        <w:gridCol w:w="332"/>
        <w:gridCol w:w="906"/>
        <w:gridCol w:w="155"/>
        <w:gridCol w:w="261"/>
        <w:gridCol w:w="401"/>
        <w:gridCol w:w="1108"/>
        <w:gridCol w:w="66"/>
      </w:tblGrid>
      <w:tr>
        <w:trPr/>
        <w:tc>
          <w:tcPr>
            <w:tcW w:w="2239"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239"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680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6" w:type="dxa"/>
            <w:tcBorders/>
            <w:vAlign w:val="bottom"/>
          </w:tcPr>
          <w:p>
            <w:pPr>
              <w:pStyle w:val="TableContents"/>
              <w:bidi w:val="0"/>
              <w:spacing w:before="0" w:after="283"/>
              <w:jc w:val="left"/>
              <w:rPr/>
            </w:pPr>
            <w:r>
              <w:rPr/>
              <w:t> </w:t>
            </w:r>
          </w:p>
        </w:tc>
      </w:tr>
      <w:tr>
        <w:trPr/>
        <w:tc>
          <w:tcPr>
            <w:tcW w:w="2239"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 value</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Impairment</w:t>
              <w:br/>
              <w:t>Loss</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carrying value</w:t>
            </w:r>
          </w:p>
        </w:tc>
        <w:tc>
          <w:tcPr>
            <w:tcW w:w="66" w:type="dxa"/>
            <w:tcBorders/>
            <w:vAlign w:val="bottom"/>
          </w:tcPr>
          <w:p>
            <w:pPr>
              <w:pStyle w:val="TableContents"/>
              <w:bidi w:val="0"/>
              <w:spacing w:before="0" w:after="283"/>
              <w:jc w:val="left"/>
              <w:rPr/>
            </w:pPr>
            <w:r>
              <w:rPr/>
              <w:t> </w:t>
            </w:r>
          </w:p>
        </w:tc>
      </w:tr>
      <w:tr>
        <w:trPr/>
        <w:tc>
          <w:tcPr>
            <w:tcW w:w="2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81"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58</w:t>
            </w:r>
          </w:p>
        </w:tc>
        <w:tc>
          <w:tcPr>
            <w:tcW w:w="66" w:type="dxa"/>
            <w:tcBorders/>
            <w:shd w:fill="CCEEFF" w:val="clear"/>
            <w:vAlign w:val="bottom"/>
          </w:tcPr>
          <w:p>
            <w:pPr>
              <w:pStyle w:val="TableContents"/>
              <w:bidi w:val="0"/>
              <w:spacing w:before="0" w:after="283"/>
              <w:jc w:val="left"/>
              <w:rPr/>
            </w:pPr>
            <w:r>
              <w:rPr/>
              <w:t> </w:t>
            </w:r>
          </w:p>
        </w:tc>
      </w:tr>
      <w:tr>
        <w:trPr/>
        <w:tc>
          <w:tcPr>
            <w:tcW w:w="2239"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8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36</w:t>
            </w:r>
          </w:p>
        </w:tc>
        <w:tc>
          <w:tcPr>
            <w:tcW w:w="66" w:type="dxa"/>
            <w:tcBorders/>
            <w:vAlign w:val="bottom"/>
          </w:tcPr>
          <w:p>
            <w:pPr>
              <w:pStyle w:val="TableContents"/>
              <w:bidi w:val="0"/>
              <w:spacing w:before="0" w:after="283"/>
              <w:jc w:val="left"/>
              <w:rPr/>
            </w:pPr>
            <w:r>
              <w:rPr/>
              <w:t> </w:t>
            </w:r>
          </w:p>
        </w:tc>
      </w:tr>
      <w:tr>
        <w:trPr/>
        <w:tc>
          <w:tcPr>
            <w:tcW w:w="2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 and other</w:t>
            </w:r>
          </w:p>
        </w:tc>
        <w:tc>
          <w:tcPr>
            <w:tcW w:w="281"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239"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239"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8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94</w:t>
            </w:r>
          </w:p>
        </w:tc>
        <w:tc>
          <w:tcPr>
            <w:tcW w:w="66" w:type="dxa"/>
            <w:tcBorders/>
            <w:vAlign w:val="bottom"/>
          </w:tcPr>
          <w:p>
            <w:pPr>
              <w:pStyle w:val="TableContents"/>
              <w:bidi w:val="0"/>
              <w:spacing w:before="0" w:after="283"/>
              <w:jc w:val="left"/>
              <w:rPr/>
            </w:pPr>
            <w:r>
              <w:rPr/>
              <w:t> </w:t>
            </w:r>
          </w:p>
        </w:tc>
      </w:tr>
      <w:tr>
        <w:trPr/>
        <w:tc>
          <w:tcPr>
            <w:tcW w:w="2239"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195" w:hRule="atLeast"/>
        </w:trPr>
        <w:tc>
          <w:tcPr>
            <w:tcW w:w="2239" w:type="dxa"/>
            <w:tcBorders/>
            <w:vAlign w:val="center"/>
          </w:tcPr>
          <w:p>
            <w:pPr>
              <w:pStyle w:val="TableContents"/>
              <w:bidi w:val="0"/>
              <w:spacing w:before="0" w:after="283"/>
              <w:jc w:val="left"/>
              <w:rPr>
                <w:sz w:val="4"/>
                <w:szCs w:val="4"/>
              </w:rPr>
            </w:pPr>
            <w:r>
              <w:rPr>
                <w:sz w:val="4"/>
                <w:szCs w:val="4"/>
              </w:rPr>
            </w:r>
          </w:p>
        </w:tc>
        <w:tc>
          <w:tcPr>
            <w:tcW w:w="7149" w:type="dxa"/>
            <w:gridSpan w:val="16"/>
            <w:tcBorders/>
            <w:vAlign w:val="center"/>
          </w:tcPr>
          <w:p>
            <w:pPr>
              <w:pStyle w:val="TableContents"/>
              <w:bidi w:val="0"/>
              <w:spacing w:before="0" w:after="283"/>
              <w:jc w:val="left"/>
              <w:rPr>
                <w:sz w:val="4"/>
                <w:szCs w:val="4"/>
              </w:rPr>
            </w:pPr>
            <w:r>
              <w:rPr>
                <w:sz w:val="4"/>
                <w:szCs w:val="4"/>
              </w:rPr>
            </w:r>
          </w:p>
        </w:tc>
      </w:tr>
      <w:tr>
        <w:trPr/>
        <w:tc>
          <w:tcPr>
            <w:tcW w:w="2239"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680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2239"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 value</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Impairment</w:t>
              <w:br/>
              <w:t>Loss</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pPr>
            <w:r>
              <w:rPr>
                <w:b/>
              </w:rPr>
              <w:t>Net</w:t>
            </w:r>
            <w:r>
              <w:rPr/>
              <w:br/>
            </w:r>
            <w:r>
              <w:rPr>
                <w:b/>
              </w:rPr>
              <w:t>carrying value</w:t>
            </w:r>
          </w:p>
        </w:tc>
        <w:tc>
          <w:tcPr>
            <w:tcW w:w="66" w:type="dxa"/>
            <w:tcBorders/>
            <w:vAlign w:val="bottom"/>
          </w:tcPr>
          <w:p>
            <w:pPr>
              <w:pStyle w:val="TableContents"/>
              <w:bidi w:val="0"/>
              <w:spacing w:before="0" w:after="283"/>
              <w:jc w:val="left"/>
              <w:rPr/>
            </w:pPr>
            <w:r>
              <w:rPr/>
              <w:t> </w:t>
            </w:r>
          </w:p>
        </w:tc>
      </w:tr>
      <w:tr>
        <w:trPr/>
        <w:tc>
          <w:tcPr>
            <w:tcW w:w="2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81"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62</w:t>
            </w:r>
          </w:p>
        </w:tc>
        <w:tc>
          <w:tcPr>
            <w:tcW w:w="66" w:type="dxa"/>
            <w:tcBorders/>
            <w:shd w:fill="CCEEFF" w:val="clear"/>
            <w:vAlign w:val="bottom"/>
          </w:tcPr>
          <w:p>
            <w:pPr>
              <w:pStyle w:val="TableContents"/>
              <w:bidi w:val="0"/>
              <w:spacing w:before="0" w:after="283"/>
              <w:jc w:val="left"/>
              <w:rPr/>
            </w:pPr>
            <w:r>
              <w:rPr/>
              <w:t> </w:t>
            </w:r>
          </w:p>
        </w:tc>
      </w:tr>
      <w:tr>
        <w:trPr/>
        <w:tc>
          <w:tcPr>
            <w:tcW w:w="2239"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8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w:t>
            </w:r>
          </w:p>
        </w:tc>
        <w:tc>
          <w:tcPr>
            <w:tcW w:w="66" w:type="dxa"/>
            <w:tcBorders/>
            <w:vAlign w:val="bottom"/>
          </w:tcPr>
          <w:p>
            <w:pPr>
              <w:pStyle w:val="TableContents"/>
              <w:bidi w:val="0"/>
              <w:spacing w:before="0" w:after="283"/>
              <w:jc w:val="left"/>
              <w:rPr/>
            </w:pPr>
            <w:r>
              <w:rPr/>
              <w:t> </w:t>
            </w:r>
          </w:p>
        </w:tc>
      </w:tr>
      <w:tr>
        <w:trPr/>
        <w:tc>
          <w:tcPr>
            <w:tcW w:w="2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 and other</w:t>
            </w:r>
          </w:p>
        </w:tc>
        <w:tc>
          <w:tcPr>
            <w:tcW w:w="281"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37</w:t>
            </w:r>
          </w:p>
        </w:tc>
        <w:tc>
          <w:tcPr>
            <w:tcW w:w="66" w:type="dxa"/>
            <w:tcBorders/>
            <w:shd w:fill="CCEEFF" w:val="clear"/>
            <w:vAlign w:val="bottom"/>
          </w:tcPr>
          <w:p>
            <w:pPr>
              <w:pStyle w:val="TableContents"/>
              <w:bidi w:val="0"/>
              <w:spacing w:before="0" w:after="283"/>
              <w:jc w:val="left"/>
              <w:rPr/>
            </w:pPr>
            <w:r>
              <w:rPr/>
              <w:t> </w:t>
            </w:r>
          </w:p>
        </w:tc>
      </w:tr>
      <w:tr>
        <w:trPr/>
        <w:tc>
          <w:tcPr>
            <w:tcW w:w="2239"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239"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8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105</w:t>
            </w:r>
          </w:p>
        </w:tc>
        <w:tc>
          <w:tcPr>
            <w:tcW w:w="66" w:type="dxa"/>
            <w:tcBorders/>
            <w:vAlign w:val="bottom"/>
          </w:tcPr>
          <w:p>
            <w:pPr>
              <w:pStyle w:val="TableContents"/>
              <w:bidi w:val="0"/>
              <w:spacing w:before="0" w:after="283"/>
              <w:jc w:val="left"/>
              <w:rPr/>
            </w:pPr>
            <w:r>
              <w:rPr/>
              <w:t> </w:t>
            </w:r>
          </w:p>
        </w:tc>
      </w:tr>
      <w:tr>
        <w:trPr/>
        <w:tc>
          <w:tcPr>
            <w:tcW w:w="2239"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name change from Maxar Space Systems to Lanteris, the Company impaired the previously recognized Trade names, which resulted in an impairment loss of $35 million in 2025. Amortization expense related to intangible assets was $10 million and $13 million for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$34 million and $4 million during the years ended December 31, 2025 and 2024, respectively from construction in process to software, related to internal use software at the point in time it is it ready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annual amortization expense related to finite-lived intangible assets as of December 31, 2025,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15"/>
        <w:gridCol w:w="205"/>
        <w:gridCol w:w="250"/>
        <w:gridCol w:w="250"/>
        <w:gridCol w:w="60"/>
        <w:gridCol w:w="205"/>
        <w:gridCol w:w="250"/>
        <w:gridCol w:w="250"/>
        <w:gridCol w:w="60"/>
        <w:gridCol w:w="205"/>
        <w:gridCol w:w="250"/>
        <w:gridCol w:w="250"/>
        <w:gridCol w:w="60"/>
        <w:gridCol w:w="205"/>
        <w:gridCol w:w="250"/>
        <w:gridCol w:w="249"/>
        <w:gridCol w:w="60"/>
        <w:gridCol w:w="205"/>
        <w:gridCol w:w="250"/>
        <w:gridCol w:w="250"/>
        <w:gridCol w:w="60"/>
        <w:gridCol w:w="205"/>
        <w:gridCol w:w="519"/>
        <w:gridCol w:w="972"/>
        <w:gridCol w:w="70"/>
      </w:tblGrid>
      <w:tr>
        <w:trPr/>
        <w:tc>
          <w:tcPr>
            <w:tcW w:w="461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461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91" w:type="dxa"/>
            <w:gridSpan w:val="2"/>
            <w:tcBorders/>
            <w:vAlign w:val="bottom"/>
          </w:tcPr>
          <w:p>
            <w:pPr>
              <w:pStyle w:val="TableContents"/>
              <w:bidi w:val="0"/>
              <w:spacing w:before="0" w:after="283"/>
              <w:jc w:val="center"/>
              <w:rPr>
                <w:b/>
              </w:rPr>
            </w:pPr>
            <w:r>
              <w:rPr>
                <w:b/>
              </w:rPr>
              <w:t>2031</w:t>
            </w:r>
          </w:p>
        </w:tc>
        <w:tc>
          <w:tcPr>
            <w:tcW w:w="70" w:type="dxa"/>
            <w:tcBorders/>
            <w:vAlign w:val="bottom"/>
          </w:tcPr>
          <w:p>
            <w:pPr>
              <w:pStyle w:val="TableContents"/>
              <w:bidi w:val="0"/>
              <w:spacing w:before="0" w:after="283"/>
              <w:jc w:val="left"/>
              <w:rPr/>
            </w:pPr>
            <w:r>
              <w:rPr/>
              <w:t> </w:t>
            </w:r>
          </w:p>
        </w:tc>
      </w:tr>
      <w:tr>
        <w:trPr/>
        <w:tc>
          <w:tcPr>
            <w:tcW w:w="461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and thereafter</w:t>
            </w:r>
          </w:p>
        </w:tc>
        <w:tc>
          <w:tcPr>
            <w:tcW w:w="70" w:type="dxa"/>
            <w:tcBorders/>
            <w:vAlign w:val="bottom"/>
          </w:tcPr>
          <w:p>
            <w:pPr>
              <w:pStyle w:val="TableContents"/>
              <w:bidi w:val="0"/>
              <w:spacing w:before="0" w:after="283"/>
              <w:jc w:val="left"/>
              <w:rPr/>
            </w:pPr>
            <w:r>
              <w:rPr/>
              <w:t> </w:t>
            </w:r>
          </w:p>
        </w:tc>
      </w:tr>
      <w:tr>
        <w:trPr/>
        <w:tc>
          <w:tcPr>
            <w:tcW w:w="4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0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49"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w:t>
            </w:r>
          </w:p>
        </w:tc>
        <w:tc>
          <w:tcPr>
            <w:tcW w:w="972" w:type="dxa"/>
            <w:tcBorders/>
            <w:shd w:fill="CCEEFF" w:val="clear"/>
            <w:vAlign w:val="bottom"/>
          </w:tcPr>
          <w:p>
            <w:pPr>
              <w:pStyle w:val="TableContents"/>
              <w:bidi w:val="0"/>
              <w:spacing w:before="0" w:after="283"/>
              <w:jc w:val="right"/>
              <w:rPr/>
            </w:pPr>
            <w:r>
              <w:rPr/>
              <w:t>56</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amortization period as of December 31, 2025, by definite-lived intangible asset class, is presented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38"/>
        <w:gridCol w:w="729"/>
        <w:gridCol w:w="252"/>
        <w:gridCol w:w="1858"/>
        <w:gridCol w:w="62"/>
      </w:tblGrid>
      <w:tr>
        <w:trPr/>
        <w:tc>
          <w:tcPr>
            <w:tcW w:w="4038" w:type="dxa"/>
            <w:tcBorders/>
            <w:vAlign w:val="center"/>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03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left"/>
              <w:rPr/>
            </w:pPr>
            <w:r>
              <w:rPr/>
              <w:t>  </w:t>
            </w:r>
          </w:p>
        </w:tc>
        <w:tc>
          <w:tcPr>
            <w:tcW w:w="2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Amortization Period</w:t>
            </w:r>
          </w:p>
        </w:tc>
        <w:tc>
          <w:tcPr>
            <w:tcW w:w="62" w:type="dxa"/>
            <w:tcBorders/>
            <w:vAlign w:val="bottom"/>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72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8" w:type="dxa"/>
            <w:tcBorders/>
            <w:shd w:fill="CCEEFF" w:val="clear"/>
            <w:vAlign w:val="bottom"/>
          </w:tcPr>
          <w:p>
            <w:pPr>
              <w:pStyle w:val="TableContents"/>
              <w:bidi w:val="0"/>
              <w:spacing w:before="0" w:after="283"/>
              <w:jc w:val="right"/>
              <w:rPr/>
            </w:pPr>
            <w:r>
              <w:rPr/>
              <w:t>12.3</w:t>
            </w:r>
          </w:p>
        </w:tc>
        <w:tc>
          <w:tcPr>
            <w:tcW w:w="62" w:type="dxa"/>
            <w:tcBorders/>
            <w:shd w:fill="CCEEFF" w:val="clear"/>
            <w:vAlign w:val="bottom"/>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72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8"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are no changes in the carrying amount of $194 million of Goodwill during the years ended December 31, 2025 and 2024. The Company has not recorded any impairment related to Goodwill since initial recognition. During the fourth quarter of each year, we tested our reporting unit for impairment and determined goodwill was not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leases have remaining lease terms up to 4 years, some of which include options to extend the lease anywhere from three to five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the current portion of the operating lease liabilities in Current operating lease liabilities in the Consolidated Balance Sheets. The non-current portions of the operating lease assets and operating lease liabilities have been recorded in Other non-current assets and Operating lease liabilities, respectively, in the Consolidated Balance Sheets. Non-current operating leases assets recorded in Other non-current assets are $32 million and $40 million, as of December 31, 2025 and December 31, 2024, respectively. Interest expense on the financial liability has been recorded in Interest expense, net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operating lease expense are as follows: </w:t>
      </w:r>
    </w:p>
    <w:p>
      <w:pPr>
        <w:pStyle w:val="TextBody"/>
        <w:bidi w:val="0"/>
        <w:spacing w:before="0" w:after="0"/>
        <w:jc w:val="left"/>
        <w:rPr/>
      </w:pPr>
      <w:r>
        <w:rPr/>
        <w:t> </w:t>
      </w:r>
    </w:p>
    <w:tbl>
      <w:tblPr>
        <w:tblW w:w="10205" w:type="dxa"/>
        <w:jc w:val="center"/>
        <w:tblInd w:w="0" w:type="dxa"/>
        <w:tblLayout w:type="fixed"/>
        <w:tblCellMar>
          <w:top w:w="0" w:type="dxa"/>
          <w:left w:w="0" w:type="dxa"/>
          <w:bottom w:w="0" w:type="dxa"/>
          <w:right w:w="0" w:type="dxa"/>
        </w:tblCellMar>
      </w:tblPr>
      <w:tblGrid>
        <w:gridCol w:w="830"/>
        <w:gridCol w:w="120"/>
        <w:gridCol w:w="6065"/>
        <w:gridCol w:w="120"/>
        <w:gridCol w:w="495"/>
        <w:gridCol w:w="920"/>
        <w:gridCol w:w="60"/>
        <w:gridCol w:w="120"/>
        <w:gridCol w:w="495"/>
        <w:gridCol w:w="920"/>
        <w:gridCol w:w="60"/>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Classification</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0"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120" w:type="dxa"/>
            <w:tcBorders/>
            <w:shd w:fill="CCEEFF" w:val="clear"/>
            <w:vAlign w:val="bottom"/>
          </w:tcPr>
          <w:p>
            <w:pPr>
              <w:pStyle w:val="TableContents"/>
              <w:bidi w:val="0"/>
              <w:spacing w:before="0" w:after="283"/>
              <w:jc w:val="left"/>
              <w:rPr/>
            </w:pPr>
            <w:r>
              <w:rPr/>
              <w:t>  </w:t>
            </w:r>
          </w:p>
        </w:tc>
        <w:tc>
          <w:tcPr>
            <w:tcW w:w="6065" w:type="dxa"/>
            <w:tcBorders/>
            <w:shd w:fill="CCEEFF" w:val="clear"/>
            <w:vAlign w:val="bottom"/>
          </w:tcPr>
          <w:p>
            <w:pPr>
              <w:pStyle w:val="TableContents"/>
              <w:bidi w:val="0"/>
              <w:spacing w:before="0" w:after="283"/>
              <w:jc w:val="left"/>
              <w:rPr/>
            </w:pPr>
            <w:r>
              <w:rPr/>
              <w:t>Selling, general, and administrative expense, and Product costs1</w:t>
            </w:r>
          </w:p>
        </w:tc>
        <w:tc>
          <w:tcPr>
            <w:tcW w:w="12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depreciation and amortization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Supplemental lease cash flow information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95"/>
        <w:gridCol w:w="498"/>
        <w:gridCol w:w="495"/>
        <w:gridCol w:w="926"/>
        <w:gridCol w:w="60"/>
        <w:gridCol w:w="498"/>
        <w:gridCol w:w="495"/>
        <w:gridCol w:w="926"/>
        <w:gridCol w:w="62"/>
      </w:tblGrid>
      <w:tr>
        <w:trPr/>
        <w:tc>
          <w:tcPr>
            <w:tcW w:w="3795"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795"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2" w:type="dxa"/>
            <w:tcBorders/>
            <w:vAlign w:val="bottom"/>
          </w:tcPr>
          <w:p>
            <w:pPr>
              <w:pStyle w:val="TableContents"/>
              <w:bidi w:val="0"/>
              <w:spacing w:before="0" w:after="283"/>
              <w:jc w:val="left"/>
              <w:rPr/>
            </w:pPr>
            <w:r>
              <w:rPr/>
              <w:t> </w:t>
            </w:r>
          </w:p>
        </w:tc>
      </w:tr>
      <w:tr>
        <w:trPr/>
        <w:tc>
          <w:tcPr>
            <w:tcW w:w="3795" w:type="dxa"/>
            <w:tcBorders/>
            <w:shd w:fill="CCEEFF" w:val="clear"/>
            <w:vAlign w:val="bottom"/>
          </w:tcPr>
          <w:p>
            <w:pPr>
              <w:pStyle w:val="TableContents"/>
              <w:bidi w:val="0"/>
              <w:spacing w:before="0" w:after="283"/>
              <w:jc w:val="left"/>
              <w:rPr/>
            </w:pPr>
            <w:r>
              <w:rPr/>
              <w:t>Cash paid for amounts included in the measurement of lease liabilities:</w:t>
            </w:r>
          </w:p>
        </w:tc>
        <w:tc>
          <w:tcPr>
            <w:tcW w:w="49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795" w:type="dxa"/>
            <w:tcBorders/>
            <w:vAlign w:val="bottom"/>
          </w:tcPr>
          <w:p>
            <w:pPr>
              <w:pStyle w:val="TableContents"/>
              <w:bidi w:val="0"/>
              <w:spacing w:before="0" w:after="283"/>
              <w:jc w:val="left"/>
              <w:rPr/>
            </w:pPr>
            <w:r>
              <w:rPr/>
              <w:t>Operating cash flows from operating leases</w:t>
            </w:r>
          </w:p>
        </w:tc>
        <w:tc>
          <w:tcPr>
            <w:tcW w:w="49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3795" w:type="dxa"/>
            <w:tcBorders/>
            <w:shd w:fill="CCEEFF" w:val="clear"/>
            <w:vAlign w:val="bottom"/>
          </w:tcPr>
          <w:p>
            <w:pPr>
              <w:pStyle w:val="TableContents"/>
              <w:bidi w:val="0"/>
              <w:spacing w:before="0" w:after="283"/>
              <w:jc w:val="left"/>
              <w:rPr/>
            </w:pPr>
            <w:r>
              <w:rPr/>
              <w:t>Right-of-use assets obtained in exchange for lease obligations:</w:t>
            </w:r>
          </w:p>
        </w:tc>
        <w:tc>
          <w:tcPr>
            <w:tcW w:w="49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79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49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supplemental lease information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60"/>
        <w:gridCol w:w="471"/>
        <w:gridCol w:w="169"/>
        <w:gridCol w:w="1246"/>
        <w:gridCol w:w="60"/>
        <w:gridCol w:w="471"/>
        <w:gridCol w:w="169"/>
        <w:gridCol w:w="1246"/>
        <w:gridCol w:w="63"/>
      </w:tblGrid>
      <w:tr>
        <w:trPr/>
        <w:tc>
          <w:tcPr>
            <w:tcW w:w="3860"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283"/>
              <w:jc w:val="left"/>
              <w:rPr/>
            </w:pPr>
            <w:r>
              <w:rPr/>
              <w:t>Weighted average remaining lease term (in years)</w:t>
            </w:r>
          </w:p>
        </w:tc>
        <w:tc>
          <w:tcPr>
            <w:tcW w:w="4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60" w:type="dxa"/>
            <w:tcBorders/>
            <w:vAlign w:val="bottom"/>
          </w:tcPr>
          <w:p>
            <w:pPr>
              <w:pStyle w:val="TableContents"/>
              <w:bidi w:val="0"/>
              <w:spacing w:before="0" w:after="283"/>
              <w:jc w:val="left"/>
              <w:rPr/>
            </w:pPr>
            <w:r>
              <w:rPr/>
              <w:t>Operating leases</w:t>
            </w:r>
          </w:p>
        </w:tc>
        <w:tc>
          <w:tcPr>
            <w:tcW w:w="4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3.55</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4.40</w:t>
            </w:r>
          </w:p>
        </w:tc>
        <w:tc>
          <w:tcPr>
            <w:tcW w:w="63"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283"/>
              <w:jc w:val="left"/>
              <w:rPr/>
            </w:pPr>
            <w:r>
              <w:rPr/>
              <w:t>Weighted average discount rate</w:t>
            </w:r>
          </w:p>
        </w:tc>
        <w:tc>
          <w:tcPr>
            <w:tcW w:w="4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4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4.91</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4.81</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Net Future Minimum Lease Payments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includes future minimum lease payments under operating leases together with the present value of the net future minimum lease payments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20"/>
        <w:gridCol w:w="198"/>
        <w:gridCol w:w="175"/>
        <w:gridCol w:w="338"/>
        <w:gridCol w:w="60"/>
        <w:gridCol w:w="198"/>
        <w:gridCol w:w="175"/>
        <w:gridCol w:w="338"/>
        <w:gridCol w:w="60"/>
        <w:gridCol w:w="198"/>
        <w:gridCol w:w="175"/>
        <w:gridCol w:w="337"/>
        <w:gridCol w:w="60"/>
        <w:gridCol w:w="198"/>
        <w:gridCol w:w="175"/>
        <w:gridCol w:w="338"/>
        <w:gridCol w:w="60"/>
        <w:gridCol w:w="198"/>
        <w:gridCol w:w="140"/>
        <w:gridCol w:w="442"/>
        <w:gridCol w:w="60"/>
        <w:gridCol w:w="198"/>
        <w:gridCol w:w="300"/>
        <w:gridCol w:w="825"/>
        <w:gridCol w:w="60"/>
        <w:gridCol w:w="198"/>
        <w:gridCol w:w="247"/>
        <w:gridCol w:w="462"/>
        <w:gridCol w:w="72"/>
      </w:tblGrid>
      <w:tr>
        <w:trPr/>
        <w:tc>
          <w:tcPr>
            <w:tcW w:w="392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1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8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vMerge w:val="restart"/>
            <w:tcBorders/>
            <w:vAlign w:val="bottom"/>
          </w:tcPr>
          <w:p>
            <w:pPr>
              <w:pStyle w:val="TableContents"/>
              <w:bidi w:val="0"/>
              <w:spacing w:before="0" w:after="283"/>
              <w:jc w:val="left"/>
              <w:rPr/>
            </w:pPr>
            <w:r>
              <w:rPr/>
              <w:t>  </w:t>
            </w:r>
          </w:p>
        </w:tc>
        <w:tc>
          <w:tcPr>
            <w:tcW w:w="70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0"/>
              <w:jc w:val="center"/>
              <w:rPr>
                <w:rFonts w:ascii="Times New Roman" w:hAnsi="Times New Roman"/>
                <w:b/>
                <w:sz w:val="16"/>
              </w:rPr>
            </w:pPr>
            <w:r>
              <w:rPr>
                <w:rFonts w:ascii="Times New Roman" w:hAnsi="Times New Roman"/>
                <w:b/>
                <w:sz w:val="16"/>
              </w:rPr>
              <w:t>minimum</w:t>
            </w:r>
          </w:p>
          <w:p>
            <w:pPr>
              <w:pStyle w:val="TableContents"/>
              <w:bidi w:val="0"/>
              <w:spacing w:before="0" w:after="0"/>
              <w:jc w:val="center"/>
              <w:rPr>
                <w:rFonts w:ascii="Times New Roman" w:hAnsi="Times New Roman"/>
                <w:b/>
                <w:sz w:val="16"/>
              </w:rPr>
            </w:pPr>
            <w:r>
              <w:rPr>
                <w:rFonts w:ascii="Times New Roman" w:hAnsi="Times New Roman"/>
                <w:b/>
                <w:sz w:val="16"/>
              </w:rPr>
              <w:t>lease</w:t>
            </w:r>
          </w:p>
          <w:p>
            <w:pPr>
              <w:pStyle w:val="TableContents"/>
              <w:bidi w:val="0"/>
              <w:spacing w:before="0" w:after="20"/>
              <w:jc w:val="center"/>
              <w:rPr>
                <w:rFonts w:ascii="Times New Roman" w:hAnsi="Times New Roman"/>
                <w:b/>
                <w:sz w:val="16"/>
              </w:rPr>
            </w:pPr>
            <w:r>
              <w:rPr>
                <w:rFonts w:ascii="Times New Roman" w:hAnsi="Times New Roman"/>
                <w:b/>
                <w:sz w:val="16"/>
              </w:rPr>
              <w:t>payments</w:t>
            </w:r>
          </w:p>
        </w:tc>
        <w:tc>
          <w:tcPr>
            <w:tcW w:w="72" w:type="dxa"/>
            <w:vMerge w:val="restart"/>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Thereafter</w:t>
            </w:r>
          </w:p>
        </w:tc>
        <w:tc>
          <w:tcPr>
            <w:tcW w:w="60" w:type="dxa"/>
            <w:tcBorders/>
            <w:vAlign w:val="bottom"/>
          </w:tcPr>
          <w:p>
            <w:pPr>
              <w:pStyle w:val="TableContents"/>
              <w:bidi w:val="0"/>
              <w:spacing w:before="0" w:after="283"/>
              <w:jc w:val="left"/>
              <w:rPr/>
            </w:pPr>
            <w:r>
              <w:rPr/>
              <w:t> </w:t>
            </w:r>
          </w:p>
        </w:tc>
        <w:tc>
          <w:tcPr>
            <w:tcW w:w="198" w:type="dxa"/>
            <w:vMerge w:val="continue"/>
            <w:tcBorders/>
            <w:vAlign w:val="bottom"/>
          </w:tcPr>
          <w:p>
            <w:pPr>
              <w:pStyle w:val="Normal"/>
              <w:bidi w:val="0"/>
              <w:jc w:val="left"/>
              <w:rPr/>
            </w:pPr>
            <w:r>
              <w:rPr/>
            </w:r>
          </w:p>
        </w:tc>
        <w:tc>
          <w:tcPr>
            <w:tcW w:w="709" w:type="dxa"/>
            <w:gridSpan w:val="2"/>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r>
      <w:tr>
        <w:trPr/>
        <w:tc>
          <w:tcPr>
            <w:tcW w:w="3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9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8"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8"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7"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8"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 — 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462" w:type="dxa"/>
            <w:tcBorders/>
            <w:shd w:fill="CCEEFF" w:val="clear"/>
            <w:vAlign w:val="bottom"/>
          </w:tcPr>
          <w:p>
            <w:pPr>
              <w:pStyle w:val="TableContents"/>
              <w:bidi w:val="0"/>
              <w:spacing w:before="0" w:after="283"/>
              <w:jc w:val="right"/>
              <w:rPr/>
            </w:pPr>
            <w:r>
              <w:rPr/>
              <w:t>51</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8. WARRANTY AND RESTRUCTURING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In 2024 Lanteris, enacted a restructuring plan to reduce headcount and implement cost-saving measures. The current and non-current portions of warranty and restructuring obligations are presented in Other current liabilities and other non-current liabilities,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Changes to warranty and restructuring obligations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74"/>
        <w:gridCol w:w="471"/>
        <w:gridCol w:w="457"/>
        <w:gridCol w:w="1243"/>
        <w:gridCol w:w="155"/>
        <w:gridCol w:w="441"/>
        <w:gridCol w:w="389"/>
        <w:gridCol w:w="1065"/>
        <w:gridCol w:w="160"/>
      </w:tblGrid>
      <w:tr>
        <w:trPr/>
        <w:tc>
          <w:tcPr>
            <w:tcW w:w="3374"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74"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Warranty and</w:t>
              <w:br/>
              <w:t>after-sale service</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r>
          </w:p>
        </w:tc>
        <w:tc>
          <w:tcPr>
            <w:tcW w:w="160" w:type="dxa"/>
            <w:tcBorders/>
            <w:vAlign w:val="bottom"/>
          </w:tcPr>
          <w:p>
            <w:pPr>
              <w:pStyle w:val="TableContents"/>
              <w:bidi w:val="0"/>
              <w:spacing w:before="0" w:after="283"/>
              <w:jc w:val="left"/>
              <w:rPr/>
            </w:pPr>
            <w:r>
              <w:rPr/>
              <w:t> </w:t>
            </w:r>
          </w:p>
        </w:tc>
      </w:tr>
      <w:tr>
        <w:trPr/>
        <w:tc>
          <w:tcPr>
            <w:tcW w:w="3374" w:type="dxa"/>
            <w:tcBorders/>
            <w:shd w:fill="CCEEFF" w:val="clear"/>
            <w:vAlign w:val="bottom"/>
          </w:tcPr>
          <w:p>
            <w:pPr>
              <w:pStyle w:val="TableContents"/>
              <w:bidi w:val="0"/>
              <w:spacing w:before="0" w:after="283"/>
              <w:jc w:val="left"/>
              <w:rPr/>
            </w:pPr>
            <w:r>
              <w:rPr/>
              <w:t>Balance as of December 31, 2023</w:t>
            </w:r>
          </w:p>
        </w:tc>
        <w:tc>
          <w:tcPr>
            <w:tcW w:w="471"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3374"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incurred</w:t>
            </w:r>
          </w:p>
        </w:tc>
        <w:tc>
          <w:tcPr>
            <w:tcW w:w="471"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8</w:t>
            </w:r>
          </w:p>
        </w:tc>
        <w:tc>
          <w:tcPr>
            <w:tcW w:w="160" w:type="dxa"/>
            <w:tcBorders/>
            <w:vAlign w:val="bottom"/>
          </w:tcPr>
          <w:p>
            <w:pPr>
              <w:pStyle w:val="TableContents"/>
              <w:bidi w:val="0"/>
              <w:spacing w:before="0" w:after="283"/>
              <w:jc w:val="left"/>
              <w:rPr/>
            </w:pPr>
            <w:r>
              <w:rPr/>
              <w:t> </w:t>
            </w:r>
          </w:p>
        </w:tc>
      </w:tr>
      <w:tr>
        <w:trPr/>
        <w:tc>
          <w:tcPr>
            <w:tcW w:w="3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Payments/uses</w:t>
            </w:r>
          </w:p>
        </w:tc>
        <w:tc>
          <w:tcPr>
            <w:tcW w:w="471"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(7</w:t>
            </w:r>
          </w:p>
        </w:tc>
        <w:tc>
          <w:tcPr>
            <w:tcW w:w="160" w:type="dxa"/>
            <w:tcBorders/>
            <w:shd w:fill="CCEEFF" w:val="clear"/>
            <w:vAlign w:val="bottom"/>
          </w:tcPr>
          <w:p>
            <w:pPr>
              <w:pStyle w:val="TableContents"/>
              <w:bidi w:val="0"/>
              <w:spacing w:before="0" w:after="283"/>
              <w:jc w:val="left"/>
              <w:rPr/>
            </w:pPr>
            <w:r>
              <w:rPr/>
              <w:t>) </w:t>
            </w:r>
          </w:p>
        </w:tc>
      </w:tr>
      <w:tr>
        <w:trPr/>
        <w:tc>
          <w:tcPr>
            <w:tcW w:w="3374"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4" w:type="dxa"/>
            <w:tcBorders/>
            <w:vAlign w:val="bottom"/>
          </w:tcPr>
          <w:p>
            <w:pPr>
              <w:pStyle w:val="TableContents"/>
              <w:bidi w:val="0"/>
              <w:spacing w:before="0" w:after="283"/>
              <w:jc w:val="left"/>
              <w:rPr/>
            </w:pPr>
            <w:r>
              <w:rPr/>
              <w:t>Balance as of December 31, 2024</w:t>
            </w:r>
          </w:p>
        </w:tc>
        <w:tc>
          <w:tcPr>
            <w:tcW w:w="471"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3374"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Obligations incurred</w:t>
            </w:r>
          </w:p>
        </w:tc>
        <w:tc>
          <w:tcPr>
            <w:tcW w:w="471"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3374" w:type="dxa"/>
            <w:tcBorders/>
          </w:tcPr>
          <w:p>
            <w:pPr>
              <w:pStyle w:val="TableContents"/>
              <w:bidi w:val="0"/>
              <w:spacing w:before="0" w:after="0"/>
              <w:jc w:val="left"/>
              <w:rPr>
                <w:rFonts w:ascii="Times New Roman" w:hAnsi="Times New Roman"/>
                <w:sz w:val="20"/>
              </w:rPr>
            </w:pPr>
            <w:r>
              <w:rPr>
                <w:rFonts w:ascii="Times New Roman" w:hAnsi="Times New Roman"/>
                <w:sz w:val="20"/>
              </w:rPr>
              <w:t>Payments/uses</w:t>
            </w:r>
          </w:p>
        </w:tc>
        <w:tc>
          <w:tcPr>
            <w:tcW w:w="471"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w:t>
            </w:r>
          </w:p>
        </w:tc>
        <w:tc>
          <w:tcPr>
            <w:tcW w:w="160" w:type="dxa"/>
            <w:tcBorders/>
            <w:vAlign w:val="bottom"/>
          </w:tcPr>
          <w:p>
            <w:pPr>
              <w:pStyle w:val="TableContents"/>
              <w:bidi w:val="0"/>
              <w:spacing w:before="0" w:after="283"/>
              <w:jc w:val="left"/>
              <w:rPr/>
            </w:pPr>
            <w:r>
              <w:rPr/>
              <w:t>) </w:t>
            </w:r>
          </w:p>
        </w:tc>
      </w:tr>
      <w:tr>
        <w:trPr/>
        <w:tc>
          <w:tcPr>
            <w:tcW w:w="3374"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471"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374"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Historically, the Company has been managed and operated in the ordinary course of business with other affiliates of Galileo. Accordingly, certain shared costs have been allocated to the Company and reflected as expenses in these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have been prepared on a stand-alone basis and are derived from the consolidated financial statements and accounting records of Galileo. </w:t>
      </w:r>
    </w:p>
    <w:p>
      <w:pPr>
        <w:pStyle w:val="TextBody"/>
        <w:bidi w:val="0"/>
        <w:spacing w:before="240" w:after="0"/>
        <w:jc w:val="left"/>
        <w:rPr>
          <w:rFonts w:ascii="Times New Roman" w:hAnsi="Times New Roman"/>
          <w:sz w:val="20"/>
        </w:rPr>
      </w:pPr>
      <w:r>
        <w:rPr>
          <w:rFonts w:ascii="Times New Roman" w:hAnsi="Times New Roman"/>
          <w:sz w:val="20"/>
        </w:rPr>
        <w:t xml:space="preserve">Galileo incurs significant corporate costs for services provided to the Company as well as to other Galileo businesses. These services include treasury, tax, accounting, human resources, audit, legal, purchasing, information technology and other such services. The costs associated with these services generally include all payroll and benefit costs, as well as overhead costs related to the support functions. Galileo also allocates costs associated with corporate insurance coverage, medical, post-retirement and other health plans. Galileo corporate costs were either specifically attributable to Lanteris, when possible, or allocated to the Company. Allocations are based on reasonable allocation drivers such as net sales, headcount, usage and other allocation methods. All such amounts have been deemed to have been incurred and settled by the Company in the period in which the costs were recorded. </w:t>
      </w:r>
    </w:p>
    <w:p>
      <w:pPr>
        <w:pStyle w:val="TextBody"/>
        <w:bidi w:val="0"/>
        <w:spacing w:before="240" w:after="0"/>
        <w:jc w:val="left"/>
        <w:rPr>
          <w:rFonts w:ascii="Times New Roman" w:hAnsi="Times New Roman"/>
          <w:sz w:val="20"/>
        </w:rPr>
      </w:pPr>
      <w:r>
        <w:rPr>
          <w:rFonts w:ascii="Times New Roman" w:hAnsi="Times New Roman"/>
          <w:sz w:val="20"/>
        </w:rPr>
        <w:t xml:space="preserve">The allocated functional service expenses and general corporate expenses for the years ended December 31, 2025 and 2024 were $47 and $46 million, respectively. For the years ended December 31, 2025 and 2024, $42 and $40 million were included in Products Costs, excluding depreciation and amortization, and $5 and $6 million in Selling, general and administrative, respectively, in the Consolidated Statements of Operations. In the opinion of management of Galileo and the Company, the expense and cost allocations have been determined on a basis considered to be a reasonable reflection of the utilization of services provided to or the benefits received by the Company during 2025 and 2024. The amounts that would have been, or will be incurred, on a stand-alone basis could differ from the amounts allocated due to economies of scale, difference in management judgment, a requirement for more or fewer employees or other factors. Management does not believe, however, that it is practicable to estimate what these expenses would have been had the Company operated as an independent entity, including any expenses associated with obtaining any of these services from unaffiliated entities. In addition, the future results of operations, financial position and cash flows could differ materially from the historical results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Galileo’s centralized cash management and financing programs. Disbursements are made through centralized accounts payable systems which are operated by Galileo. Cash receipts are transferred to centralized accounts, which are also maintained by Galileo. As cash is received and disbursed by Galileo, it is accounted for by the Company through equity. All short and long-term debt is financed by Galileo, and financing decisions for wholly and majority owned subsidiaries are determined by Galileo Treasury. See Note 2 – Basis of Presentation for additional information. The Company’s cash that is not included in the centralized cash management and financing programs is classified as Cash and cash equivalents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related party revenue and product costs recorded within the Consolidated Statements of Operations are related to manufacturing activities to support the WorldView Legion program. WorldView Legion program satellites are manufactured and sold to Vantor, a wholly owned subsidiary of Parent. Any related receivables and payables have been deemed to be settled through equity and there are no balances reflected on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10.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revenue is primarily generated within the United States. Other geographical information is not significant. </w:t>
      </w:r>
    </w:p>
    <w:p>
      <w:pPr>
        <w:pStyle w:val="TextBody"/>
        <w:bidi w:val="0"/>
        <w:spacing w:before="240" w:after="0"/>
        <w:jc w:val="left"/>
        <w:rPr>
          <w:rFonts w:ascii="Times New Roman" w:hAnsi="Times New Roman"/>
          <w:sz w:val="20"/>
        </w:rPr>
      </w:pPr>
      <w:r>
        <w:rPr>
          <w:rFonts w:ascii="Times New Roman" w:hAnsi="Times New Roman"/>
          <w:sz w:val="20"/>
        </w:rPr>
        <w:t xml:space="preserve">Revenues from significant customers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34"/>
        <w:gridCol w:w="490"/>
        <w:gridCol w:w="526"/>
        <w:gridCol w:w="1433"/>
        <w:gridCol w:w="60"/>
        <w:gridCol w:w="490"/>
        <w:gridCol w:w="526"/>
        <w:gridCol w:w="1433"/>
        <w:gridCol w:w="63"/>
      </w:tblGrid>
      <w:tr>
        <w:trPr/>
        <w:tc>
          <w:tcPr>
            <w:tcW w:w="2734"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734"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2024</w:t>
            </w:r>
          </w:p>
        </w:tc>
        <w:tc>
          <w:tcPr>
            <w:tcW w:w="63" w:type="dxa"/>
            <w:tcBorders/>
            <w:vAlign w:val="bottom"/>
          </w:tcPr>
          <w:p>
            <w:pPr>
              <w:pStyle w:val="TableContents"/>
              <w:bidi w:val="0"/>
              <w:spacing w:before="0" w:after="283"/>
              <w:jc w:val="left"/>
              <w:rPr/>
            </w:pPr>
            <w:r>
              <w:rPr/>
              <w:t> </w:t>
            </w:r>
          </w:p>
        </w:tc>
      </w:tr>
      <w:tr>
        <w:trPr/>
        <w:tc>
          <w:tcPr>
            <w:tcW w:w="2734" w:type="dxa"/>
            <w:tcBorders/>
            <w:shd w:fill="CCEEFF" w:val="clear"/>
            <w:vAlign w:val="bottom"/>
          </w:tcPr>
          <w:p>
            <w:pPr>
              <w:pStyle w:val="TableContents"/>
              <w:bidi w:val="0"/>
              <w:spacing w:before="0" w:after="283"/>
              <w:jc w:val="left"/>
              <w:rPr/>
            </w:pPr>
            <w:r>
              <w:rPr/>
              <w:t>U.S. federal government and agencies</w:t>
            </w:r>
          </w:p>
        </w:tc>
        <w:tc>
          <w:tcPr>
            <w:tcW w:w="49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300</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315</w:t>
            </w:r>
          </w:p>
        </w:tc>
        <w:tc>
          <w:tcPr>
            <w:tcW w:w="63" w:type="dxa"/>
            <w:tcBorders/>
            <w:shd w:fill="CCEEFF" w:val="clear"/>
            <w:vAlign w:val="bottom"/>
          </w:tcPr>
          <w:p>
            <w:pPr>
              <w:pStyle w:val="TableContents"/>
              <w:bidi w:val="0"/>
              <w:spacing w:before="0" w:after="283"/>
              <w:jc w:val="left"/>
              <w:rPr/>
            </w:pPr>
            <w:r>
              <w:rPr/>
              <w:t> </w:t>
            </w:r>
          </w:p>
        </w:tc>
      </w:tr>
      <w:tr>
        <w:trPr/>
        <w:tc>
          <w:tcPr>
            <w:tcW w:w="2734" w:type="dxa"/>
            <w:tcBorders/>
            <w:vAlign w:val="bottom"/>
          </w:tcPr>
          <w:p>
            <w:pPr>
              <w:pStyle w:val="TableContents"/>
              <w:bidi w:val="0"/>
              <w:spacing w:before="0" w:after="283"/>
              <w:jc w:val="left"/>
              <w:rPr/>
            </w:pPr>
            <w:r>
              <w:rPr/>
              <w:t>Commercial and other</w:t>
            </w:r>
          </w:p>
        </w:tc>
        <w:tc>
          <w:tcPr>
            <w:tcW w:w="49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301</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407</w:t>
            </w:r>
          </w:p>
        </w:tc>
        <w:tc>
          <w:tcPr>
            <w:tcW w:w="63" w:type="dxa"/>
            <w:tcBorders/>
            <w:vAlign w:val="bottom"/>
          </w:tcPr>
          <w:p>
            <w:pPr>
              <w:pStyle w:val="TableContents"/>
              <w:bidi w:val="0"/>
              <w:spacing w:before="0" w:after="283"/>
              <w:jc w:val="left"/>
              <w:rPr/>
            </w:pPr>
            <w:r>
              <w:rPr/>
              <w:t> </w:t>
            </w:r>
          </w:p>
        </w:tc>
      </w:tr>
      <w:tr>
        <w:trPr/>
        <w:tc>
          <w:tcPr>
            <w:tcW w:w="2734"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49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601</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722</w:t>
            </w:r>
          </w:p>
        </w:tc>
        <w:tc>
          <w:tcPr>
            <w:tcW w:w="63" w:type="dxa"/>
            <w:tcBorders/>
            <w:shd w:fill="CCEEFF" w:val="clear"/>
            <w:vAlign w:val="bottom"/>
          </w:tcPr>
          <w:p>
            <w:pPr>
              <w:pStyle w:val="TableContents"/>
              <w:bidi w:val="0"/>
              <w:spacing w:before="0" w:after="283"/>
              <w:jc w:val="left"/>
              <w:rPr/>
            </w:pPr>
            <w:r>
              <w:rPr/>
              <w:t> </w:t>
            </w:r>
          </w:p>
        </w:tc>
      </w:tr>
      <w:tr>
        <w:trPr/>
        <w:tc>
          <w:tcPr>
            <w:tcW w:w="2734"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had revenues from a commercial customer that represented 17% and 28% of total revenues for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$613 million of remaining performance obligations, which represents the transaction price of firm orders less inception to date revenues recognized. Remaining performance obligations generally exclude unexercised contract options and indefinite delivery/indefinite quantity contracts. The Company expects to recognize revenues relating to existing performance obligations of approximately $498 million, $101 million, and $14 million for the fiscal years 2026, 2027 and thereafter,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22"/>
        <w:gridCol w:w="550"/>
        <w:gridCol w:w="526"/>
        <w:gridCol w:w="1429"/>
        <w:gridCol w:w="60"/>
        <w:gridCol w:w="550"/>
        <w:gridCol w:w="526"/>
        <w:gridCol w:w="1429"/>
        <w:gridCol w:w="63"/>
      </w:tblGrid>
      <w:tr>
        <w:trPr/>
        <w:tc>
          <w:tcPr>
            <w:tcW w:w="2622"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22"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 2025</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 2024</w:t>
            </w:r>
          </w:p>
        </w:tc>
        <w:tc>
          <w:tcPr>
            <w:tcW w:w="63"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55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156</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212</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liabilities as of December 31, 2023 were $267 million. Of the amount of contract liabilities recorded as of the beginning of the period, the Company recognized $211 million and $266 million of revenue for the years ended December 31, 2025 and December 31,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prior years, the Company had certain programs which contain significant development efforts that have experience delays and cost growth primarily due to the complexity of the programs in an overall loss position. The Company recorded a reversal of $6 and $2 million in EAC cost adjustments on loss contracts for the years ended December 31, 2025 and 2024 upon the completion of these programs.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revenue from orbital receivables of $18 million and $22 million for the years ended December 31, 2025 and 2024, respectively, which is included in product revenues. </w:t>
      </w:r>
    </w:p>
    <w:p>
      <w:pPr>
        <w:pStyle w:val="TextBody"/>
        <w:bidi w:val="0"/>
        <w:spacing w:before="360" w:after="0"/>
        <w:jc w:val="left"/>
        <w:rPr>
          <w:rFonts w:ascii="Times New Roman" w:hAnsi="Times New Roman"/>
          <w:b/>
          <w:sz w:val="20"/>
        </w:rPr>
      </w:pPr>
      <w:r>
        <w:rPr>
          <w:rFonts w:ascii="Times New Roman" w:hAnsi="Times New Roman"/>
          <w:b/>
          <w:sz w:val="20"/>
        </w:rPr>
        <w:t xml:space="preserve">11. EMPLOYEE BENEFIT PLANS </w:t>
      </w:r>
    </w:p>
    <w:p>
      <w:pPr>
        <w:pStyle w:val="TextBody"/>
        <w:bidi w:val="0"/>
        <w:spacing w:before="120" w:after="0"/>
        <w:jc w:val="left"/>
        <w:rPr>
          <w:rFonts w:ascii="Times New Roman" w:hAnsi="Times New Roman"/>
          <w:i/>
          <w:sz w:val="20"/>
        </w:rPr>
      </w:pPr>
      <w:r>
        <w:rPr>
          <w:rFonts w:ascii="Times New Roman" w:hAnsi="Times New Roman"/>
          <w:i/>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 contribution plan for some of its employees in the U.S., whereby the Company pays contributions based on a percentage of the employees’ annual salary. The Company recorded expense of $7 million and $8 million in the years ended December 31, 2025 and 2024, respectively, related to the plan. </w:t>
      </w:r>
    </w:p>
    <w:p>
      <w:pPr>
        <w:pStyle w:val="TextBody"/>
        <w:bidi w:val="0"/>
        <w:spacing w:before="360" w:after="0"/>
        <w:jc w:val="left"/>
        <w:rPr>
          <w:rFonts w:ascii="Times New Roman" w:hAnsi="Times New Roman"/>
          <w:i/>
          <w:sz w:val="20"/>
        </w:rPr>
      </w:pPr>
      <w:r>
        <w:rPr>
          <w:rFonts w:ascii="Times New Roman" w:hAnsi="Times New Roman"/>
          <w:i/>
          <w:sz w:val="20"/>
        </w:rPr>
        <w:t xml:space="preserve">Pension and other postretirement benefit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 benefit pension plan covering a portion of its employees. The pension and other postretirement plan benefits were frozen on December 31, 2013. The defined benefit plan provides pension benefits based on various factors including prior earnings and length of service. The defined benefit plan is funded, and the Company’s funding requirements are based on the plans’ actuarial measurement framework as established by the plan agreements or applicable laws. The funded plans’ assets are legally separated from the Company and are held by an independent trustee. The trustee is responsible for ensuring that the funds are protected as per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provides for other postretirement benefits, comprised of life insurance covering a portion of its employees. The cost of these benefits is primarily funded out of Operating income. </w:t>
      </w:r>
    </w:p>
    <w:p>
      <w:pPr>
        <w:pStyle w:val="TextBody"/>
        <w:bidi w:val="0"/>
        <w:spacing w:before="240" w:after="0"/>
        <w:jc w:val="left"/>
        <w:rPr>
          <w:rFonts w:ascii="Times New Roman" w:hAnsi="Times New Roman"/>
          <w:sz w:val="20"/>
        </w:rPr>
      </w:pPr>
      <w:r>
        <w:rPr>
          <w:rFonts w:ascii="Times New Roman" w:hAnsi="Times New Roman"/>
          <w:sz w:val="20"/>
        </w:rPr>
        <w:t xml:space="preserve">All amounts recognized in Accumulated other comprehensive income are related to the net pension benefits in both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table below summarizes changes in the benefit obligation, the fair value of plan assets and funded status for the Company’s pension and other postretirement benefit plans, as well as the aggregate balance sheet impact.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87"/>
        <w:gridCol w:w="309"/>
        <w:gridCol w:w="219"/>
        <w:gridCol w:w="597"/>
        <w:gridCol w:w="166"/>
        <w:gridCol w:w="290"/>
        <w:gridCol w:w="405"/>
        <w:gridCol w:w="1121"/>
        <w:gridCol w:w="155"/>
        <w:gridCol w:w="281"/>
        <w:gridCol w:w="219"/>
        <w:gridCol w:w="597"/>
        <w:gridCol w:w="166"/>
        <w:gridCol w:w="290"/>
        <w:gridCol w:w="404"/>
        <w:gridCol w:w="1121"/>
        <w:gridCol w:w="161"/>
      </w:tblGrid>
      <w:tr>
        <w:trPr/>
        <w:tc>
          <w:tcPr>
            <w:tcW w:w="288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7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1" w:type="dxa"/>
            <w:tcBorders/>
            <w:vAlign w:val="bottom"/>
          </w:tcPr>
          <w:p>
            <w:pPr>
              <w:pStyle w:val="TableContents"/>
              <w:bidi w:val="0"/>
              <w:spacing w:before="0" w:after="283"/>
              <w:jc w:val="left"/>
              <w:rPr/>
            </w:pPr>
            <w:r>
              <w:rPr/>
              <w:t> </w:t>
            </w:r>
          </w:p>
        </w:tc>
      </w:tr>
      <w:tr>
        <w:trPr/>
        <w:tc>
          <w:tcPr>
            <w:tcW w:w="288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r>
          </w:p>
        </w:tc>
        <w:tc>
          <w:tcPr>
            <w:tcW w:w="15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r>
          </w:p>
        </w:tc>
        <w:tc>
          <w:tcPr>
            <w:tcW w:w="161" w:type="dxa"/>
            <w:tcBorders/>
            <w:vAlign w:val="bottom"/>
          </w:tcPr>
          <w:p>
            <w:pPr>
              <w:pStyle w:val="TableContents"/>
              <w:bidi w:val="0"/>
              <w:spacing w:before="0" w:after="283"/>
              <w:jc w:val="left"/>
              <w:rPr/>
            </w:pPr>
            <w:r>
              <w:rPr/>
              <w:t> </w:t>
            </w:r>
          </w:p>
        </w:tc>
      </w:tr>
      <w:tr>
        <w:trPr/>
        <w:tc>
          <w:tcPr>
            <w:tcW w:w="2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benefit obligation:</w:t>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887" w:type="dxa"/>
            <w:tcBorders/>
          </w:tcPr>
          <w:p>
            <w:pPr>
              <w:pStyle w:val="TableContents"/>
              <w:bidi w:val="0"/>
              <w:spacing w:before="0" w:after="0"/>
              <w:jc w:val="left"/>
              <w:rPr>
                <w:rFonts w:ascii="Times New Roman" w:hAnsi="Times New Roman"/>
                <w:sz w:val="20"/>
              </w:rPr>
            </w:pPr>
            <w:r>
              <w:rPr>
                <w:rFonts w:ascii="Times New Roman" w:hAnsi="Times New Roman"/>
                <w:sz w:val="20"/>
              </w:rPr>
              <w:t>Benefit obligation at beginning of period</w:t>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386</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444</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10</w:t>
            </w:r>
          </w:p>
        </w:tc>
        <w:tc>
          <w:tcPr>
            <w:tcW w:w="161" w:type="dxa"/>
            <w:tcBorders/>
            <w:vAlign w:val="bottom"/>
          </w:tcPr>
          <w:p>
            <w:pPr>
              <w:pStyle w:val="TableContents"/>
              <w:bidi w:val="0"/>
              <w:spacing w:before="0" w:after="283"/>
              <w:jc w:val="left"/>
              <w:rPr/>
            </w:pPr>
            <w:r>
              <w:rPr/>
              <w:t> </w:t>
            </w:r>
          </w:p>
        </w:tc>
      </w:tr>
      <w:tr>
        <w:trPr/>
        <w:tc>
          <w:tcPr>
            <w:tcW w:w="2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right"/>
              <w:rPr/>
            </w:pPr>
            <w:r>
              <w:rPr/>
              <w:t>3</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right"/>
              <w:rPr/>
            </w:pPr>
            <w:r>
              <w:rPr/>
              <w:t>3</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887"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20</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20</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Actuarial losses (gains)</w:t>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right"/>
              <w:rPr/>
            </w:pPr>
            <w:r>
              <w:rPr/>
              <w:t>9</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right"/>
              <w:rPr/>
            </w:pPr>
            <w:r>
              <w:rPr/>
              <w:t>(23</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887" w:type="dxa"/>
            <w:tcBorders/>
          </w:tcPr>
          <w:p>
            <w:pPr>
              <w:pStyle w:val="TableContents"/>
              <w:bidi w:val="0"/>
              <w:spacing w:before="0" w:after="0"/>
              <w:jc w:val="left"/>
              <w:rPr>
                <w:rFonts w:ascii="Times New Roman" w:hAnsi="Times New Roman"/>
                <w:sz w:val="20"/>
              </w:rPr>
            </w:pPr>
            <w:r>
              <w:rPr>
                <w:rFonts w:ascii="Times New Roman" w:hAnsi="Times New Roman"/>
                <w:sz w:val="20"/>
              </w:rPr>
              <w:t>Benefits paid</w:t>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(35</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(35</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Plan Settlements</w:t>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right"/>
              <w:rPr/>
            </w:pPr>
            <w:r>
              <w:rPr/>
              <w:t>(23</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88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7" w:type="dxa"/>
            <w:tcBorders/>
          </w:tcPr>
          <w:p>
            <w:pPr>
              <w:pStyle w:val="TableContents"/>
              <w:bidi w:val="0"/>
              <w:spacing w:before="0" w:after="0"/>
              <w:jc w:val="left"/>
              <w:rPr>
                <w:rFonts w:ascii="Times New Roman" w:hAnsi="Times New Roman"/>
                <w:sz w:val="20"/>
              </w:rPr>
            </w:pPr>
            <w:r>
              <w:rPr>
                <w:rFonts w:ascii="Times New Roman" w:hAnsi="Times New Roman"/>
                <w:sz w:val="20"/>
              </w:rPr>
              <w:t>Benefit obligation at end of period</w:t>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383</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386</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10</w:t>
            </w:r>
          </w:p>
        </w:tc>
        <w:tc>
          <w:tcPr>
            <w:tcW w:w="161" w:type="dxa"/>
            <w:tcBorders/>
            <w:vAlign w:val="bottom"/>
          </w:tcPr>
          <w:p>
            <w:pPr>
              <w:pStyle w:val="TableContents"/>
              <w:bidi w:val="0"/>
              <w:spacing w:before="0" w:after="283"/>
              <w:jc w:val="left"/>
              <w:rPr/>
            </w:pPr>
            <w:r>
              <w:rPr/>
              <w:t> </w:t>
            </w:r>
          </w:p>
        </w:tc>
      </w:tr>
      <w:tr>
        <w:trPr/>
        <w:tc>
          <w:tcPr>
            <w:tcW w:w="288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plan assets at end of year</w:t>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336</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319</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88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7"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recognized in the Consolidated Balance Sheet:</w:t>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2887"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other postretirement benefits</w:t>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(46</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(67</w:t>
            </w:r>
          </w:p>
        </w:tc>
        <w:tc>
          <w:tcPr>
            <w:tcW w:w="16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w:t>
            </w:r>
          </w:p>
        </w:tc>
        <w:tc>
          <w:tcPr>
            <w:tcW w:w="161" w:type="dxa"/>
            <w:tcBorders/>
            <w:vAlign w:val="bottom"/>
          </w:tcPr>
          <w:p>
            <w:pPr>
              <w:pStyle w:val="TableContents"/>
              <w:bidi w:val="0"/>
              <w:spacing w:before="0" w:after="283"/>
              <w:jc w:val="left"/>
              <w:rPr/>
            </w:pPr>
            <w:r>
              <w:rPr/>
              <w:t>) </w:t>
            </w:r>
          </w:p>
        </w:tc>
      </w:tr>
      <w:tr>
        <w:trPr/>
        <w:tc>
          <w:tcPr>
            <w:tcW w:w="288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7" w:type="dxa"/>
            <w:tcBorders/>
            <w:shd w:fill="CCEEFF" w:val="clear"/>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(47</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(68</w:t>
            </w:r>
          </w:p>
        </w:tc>
        <w:tc>
          <w:tcPr>
            <w:tcW w:w="16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(10</w:t>
            </w:r>
          </w:p>
        </w:tc>
        <w:tc>
          <w:tcPr>
            <w:tcW w:w="161" w:type="dxa"/>
            <w:tcBorders/>
            <w:shd w:fill="CCEEFF" w:val="clear"/>
            <w:vAlign w:val="bottom"/>
          </w:tcPr>
          <w:p>
            <w:pPr>
              <w:pStyle w:val="TableContents"/>
              <w:bidi w:val="0"/>
              <w:spacing w:before="0" w:after="283"/>
              <w:jc w:val="left"/>
              <w:rPr/>
            </w:pPr>
            <w:r>
              <w:rPr/>
              <w:t>) </w:t>
            </w:r>
          </w:p>
        </w:tc>
      </w:tr>
      <w:tr>
        <w:trPr/>
        <w:tc>
          <w:tcPr>
            <w:tcW w:w="288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4"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our pension plan benefit obligations in 2025 was primarily driven by benefit payments, partially offset by actuarial losses and interest costs. The decrease in our pension benefit obligation in 2024 was primarily driven by actuarial gains, benefit payments, and plan settlements, partially offset by interest costs.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the net pension and other postretirement benefits recognized in Accumulated other comprehensive income: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96"/>
        <w:gridCol w:w="386"/>
        <w:gridCol w:w="285"/>
        <w:gridCol w:w="530"/>
        <w:gridCol w:w="77"/>
        <w:gridCol w:w="419"/>
        <w:gridCol w:w="408"/>
        <w:gridCol w:w="1114"/>
        <w:gridCol w:w="60"/>
        <w:gridCol w:w="386"/>
        <w:gridCol w:w="285"/>
        <w:gridCol w:w="529"/>
        <w:gridCol w:w="86"/>
        <w:gridCol w:w="437"/>
        <w:gridCol w:w="530"/>
        <w:gridCol w:w="996"/>
        <w:gridCol w:w="64"/>
      </w:tblGrid>
      <w:tr>
        <w:trPr/>
        <w:tc>
          <w:tcPr>
            <w:tcW w:w="2796"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796"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8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8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796"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r>
          </w:p>
        </w:tc>
        <w:tc>
          <w:tcPr>
            <w:tcW w:w="7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522"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r>
          </w:p>
        </w:tc>
        <w:tc>
          <w:tcPr>
            <w:tcW w:w="86"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p>
        </w:tc>
        <w:tc>
          <w:tcPr>
            <w:tcW w:w="64" w:type="dxa"/>
            <w:tcBorders/>
            <w:vAlign w:val="bottom"/>
          </w:tcPr>
          <w:p>
            <w:pPr>
              <w:pStyle w:val="TableContents"/>
              <w:bidi w:val="0"/>
              <w:spacing w:before="0" w:after="283"/>
              <w:jc w:val="left"/>
              <w:rPr/>
            </w:pPr>
            <w:r>
              <w:rPr/>
              <w:t> </w:t>
            </w:r>
          </w:p>
        </w:tc>
      </w:tr>
      <w:tr>
        <w:trPr/>
        <w:tc>
          <w:tcPr>
            <w:tcW w:w="2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gain</w:t>
            </w:r>
          </w:p>
        </w:tc>
        <w:tc>
          <w:tcPr>
            <w:tcW w:w="38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30" w:type="dxa"/>
            <w:tcBorders/>
            <w:shd w:fill="CCEEFF" w:val="clear"/>
            <w:vAlign w:val="bottom"/>
          </w:tcPr>
          <w:p>
            <w:pPr>
              <w:pStyle w:val="TableContents"/>
              <w:bidi w:val="0"/>
              <w:spacing w:before="0" w:after="283"/>
              <w:jc w:val="right"/>
              <w:rPr/>
            </w:pPr>
            <w:r>
              <w:rPr/>
              <w:t>13</w:t>
            </w:r>
          </w:p>
        </w:tc>
        <w:tc>
          <w:tcPr>
            <w:tcW w:w="7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29" w:type="dxa"/>
            <w:tcBorders/>
            <w:shd w:fill="CCEEFF" w:val="clear"/>
            <w:vAlign w:val="bottom"/>
          </w:tcPr>
          <w:p>
            <w:pPr>
              <w:pStyle w:val="TableContents"/>
              <w:bidi w:val="0"/>
              <w:spacing w:before="0" w:after="283"/>
              <w:jc w:val="right"/>
              <w:rPr/>
            </w:pPr>
            <w:r>
              <w:rPr/>
              <w:t>14</w:t>
            </w:r>
          </w:p>
        </w:tc>
        <w:tc>
          <w:tcPr>
            <w:tcW w:w="86"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weighted average assumptions used to determine the benefit obligations for the Company’s pension and other postretirement plans: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73"/>
        <w:gridCol w:w="325"/>
        <w:gridCol w:w="128"/>
        <w:gridCol w:w="687"/>
        <w:gridCol w:w="355"/>
        <w:gridCol w:w="257"/>
        <w:gridCol w:w="237"/>
        <w:gridCol w:w="1285"/>
        <w:gridCol w:w="275"/>
        <w:gridCol w:w="240"/>
        <w:gridCol w:w="127"/>
        <w:gridCol w:w="687"/>
        <w:gridCol w:w="355"/>
        <w:gridCol w:w="257"/>
        <w:gridCol w:w="237"/>
        <w:gridCol w:w="1285"/>
        <w:gridCol w:w="278"/>
      </w:tblGrid>
      <w:tr>
        <w:trPr/>
        <w:tc>
          <w:tcPr>
            <w:tcW w:w="2373"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7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29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8" w:type="dxa"/>
            <w:tcBorders/>
            <w:vAlign w:val="bottom"/>
          </w:tcPr>
          <w:p>
            <w:pPr>
              <w:pStyle w:val="TableContents"/>
              <w:bidi w:val="0"/>
              <w:spacing w:before="0" w:after="283"/>
              <w:jc w:val="left"/>
              <w:rPr/>
            </w:pPr>
            <w:r>
              <w:rPr/>
              <w:t> </w:t>
            </w:r>
          </w:p>
        </w:tc>
      </w:tr>
      <w:tr>
        <w:trPr/>
        <w:tc>
          <w:tcPr>
            <w:tcW w:w="237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r>
          </w:p>
        </w:tc>
        <w:tc>
          <w:tcPr>
            <w:tcW w:w="3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r>
          </w:p>
        </w:tc>
        <w:tc>
          <w:tcPr>
            <w:tcW w:w="27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r>
          </w:p>
        </w:tc>
        <w:tc>
          <w:tcPr>
            <w:tcW w:w="3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r>
          </w:p>
        </w:tc>
        <w:tc>
          <w:tcPr>
            <w:tcW w:w="278" w:type="dxa"/>
            <w:tcBorders/>
            <w:vAlign w:val="bottom"/>
          </w:tcPr>
          <w:p>
            <w:pPr>
              <w:pStyle w:val="TableContents"/>
              <w:bidi w:val="0"/>
              <w:spacing w:before="0" w:after="283"/>
              <w:jc w:val="left"/>
              <w:rPr/>
            </w:pPr>
            <w:r>
              <w:rPr/>
              <w:t> </w:t>
            </w:r>
          </w:p>
        </w:tc>
      </w:tr>
      <w:tr>
        <w:trPr/>
        <w:tc>
          <w:tcPr>
            <w:tcW w:w="2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2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5.2</w:t>
            </w:r>
          </w:p>
        </w:tc>
        <w:tc>
          <w:tcPr>
            <w:tcW w:w="3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5.4</w:t>
            </w:r>
          </w:p>
        </w:tc>
        <w:tc>
          <w:tcPr>
            <w:tcW w:w="3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5.4</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net period benefit costs for its other postretirement benefit plan were insignificant in the years ended December 31, 2025 and 2024. The following table summarizes the components of net periodic benefit cost for the Company’s pension plans: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05"/>
        <w:gridCol w:w="471"/>
        <w:gridCol w:w="526"/>
        <w:gridCol w:w="1433"/>
        <w:gridCol w:w="155"/>
        <w:gridCol w:w="447"/>
        <w:gridCol w:w="526"/>
        <w:gridCol w:w="1433"/>
        <w:gridCol w:w="159"/>
      </w:tblGrid>
      <w:tr>
        <w:trPr/>
        <w:tc>
          <w:tcPr>
            <w:tcW w:w="2605"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9"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471"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471"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20</w:t>
            </w:r>
          </w:p>
        </w:tc>
        <w:tc>
          <w:tcPr>
            <w:tcW w:w="159"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return on plan assets</w:t>
            </w:r>
          </w:p>
        </w:tc>
        <w:tc>
          <w:tcPr>
            <w:tcW w:w="471"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net loss (gain)</w:t>
            </w:r>
          </w:p>
        </w:tc>
        <w:tc>
          <w:tcPr>
            <w:tcW w:w="471"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gain</w:t>
            </w:r>
          </w:p>
        </w:tc>
        <w:tc>
          <w:tcPr>
            <w:tcW w:w="471"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Expenses paid</w:t>
            </w:r>
          </w:p>
        </w:tc>
        <w:tc>
          <w:tcPr>
            <w:tcW w:w="471"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periodic benefit</w:t>
            </w:r>
          </w:p>
        </w:tc>
        <w:tc>
          <w:tcPr>
            <w:tcW w:w="471"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weighted average assumptions used to determine the net periodic benefit cost for the Company’s pension and other postretirement benefit plans: </w:t>
      </w:r>
    </w:p>
    <w:p>
      <w:pPr>
        <w:pStyle w:val="TextBody"/>
        <w:bidi w:val="0"/>
        <w:spacing w:before="0" w:after="0"/>
        <w:jc w:val="left"/>
        <w:rPr/>
      </w:pPr>
      <w:r>
        <w:rPr/>
        <w:t> </w:t>
      </w:r>
    </w:p>
    <w:tbl>
      <w:tblPr>
        <w:tblW w:w="10035" w:type="dxa"/>
        <w:jc w:val="center"/>
        <w:tblInd w:w="0" w:type="dxa"/>
        <w:tblLayout w:type="fixed"/>
        <w:tblCellMar>
          <w:top w:w="0" w:type="dxa"/>
          <w:left w:w="0" w:type="dxa"/>
          <w:bottom w:w="0" w:type="dxa"/>
          <w:right w:w="0" w:type="dxa"/>
        </w:tblCellMar>
      </w:tblPr>
      <w:tblGrid>
        <w:gridCol w:w="815"/>
        <w:gridCol w:w="120"/>
        <w:gridCol w:w="306"/>
        <w:gridCol w:w="1649"/>
        <w:gridCol w:w="275"/>
        <w:gridCol w:w="60"/>
        <w:gridCol w:w="234"/>
        <w:gridCol w:w="1721"/>
        <w:gridCol w:w="275"/>
        <w:gridCol w:w="60"/>
        <w:gridCol w:w="306"/>
        <w:gridCol w:w="1649"/>
        <w:gridCol w:w="275"/>
        <w:gridCol w:w="60"/>
        <w:gridCol w:w="234"/>
        <w:gridCol w:w="1721"/>
        <w:gridCol w:w="275"/>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r>
          </w:p>
        </w:tc>
        <w:tc>
          <w:tcPr>
            <w:tcW w:w="275" w:type="dxa"/>
            <w:tcBorders/>
            <w:vAlign w:val="bottom"/>
          </w:tcPr>
          <w:p>
            <w:pPr>
              <w:pStyle w:val="TableContents"/>
              <w:bidi w:val="0"/>
              <w:spacing w:before="0" w:after="283"/>
              <w:jc w:val="left"/>
              <w:rPr/>
            </w:pPr>
            <w:r>
              <w:rPr/>
              <w:t> </w:t>
            </w:r>
          </w:p>
        </w:tc>
      </w:tr>
      <w:tr>
        <w:trPr/>
        <w:tc>
          <w:tcPr>
            <w:tcW w:w="8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center"/>
              <w:rPr>
                <w:b/>
              </w:rPr>
            </w:pPr>
            <w:r>
              <w:rPr>
                <w:b/>
              </w:rPr>
              <w:t>January 1,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center"/>
              <w:rPr>
                <w:b/>
              </w:rPr>
            </w:pPr>
            <w:r>
              <w:rPr>
                <w:b/>
              </w:rPr>
              <w:t>January 1,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center"/>
              <w:rPr>
                <w:b/>
              </w:rPr>
            </w:pPr>
            <w:r>
              <w:rPr>
                <w:b/>
              </w:rPr>
              <w:t>January 1, 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center"/>
              <w:rPr>
                <w:b/>
              </w:rPr>
            </w:pPr>
            <w:r>
              <w:rPr>
                <w:b/>
              </w:rPr>
              <w:t>January 1, 2024</w:t>
            </w:r>
          </w:p>
        </w:tc>
        <w:tc>
          <w:tcPr>
            <w:tcW w:w="275" w:type="dxa"/>
            <w:tcBorders/>
            <w:vAlign w:val="bottom"/>
          </w:tcPr>
          <w:p>
            <w:pPr>
              <w:pStyle w:val="TableContents"/>
              <w:bidi w:val="0"/>
              <w:spacing w:before="0" w:after="283"/>
              <w:jc w:val="left"/>
              <w:rPr/>
            </w:pPr>
            <w:r>
              <w:rPr/>
              <w:t> </w:t>
            </w:r>
          </w:p>
        </w:tc>
      </w:tr>
      <w:tr>
        <w:trPr/>
        <w:tc>
          <w:tcPr>
            <w:tcW w:w="8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Through</w:t>
              <w:br/>
              <w:t>December 31,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Through</w:t>
              <w:br/>
              <w:t>December 31,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Through</w:t>
              <w:br/>
              <w:t>December 31, 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Through</w:t>
              <w:br/>
              <w:t>December 31, 2024</w:t>
            </w:r>
          </w:p>
        </w:tc>
        <w:tc>
          <w:tcPr>
            <w:tcW w:w="275"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12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49"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49"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Expected long-term return on plan assets</w:t>
            </w:r>
          </w:p>
        </w:tc>
        <w:tc>
          <w:tcPr>
            <w:tcW w:w="12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649" w:type="dxa"/>
            <w:tcBorders/>
            <w:vAlign w:val="bottom"/>
          </w:tcPr>
          <w:p>
            <w:pPr>
              <w:pStyle w:val="TableContents"/>
              <w:bidi w:val="0"/>
              <w:spacing w:before="0" w:after="283"/>
              <w:jc w:val="right"/>
              <w:rPr/>
            </w:pPr>
            <w:r>
              <w:rPr/>
              <w:t>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N/A</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649" w:type="dxa"/>
            <w:tcBorders/>
            <w:vAlign w:val="bottom"/>
          </w:tcPr>
          <w:p>
            <w:pPr>
              <w:pStyle w:val="TableContents"/>
              <w:bidi w:val="0"/>
              <w:spacing w:before="0" w:after="283"/>
              <w:jc w:val="right"/>
              <w:rPr/>
            </w:pPr>
            <w:r>
              <w:rPr/>
              <w:t>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N/A</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expected long-term return on plan assets assumption represents the average rate that the Company expects to earn over the long-term on the assets of the Company’s benefit plans, including those from dividends, interest income and capital appreciation. The Company utilizes a third-party consultant to assist in the development of the expected long-term return on plan assets, which is based on expectations regarding future long-term rates of return for the plans’ investment portfolio, with consideration given to the allocation of investments by asset class and historical rates of return for each individual asset class. </w:t>
      </w:r>
    </w:p>
    <w:p>
      <w:pPr>
        <w:pStyle w:val="TextBody"/>
        <w:bidi w:val="0"/>
        <w:spacing w:before="240" w:after="0"/>
        <w:jc w:val="left"/>
        <w:rPr>
          <w:rFonts w:ascii="Times New Roman" w:hAnsi="Times New Roman"/>
          <w:sz w:val="20"/>
        </w:rPr>
      </w:pPr>
      <w:r>
        <w:rPr>
          <w:rFonts w:ascii="Times New Roman" w:hAnsi="Times New Roman"/>
          <w:i/>
          <w:sz w:val="20"/>
        </w:rPr>
        <w:t>Plan Assets.</w:t>
      </w:r>
      <w:r>
        <w:rPr>
          <w:rFonts w:ascii="Times New Roman" w:hAnsi="Times New Roman"/>
          <w:sz w:val="20"/>
        </w:rPr>
        <w:t xml:space="preserve"> The Company’s Pension Committee (the “Committee”) has the responsibility to formulate the investment policies and strategies for the plan assets. The Committee structures the investment of plan assets to maximize the plans long-term rate of return for an acceptable level of risk and limit the volatility of investment returns. In the pursuit of these goals, the Committee has formulated the following investment policies and objectives: (1) preserve the plan assets; (2) maintain sufficient liquidity to fund benefit payments and pay plan expenses; and (3) achieve a minimum total rate of return equal to the established benchmarks for each asset category. </w:t>
      </w:r>
    </w:p>
    <w:p>
      <w:pPr>
        <w:pStyle w:val="TextBody"/>
        <w:bidi w:val="0"/>
        <w:spacing w:before="240" w:after="0"/>
        <w:jc w:val="left"/>
        <w:rPr>
          <w:rFonts w:ascii="Times New Roman" w:hAnsi="Times New Roman"/>
          <w:sz w:val="20"/>
        </w:rPr>
      </w:pPr>
      <w:r>
        <w:rPr>
          <w:rFonts w:ascii="Times New Roman" w:hAnsi="Times New Roman"/>
          <w:sz w:val="20"/>
        </w:rPr>
        <w:t xml:space="preserve">The Committee has established a target allocation that the plan assets may be invested in for each major asset category and has established guidelines regarding diversification within asset categories to limit risk and exposure to a single or limited number of securities. The investment manager is required to rebalance the portfolio within two percentage points for any individual asset or combination of assets defined within policy targets. Asset allocation targets are re-balanced quarterly and re-assessed annually for the upcoming year. The investments of the plan include a diversified portfolio of both equity and fixed income investments. Equity investments are further diversified across U.S. and international stocks, small to large capitalization stocks and growth and value stocks. Fixed income assets are diversified across U.S. and international issuers, corporate and governmental issuers and credit quality.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a summary of target asset allocations for each major category of the plan assets as well as the actual asset allocations as of December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0"/>
        <w:gridCol w:w="351"/>
        <w:gridCol w:w="96"/>
        <w:gridCol w:w="617"/>
        <w:gridCol w:w="275"/>
        <w:gridCol w:w="248"/>
        <w:gridCol w:w="94"/>
        <w:gridCol w:w="605"/>
        <w:gridCol w:w="279"/>
      </w:tblGrid>
      <w:tr>
        <w:trPr/>
        <w:tc>
          <w:tcPr>
            <w:tcW w:w="519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9" w:type="dxa"/>
            <w:tcBorders/>
            <w:vAlign w:val="bottom"/>
          </w:tcPr>
          <w:p>
            <w:pPr>
              <w:pStyle w:val="TableContents"/>
              <w:bidi w:val="0"/>
              <w:spacing w:before="0" w:after="283"/>
              <w:jc w:val="left"/>
              <w:rPr/>
            </w:pPr>
            <w:r>
              <w:rPr/>
              <w:t> </w:t>
            </w:r>
          </w:p>
        </w:tc>
      </w:tr>
      <w:tr>
        <w:trPr/>
        <w:tc>
          <w:tcPr>
            <w:tcW w:w="51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Allocation</w:t>
            </w:r>
          </w:p>
        </w:tc>
        <w:tc>
          <w:tcPr>
            <w:tcW w:w="351"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27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79" w:type="dxa"/>
            <w:tcBorders/>
            <w:vAlign w:val="bottom"/>
          </w:tcPr>
          <w:p>
            <w:pPr>
              <w:pStyle w:val="TableContents"/>
              <w:bidi w:val="0"/>
              <w:spacing w:before="0" w:after="283"/>
              <w:jc w:val="left"/>
              <w:rPr/>
            </w:pPr>
            <w:r>
              <w:rPr/>
              <w:t> </w:t>
            </w:r>
          </w:p>
        </w:tc>
      </w:tr>
      <w:tr>
        <w:trPr/>
        <w:tc>
          <w:tcPr>
            <w:tcW w:w="5190" w:type="dxa"/>
            <w:tcBorders/>
            <w:shd w:fill="CCEEFF" w:val="clear"/>
            <w:vAlign w:val="bottom"/>
          </w:tcPr>
          <w:p>
            <w:pPr>
              <w:pStyle w:val="TableContents"/>
              <w:bidi w:val="0"/>
              <w:spacing w:before="0" w:after="283"/>
              <w:jc w:val="left"/>
              <w:rPr/>
            </w:pPr>
            <w:r>
              <w:rPr/>
              <w:t>Cash and cash equivalents</w:t>
            </w:r>
          </w:p>
        </w:tc>
        <w:tc>
          <w:tcPr>
            <w:tcW w:w="3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1</w:t>
            </w:r>
          </w:p>
        </w:tc>
        <w:tc>
          <w:tcPr>
            <w:tcW w:w="279" w:type="dxa"/>
            <w:tcBorders/>
            <w:shd w:fill="CCEEFF" w:val="clear"/>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pPr>
            <w:r>
              <w:rPr/>
              <w:t>U.S. and global equity securities</w:t>
            </w:r>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43</w:t>
            </w:r>
          </w:p>
        </w:tc>
        <w:tc>
          <w:tcPr>
            <w:tcW w:w="279" w:type="dxa"/>
            <w:tcBorders/>
            <w:vAlign w:val="bottom"/>
          </w:tcPr>
          <w:p>
            <w:pPr>
              <w:pStyle w:val="TableContents"/>
              <w:bidi w:val="0"/>
              <w:spacing w:before="0" w:after="283"/>
              <w:jc w:val="left"/>
              <w:rPr/>
            </w:pPr>
            <w:r>
              <w:rPr/>
              <w:t>% </w:t>
            </w:r>
          </w:p>
        </w:tc>
      </w:tr>
      <w:tr>
        <w:trPr/>
        <w:tc>
          <w:tcPr>
            <w:tcW w:w="5190" w:type="dxa"/>
            <w:tcBorders/>
            <w:shd w:fill="CCEEFF" w:val="clear"/>
            <w:vAlign w:val="bottom"/>
          </w:tcPr>
          <w:p>
            <w:pPr>
              <w:pStyle w:val="TableContents"/>
              <w:bidi w:val="0"/>
              <w:spacing w:before="0" w:after="283"/>
              <w:jc w:val="left"/>
              <w:rPr/>
            </w:pPr>
            <w:r>
              <w:rPr/>
              <w:t>Fixed income</w:t>
            </w:r>
          </w:p>
        </w:tc>
        <w:tc>
          <w:tcPr>
            <w:tcW w:w="3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45</w:t>
            </w:r>
          </w:p>
        </w:tc>
        <w:tc>
          <w:tcPr>
            <w:tcW w:w="27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43</w:t>
            </w:r>
          </w:p>
        </w:tc>
        <w:tc>
          <w:tcPr>
            <w:tcW w:w="279" w:type="dxa"/>
            <w:tcBorders/>
            <w:shd w:fill="CCEEFF" w:val="clear"/>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pPr>
            <w:r>
              <w:rPr/>
              <w:t>Other</w:t>
            </w:r>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13</w:t>
            </w:r>
          </w:p>
        </w:tc>
        <w:tc>
          <w:tcPr>
            <w:tcW w:w="279" w:type="dxa"/>
            <w:tcBorders/>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and cash equivalents consist of cash and short-term investments. U.S. and global equity securities, fixed income and other investment assets are primarily commingled fund investments. The pension plans’ commingled fund investments are managed by several fund managers and are valued at the net asset value per share for each fund. Although the majority of the underlying assets in the funds consist of actively traded equity securities and bonds, the unit of account is considered to be at the fund level. These funds are traded daily and settled the following day at the net asset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regularly monitors the investment of plan assets to ensure that the actual asset allocation remains in proximity to the target. The Committee also regularly measures and monitors investment risk through ongoing performance reporting and investment manager reviews.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fair value of the Company’s pension plan assets by asset category segregated by level within the fair value hierarchy, as described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016"/>
        <w:gridCol w:w="319"/>
        <w:gridCol w:w="203"/>
        <w:gridCol w:w="556"/>
        <w:gridCol w:w="60"/>
        <w:gridCol w:w="319"/>
        <w:gridCol w:w="203"/>
        <w:gridCol w:w="556"/>
        <w:gridCol w:w="60"/>
        <w:gridCol w:w="319"/>
        <w:gridCol w:w="203"/>
        <w:gridCol w:w="556"/>
        <w:gridCol w:w="60"/>
        <w:gridCol w:w="318"/>
        <w:gridCol w:w="150"/>
        <w:gridCol w:w="426"/>
        <w:gridCol w:w="64"/>
      </w:tblGrid>
      <w:tr>
        <w:trPr/>
        <w:tc>
          <w:tcPr>
            <w:tcW w:w="5016"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1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398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50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Category</w:t>
            </w:r>
          </w:p>
        </w:tc>
        <w:tc>
          <w:tcPr>
            <w:tcW w:w="319"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5016" w:type="dxa"/>
            <w:tcBorders/>
            <w:shd w:fill="CCEEFF" w:val="clear"/>
            <w:vAlign w:val="bottom"/>
          </w:tcPr>
          <w:p>
            <w:pPr>
              <w:pStyle w:val="TableContents"/>
              <w:bidi w:val="0"/>
              <w:spacing w:before="0" w:after="283"/>
              <w:jc w:val="left"/>
              <w:rPr/>
            </w:pPr>
            <w:r>
              <w:rPr/>
              <w:t>Cash and cash equivalents</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3</w:t>
            </w:r>
          </w:p>
        </w:tc>
        <w:tc>
          <w:tcPr>
            <w:tcW w:w="64" w:type="dxa"/>
            <w:tcBorders/>
            <w:shd w:fill="CCEEFF" w:val="clear"/>
            <w:vAlign w:val="bottom"/>
          </w:tcPr>
          <w:p>
            <w:pPr>
              <w:pStyle w:val="TableContents"/>
              <w:bidi w:val="0"/>
              <w:spacing w:before="0" w:after="283"/>
              <w:jc w:val="left"/>
              <w:rPr/>
            </w:pPr>
            <w:r>
              <w:rPr/>
              <w:t> </w:t>
            </w:r>
          </w:p>
        </w:tc>
      </w:tr>
      <w:tr>
        <w:trPr/>
        <w:tc>
          <w:tcPr>
            <w:tcW w:w="5016" w:type="dxa"/>
            <w:tcBorders/>
            <w:vAlign w:val="bottom"/>
          </w:tcPr>
          <w:p>
            <w:pPr>
              <w:pStyle w:val="TableContents"/>
              <w:bidi w:val="0"/>
              <w:spacing w:before="0" w:after="283"/>
              <w:jc w:val="left"/>
              <w:rPr/>
            </w:pPr>
            <w:r>
              <w:rPr/>
              <w:t>Commingled funds1</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333</w:t>
            </w:r>
          </w:p>
        </w:tc>
        <w:tc>
          <w:tcPr>
            <w:tcW w:w="64" w:type="dxa"/>
            <w:tcBorders/>
            <w:vAlign w:val="bottom"/>
          </w:tcPr>
          <w:p>
            <w:pPr>
              <w:pStyle w:val="TableContents"/>
              <w:bidi w:val="0"/>
              <w:spacing w:before="0" w:after="283"/>
              <w:jc w:val="left"/>
              <w:rPr/>
            </w:pPr>
            <w:r>
              <w:rPr/>
              <w:t> </w:t>
            </w:r>
          </w:p>
        </w:tc>
      </w:tr>
      <w:tr>
        <w:trPr/>
        <w:tc>
          <w:tcPr>
            <w:tcW w:w="5016"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16" w:type="dxa"/>
            <w:tcBorders/>
            <w:shd w:fill="CCEEFF" w:val="clear"/>
            <w:vAlign w:val="bottom"/>
          </w:tcPr>
          <w:p>
            <w:pPr>
              <w:pStyle w:val="TableContents"/>
              <w:bidi w:val="0"/>
              <w:spacing w:before="0" w:after="283"/>
              <w:jc w:val="left"/>
              <w:rPr>
                <w:sz w:val="20"/>
              </w:rPr>
            </w:pPr>
            <w:r>
              <w:rPr>
                <w:sz w:val="20"/>
              </w:rPr>
              <w:t>Total assets at fair value</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20"/>
              </w:rPr>
            </w:pPr>
            <w:r>
              <w:rPr>
                <w:sz w:val="20"/>
              </w:rPr>
              <w:t>$</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20"/>
              </w:rPr>
            </w:pPr>
            <w:r>
              <w:rPr>
                <w:sz w:val="20"/>
              </w:rPr>
              <w:t>$</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20"/>
              </w:rPr>
            </w:pPr>
            <w:r>
              <w:rPr>
                <w:sz w:val="20"/>
              </w:rPr>
              <w:t>$</w:t>
            </w:r>
          </w:p>
        </w:tc>
        <w:tc>
          <w:tcPr>
            <w:tcW w:w="426" w:type="dxa"/>
            <w:tcBorders/>
            <w:shd w:fill="CCEEFF" w:val="clear"/>
            <w:vAlign w:val="bottom"/>
          </w:tcPr>
          <w:p>
            <w:pPr>
              <w:pStyle w:val="TableContents"/>
              <w:bidi w:val="0"/>
              <w:spacing w:before="0" w:after="283"/>
              <w:jc w:val="right"/>
              <w:rPr>
                <w:sz w:val="20"/>
              </w:rPr>
            </w:pPr>
            <w:r>
              <w:rPr>
                <w:sz w:val="20"/>
              </w:rPr>
              <w:t>336</w:t>
            </w:r>
          </w:p>
        </w:tc>
        <w:tc>
          <w:tcPr>
            <w:tcW w:w="64" w:type="dxa"/>
            <w:tcBorders/>
            <w:shd w:fill="CCEEFF" w:val="clear"/>
            <w:vAlign w:val="bottom"/>
          </w:tcPr>
          <w:p>
            <w:pPr>
              <w:pStyle w:val="TableContents"/>
              <w:bidi w:val="0"/>
              <w:spacing w:before="0" w:after="283"/>
              <w:jc w:val="left"/>
              <w:rPr/>
            </w:pPr>
            <w:r>
              <w:rPr/>
              <w:t> </w:t>
            </w:r>
          </w:p>
        </w:tc>
      </w:tr>
      <w:tr>
        <w:trPr/>
        <w:tc>
          <w:tcPr>
            <w:tcW w:w="5016"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240" w:hRule="atLeast"/>
        </w:trPr>
        <w:tc>
          <w:tcPr>
            <w:tcW w:w="5016" w:type="dxa"/>
            <w:tcBorders/>
            <w:vAlign w:val="center"/>
          </w:tcPr>
          <w:p>
            <w:pPr>
              <w:pStyle w:val="TableContents"/>
              <w:bidi w:val="0"/>
              <w:spacing w:before="0" w:after="283"/>
              <w:jc w:val="left"/>
              <w:rPr>
                <w:sz w:val="4"/>
                <w:szCs w:val="4"/>
              </w:rPr>
            </w:pPr>
            <w:r>
              <w:rPr>
                <w:sz w:val="4"/>
                <w:szCs w:val="4"/>
              </w:rPr>
            </w:r>
          </w:p>
        </w:tc>
        <w:tc>
          <w:tcPr>
            <w:tcW w:w="4372" w:type="dxa"/>
            <w:gridSpan w:val="16"/>
            <w:tcBorders/>
            <w:vAlign w:val="center"/>
          </w:tcPr>
          <w:p>
            <w:pPr>
              <w:pStyle w:val="TableContents"/>
              <w:bidi w:val="0"/>
              <w:spacing w:before="0" w:after="283"/>
              <w:jc w:val="left"/>
              <w:rPr>
                <w:sz w:val="4"/>
                <w:szCs w:val="4"/>
              </w:rPr>
            </w:pPr>
            <w:r>
              <w:rPr>
                <w:sz w:val="4"/>
                <w:szCs w:val="4"/>
              </w:rPr>
            </w:r>
          </w:p>
        </w:tc>
      </w:tr>
      <w:tr>
        <w:trPr/>
        <w:tc>
          <w:tcPr>
            <w:tcW w:w="501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398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50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Category</w:t>
            </w:r>
          </w:p>
        </w:tc>
        <w:tc>
          <w:tcPr>
            <w:tcW w:w="319"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5016" w:type="dxa"/>
            <w:tcBorders/>
            <w:shd w:fill="CCEEFF" w:val="clear"/>
            <w:vAlign w:val="bottom"/>
          </w:tcPr>
          <w:p>
            <w:pPr>
              <w:pStyle w:val="TableContents"/>
              <w:bidi w:val="0"/>
              <w:spacing w:before="0" w:after="283"/>
              <w:jc w:val="left"/>
              <w:rPr/>
            </w:pPr>
            <w:r>
              <w:rPr/>
              <w:t>Cash and cash equivalents</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3</w:t>
            </w:r>
          </w:p>
        </w:tc>
        <w:tc>
          <w:tcPr>
            <w:tcW w:w="64" w:type="dxa"/>
            <w:tcBorders/>
            <w:shd w:fill="CCEEFF" w:val="clear"/>
            <w:vAlign w:val="bottom"/>
          </w:tcPr>
          <w:p>
            <w:pPr>
              <w:pStyle w:val="TableContents"/>
              <w:bidi w:val="0"/>
              <w:spacing w:before="0" w:after="283"/>
              <w:jc w:val="left"/>
              <w:rPr/>
            </w:pPr>
            <w:r>
              <w:rPr/>
              <w:t> </w:t>
            </w:r>
          </w:p>
        </w:tc>
      </w:tr>
      <w:tr>
        <w:trPr/>
        <w:tc>
          <w:tcPr>
            <w:tcW w:w="5016" w:type="dxa"/>
            <w:tcBorders/>
            <w:vAlign w:val="bottom"/>
          </w:tcPr>
          <w:p>
            <w:pPr>
              <w:pStyle w:val="TableContents"/>
              <w:bidi w:val="0"/>
              <w:spacing w:before="0" w:after="283"/>
              <w:jc w:val="left"/>
              <w:rPr/>
            </w:pPr>
            <w:r>
              <w:rPr/>
              <w:t>Commingled funds1</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316</w:t>
            </w:r>
          </w:p>
        </w:tc>
        <w:tc>
          <w:tcPr>
            <w:tcW w:w="64" w:type="dxa"/>
            <w:tcBorders/>
            <w:vAlign w:val="bottom"/>
          </w:tcPr>
          <w:p>
            <w:pPr>
              <w:pStyle w:val="TableContents"/>
              <w:bidi w:val="0"/>
              <w:spacing w:before="0" w:after="283"/>
              <w:jc w:val="left"/>
              <w:rPr/>
            </w:pPr>
            <w:r>
              <w:rPr/>
              <w:t> </w:t>
            </w:r>
          </w:p>
        </w:tc>
      </w:tr>
      <w:tr>
        <w:trPr/>
        <w:tc>
          <w:tcPr>
            <w:tcW w:w="5016"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at fair value</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319</w:t>
            </w:r>
          </w:p>
        </w:tc>
        <w:tc>
          <w:tcPr>
            <w:tcW w:w="64" w:type="dxa"/>
            <w:tcBorders/>
            <w:shd w:fill="CCEEFF" w:val="clear"/>
            <w:vAlign w:val="bottom"/>
          </w:tcPr>
          <w:p>
            <w:pPr>
              <w:pStyle w:val="TableContents"/>
              <w:bidi w:val="0"/>
              <w:spacing w:before="0" w:after="283"/>
              <w:jc w:val="left"/>
              <w:rPr/>
            </w:pPr>
            <w:r>
              <w:rPr/>
              <w:t> </w:t>
            </w:r>
          </w:p>
        </w:tc>
      </w:tr>
      <w:tr>
        <w:trPr/>
        <w:tc>
          <w:tcPr>
            <w:tcW w:w="5016"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Investments that are measured at fair value using the net asset value per share (or its equivalent) as a practical expedient are not required to be classified in the fair value hierarchy table. The total fair value of these amounts are presented in this table to permit reconciliation of the fair value hierarchy to the amounts presented for total defined benefit pension plan assets. </w:t>
            </w:r>
          </w:p>
        </w:tc>
      </w:tr>
    </w:tbl>
    <w:p>
      <w:pPr>
        <w:pStyle w:val="TextBody"/>
        <w:bidi w:val="0"/>
        <w:spacing w:before="240" w:after="0"/>
        <w:jc w:val="left"/>
        <w:rPr>
          <w:rFonts w:ascii="Times New Roman" w:hAnsi="Times New Roman"/>
          <w:sz w:val="20"/>
        </w:rPr>
      </w:pPr>
      <w:r>
        <w:rPr>
          <w:rFonts w:ascii="Times New Roman" w:hAnsi="Times New Roman"/>
          <w:i/>
          <w:sz w:val="20"/>
        </w:rPr>
        <w:t>Contributions.</w:t>
      </w:r>
      <w:r>
        <w:rPr>
          <w:rFonts w:ascii="Times New Roman" w:hAnsi="Times New Roman"/>
          <w:sz w:val="20"/>
        </w:rPr>
        <w:t xml:space="preserve"> The funding policy for the Company’s pension and postretirement benefit plans is to contribute at least the minimum required by applicable laws and regulations or to directly make benefit payments where appropriate. In fiscal year 2025, all legal funding requirements had been met. </w:t>
      </w:r>
    </w:p>
    <w:p>
      <w:pPr>
        <w:pStyle w:val="TextBody"/>
        <w:bidi w:val="0"/>
        <w:spacing w:before="240" w:after="0"/>
        <w:jc w:val="left"/>
        <w:rPr>
          <w:rFonts w:ascii="Times New Roman" w:hAnsi="Times New Roman"/>
          <w:sz w:val="20"/>
        </w:rPr>
      </w:pPr>
      <w:r>
        <w:rPr>
          <w:rFonts w:ascii="Times New Roman" w:hAnsi="Times New Roman"/>
          <w:sz w:val="20"/>
        </w:rPr>
        <w:t xml:space="preserve">The American Rescue Plan Act of 2021 (“ARPA Act”) was enacted on March 11, 2021, in the United States. The ARPA Act includes provisions for pension funding relief in future periods. The Company has elected to take advantage of these provisions and anticipates lower required contributions for the qualified pension plan in the upcoming fiscal years. Due to the Company’s election, there are no required contributions for the Company’s qualified pension plan for the year ending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Estimated Future Benefit Payments.</w:t>
      </w:r>
      <w:r>
        <w:rPr>
          <w:rFonts w:ascii="Times New Roman" w:hAnsi="Times New Roman"/>
          <w:sz w:val="20"/>
        </w:rPr>
        <w:t xml:space="preserve"> The following table presents expected pension and other postretirement benefit payments which reflect expected future service, as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17"/>
        <w:gridCol w:w="192"/>
        <w:gridCol w:w="175"/>
        <w:gridCol w:w="325"/>
        <w:gridCol w:w="60"/>
        <w:gridCol w:w="192"/>
        <w:gridCol w:w="175"/>
        <w:gridCol w:w="325"/>
        <w:gridCol w:w="60"/>
        <w:gridCol w:w="192"/>
        <w:gridCol w:w="174"/>
        <w:gridCol w:w="325"/>
        <w:gridCol w:w="60"/>
        <w:gridCol w:w="192"/>
        <w:gridCol w:w="175"/>
        <w:gridCol w:w="325"/>
        <w:gridCol w:w="60"/>
        <w:gridCol w:w="192"/>
        <w:gridCol w:w="175"/>
        <w:gridCol w:w="325"/>
        <w:gridCol w:w="60"/>
        <w:gridCol w:w="192"/>
        <w:gridCol w:w="536"/>
        <w:gridCol w:w="1436"/>
        <w:gridCol w:w="65"/>
      </w:tblGrid>
      <w:tr>
        <w:trPr/>
        <w:tc>
          <w:tcPr>
            <w:tcW w:w="4217"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1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 through 2035</w:t>
            </w:r>
          </w:p>
        </w:tc>
        <w:tc>
          <w:tcPr>
            <w:tcW w:w="65" w:type="dxa"/>
            <w:tcBorders/>
            <w:vAlign w:val="bottom"/>
          </w:tcPr>
          <w:p>
            <w:pPr>
              <w:pStyle w:val="TableContents"/>
              <w:bidi w:val="0"/>
              <w:spacing w:before="0" w:after="283"/>
              <w:jc w:val="left"/>
              <w:rPr/>
            </w:pPr>
            <w:r>
              <w:rPr/>
              <w:t> </w:t>
            </w:r>
          </w:p>
        </w:tc>
      </w:tr>
      <w:tr>
        <w:trPr/>
        <w:tc>
          <w:tcPr>
            <w:tcW w:w="4217" w:type="dxa"/>
            <w:tcBorders/>
            <w:shd w:fill="CCEEFF" w:val="clear"/>
            <w:vAlign w:val="bottom"/>
          </w:tcPr>
          <w:p>
            <w:pPr>
              <w:pStyle w:val="TableContents"/>
              <w:bidi w:val="0"/>
              <w:spacing w:before="0" w:after="283"/>
              <w:jc w:val="left"/>
              <w:rPr/>
            </w:pPr>
            <w:r>
              <w:rPr/>
              <w:t>Pension</w:t>
            </w:r>
          </w:p>
        </w:tc>
        <w:tc>
          <w:tcPr>
            <w:tcW w:w="19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w:t>
            </w:r>
          </w:p>
        </w:tc>
        <w:tc>
          <w:tcPr>
            <w:tcW w:w="1436" w:type="dxa"/>
            <w:tcBorders/>
            <w:shd w:fill="CCEEFF" w:val="clear"/>
            <w:vAlign w:val="bottom"/>
          </w:tcPr>
          <w:p>
            <w:pPr>
              <w:pStyle w:val="TableContents"/>
              <w:bidi w:val="0"/>
              <w:spacing w:before="0" w:after="283"/>
              <w:jc w:val="right"/>
              <w:rPr/>
            </w:pPr>
            <w:r>
              <w:rPr/>
              <w:t>143</w:t>
            </w:r>
          </w:p>
        </w:tc>
        <w:tc>
          <w:tcPr>
            <w:tcW w:w="65" w:type="dxa"/>
            <w:tcBorders/>
            <w:shd w:fill="CCEEFF" w:val="clear"/>
            <w:vAlign w:val="bottom"/>
          </w:tcPr>
          <w:p>
            <w:pPr>
              <w:pStyle w:val="TableContents"/>
              <w:bidi w:val="0"/>
              <w:spacing w:before="0" w:after="283"/>
              <w:jc w:val="left"/>
              <w:rPr/>
            </w:pPr>
            <w:r>
              <w:rPr/>
              <w:t> </w:t>
            </w:r>
          </w:p>
        </w:tc>
      </w:tr>
      <w:tr>
        <w:trPr/>
        <w:tc>
          <w:tcPr>
            <w:tcW w:w="4217" w:type="dxa"/>
            <w:tcBorders/>
            <w:vAlign w:val="bottom"/>
          </w:tcPr>
          <w:p>
            <w:pPr>
              <w:pStyle w:val="TableContents"/>
              <w:bidi w:val="0"/>
              <w:spacing w:before="0" w:after="283"/>
              <w:jc w:val="left"/>
              <w:rPr/>
            </w:pPr>
            <w:r>
              <w:rPr/>
              <w:t>Other postretirement</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4</w:t>
            </w:r>
          </w:p>
        </w:tc>
        <w:tc>
          <w:tcPr>
            <w:tcW w:w="65" w:type="dxa"/>
            <w:tcBorders/>
            <w:vAlign w:val="bottom"/>
          </w:tcPr>
          <w:p>
            <w:pPr>
              <w:pStyle w:val="TableContents"/>
              <w:bidi w:val="0"/>
              <w:spacing w:before="0" w:after="283"/>
              <w:jc w:val="left"/>
              <w:rPr/>
            </w:pPr>
            <w:r>
              <w:rPr/>
              <w:t> </w:t>
            </w:r>
          </w:p>
        </w:tc>
      </w:tr>
      <w:tr>
        <w:trPr/>
        <w:tc>
          <w:tcPr>
            <w:tcW w:w="4217"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43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w:t>
            </w:r>
          </w:p>
        </w:tc>
        <w:tc>
          <w:tcPr>
            <w:tcW w:w="1436" w:type="dxa"/>
            <w:tcBorders/>
            <w:shd w:fill="CCEEFF" w:val="clear"/>
            <w:vAlign w:val="bottom"/>
          </w:tcPr>
          <w:p>
            <w:pPr>
              <w:pStyle w:val="TableContents"/>
              <w:bidi w:val="0"/>
              <w:spacing w:before="0" w:after="283"/>
              <w:jc w:val="right"/>
              <w:rPr/>
            </w:pPr>
            <w:r>
              <w:rPr/>
              <w:t>147</w:t>
            </w:r>
          </w:p>
        </w:tc>
        <w:tc>
          <w:tcPr>
            <w:tcW w:w="65" w:type="dxa"/>
            <w:tcBorders/>
            <w:shd w:fill="CCEEFF" w:val="clear"/>
            <w:vAlign w:val="bottom"/>
          </w:tcPr>
          <w:p>
            <w:pPr>
              <w:pStyle w:val="TableContents"/>
              <w:bidi w:val="0"/>
              <w:spacing w:before="0" w:after="283"/>
              <w:jc w:val="left"/>
              <w:rPr/>
            </w:pPr>
            <w:r>
              <w:rPr/>
              <w:t> </w:t>
            </w:r>
          </w:p>
        </w:tc>
      </w:tr>
      <w:tr>
        <w:trPr/>
        <w:tc>
          <w:tcPr>
            <w:tcW w:w="4217"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143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STOCK-BASED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Certain employees of the Company hold awards in Parent stock based on plans sponsored by the Parent. Our Parent allocates stock-based compensation expense to the Company based on certain drivers - see Note 9 Related Parties.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2024 the Company recognized $2 million of share-based compensation expense, which was recorded within Selling, general and administrative expense, product costs, excluding depreciation and amortization and service costs, excluding depreciation and amortization within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there were no awards of Parent stock outstanding. The third tranche of these awards vested on January 1, 2025. The Company did not recognize any expense related to share-based compensation for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13.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amounts disclosed within the income tax footnote represent those attributable to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income (loss) before income taxes were: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83"/>
        <w:gridCol w:w="579"/>
        <w:gridCol w:w="770"/>
        <w:gridCol w:w="1193"/>
        <w:gridCol w:w="155"/>
        <w:gridCol w:w="550"/>
        <w:gridCol w:w="684"/>
        <w:gridCol w:w="1277"/>
        <w:gridCol w:w="64"/>
      </w:tblGrid>
      <w:tr>
        <w:trPr/>
        <w:tc>
          <w:tcPr>
            <w:tcW w:w="248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48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2024</w:t>
            </w:r>
          </w:p>
        </w:tc>
        <w:tc>
          <w:tcPr>
            <w:tcW w:w="64" w:type="dxa"/>
            <w:tcBorders/>
            <w:vAlign w:val="bottom"/>
          </w:tcPr>
          <w:p>
            <w:pPr>
              <w:pStyle w:val="TableContents"/>
              <w:bidi w:val="0"/>
              <w:spacing w:before="0" w:after="283"/>
              <w:jc w:val="left"/>
              <w:rPr/>
            </w:pPr>
            <w:r>
              <w:rPr/>
              <w:t> </w:t>
            </w:r>
          </w:p>
        </w:tc>
      </w:tr>
      <w:tr>
        <w:trPr/>
        <w:tc>
          <w:tcPr>
            <w:tcW w:w="2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579"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15</w:t>
            </w:r>
          </w:p>
        </w:tc>
        <w:tc>
          <w:tcPr>
            <w:tcW w:w="64" w:type="dxa"/>
            <w:tcBorders/>
            <w:shd w:fill="CCEEFF" w:val="clear"/>
            <w:vAlign w:val="bottom"/>
          </w:tcPr>
          <w:p>
            <w:pPr>
              <w:pStyle w:val="TableContents"/>
              <w:bidi w:val="0"/>
              <w:spacing w:before="0" w:after="283"/>
              <w:jc w:val="left"/>
              <w:rPr/>
            </w:pPr>
            <w:r>
              <w:rPr/>
              <w:t> </w:t>
            </w:r>
          </w:p>
        </w:tc>
      </w:tr>
      <w:tr>
        <w:trPr/>
        <w:tc>
          <w:tcPr>
            <w:tcW w:w="248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483"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taxes</w:t>
            </w:r>
          </w:p>
        </w:tc>
        <w:tc>
          <w:tcPr>
            <w:tcW w:w="579"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248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tax expense (benefit) for the 2025 and 2024 year end periods is comprised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5"/>
        <w:gridCol w:w="716"/>
        <w:gridCol w:w="526"/>
        <w:gridCol w:w="1436"/>
        <w:gridCol w:w="60"/>
        <w:gridCol w:w="716"/>
        <w:gridCol w:w="526"/>
        <w:gridCol w:w="1436"/>
        <w:gridCol w:w="64"/>
      </w:tblGrid>
      <w:tr>
        <w:trPr/>
        <w:tc>
          <w:tcPr>
            <w:tcW w:w="4725" w:type="dxa"/>
            <w:tcBorders/>
            <w:vAlign w:val="center"/>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2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2024</w:t>
            </w:r>
          </w:p>
        </w:tc>
        <w:tc>
          <w:tcPr>
            <w:tcW w:w="64" w:type="dxa"/>
            <w:tcBorders/>
            <w:vAlign w:val="bottom"/>
          </w:tcPr>
          <w:p>
            <w:pPr>
              <w:pStyle w:val="TableContents"/>
              <w:bidi w:val="0"/>
              <w:spacing w:before="0" w:after="283"/>
              <w:jc w:val="left"/>
              <w:rPr/>
            </w:pPr>
            <w:r>
              <w:rPr/>
              <w:t> </w:t>
            </w:r>
          </w:p>
        </w:tc>
      </w:tr>
      <w:tr>
        <w:trPr/>
        <w:tc>
          <w:tcPr>
            <w:tcW w:w="4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expense (benefit)</w:t>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4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43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725"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w:t>
            </w:r>
          </w:p>
        </w:tc>
        <w:tc>
          <w:tcPr>
            <w:tcW w:w="14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w:t>
            </w:r>
          </w:p>
        </w:tc>
        <w:tc>
          <w:tcPr>
            <w:tcW w:w="143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4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25"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2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tax expense (benefit)</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4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expense (benefit)</w:t>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4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43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725"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3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25"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25"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expense (benefit)</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25"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6" w:type="dxa"/>
            <w:tcBorders/>
            <w:shd w:fill="CCEEFF" w:val="clear"/>
            <w:vAlign w:val="bottom"/>
          </w:tcPr>
          <w:p>
            <w:pPr>
              <w:pStyle w:val="TableContents"/>
              <w:bidi w:val="0"/>
              <w:spacing w:before="0" w:after="283"/>
              <w:jc w:val="right"/>
              <w:rPr/>
            </w:pPr>
            <w:r>
              <w:rPr/>
              <w:t>1</w:t>
            </w:r>
          </w:p>
        </w:tc>
        <w:tc>
          <w:tcPr>
            <w:tcW w:w="64" w:type="dxa"/>
            <w:tcBorders/>
            <w:shd w:fill="CCEEFF" w:val="clear"/>
            <w:vAlign w:val="bottom"/>
          </w:tcPr>
          <w:p>
            <w:pPr>
              <w:pStyle w:val="TableContents"/>
              <w:bidi w:val="0"/>
              <w:spacing w:before="0" w:after="283"/>
              <w:jc w:val="left"/>
              <w:rPr/>
            </w:pPr>
            <w:r>
              <w:rPr/>
              <w:t> </w:t>
            </w:r>
          </w:p>
        </w:tc>
      </w:tr>
      <w:tr>
        <w:trPr/>
        <w:tc>
          <w:tcPr>
            <w:tcW w:w="4725"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reconciliation of the tax provision at the U.S. federal statutory rate to income tax expense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56"/>
        <w:gridCol w:w="313"/>
        <w:gridCol w:w="231"/>
        <w:gridCol w:w="634"/>
        <w:gridCol w:w="167"/>
        <w:gridCol w:w="281"/>
        <w:gridCol w:w="91"/>
        <w:gridCol w:w="710"/>
        <w:gridCol w:w="275"/>
        <w:gridCol w:w="216"/>
        <w:gridCol w:w="231"/>
        <w:gridCol w:w="634"/>
        <w:gridCol w:w="177"/>
        <w:gridCol w:w="288"/>
        <w:gridCol w:w="107"/>
        <w:gridCol w:w="695"/>
        <w:gridCol w:w="282"/>
      </w:tblGrid>
      <w:tr>
        <w:trPr/>
        <w:tc>
          <w:tcPr>
            <w:tcW w:w="4056"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05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4" w:type="dxa"/>
            <w:gridSpan w:val="6"/>
            <w:tcBorders/>
            <w:vAlign w:val="bottom"/>
          </w:tcPr>
          <w:p>
            <w:pPr>
              <w:pStyle w:val="TableContents"/>
              <w:bidi w:val="0"/>
              <w:spacing w:before="0" w:after="283"/>
              <w:jc w:val="center"/>
              <w:rPr>
                <w:b/>
              </w:rPr>
            </w:pPr>
            <w:r>
              <w:rPr>
                <w:b/>
              </w:rPr>
              <w:t>Year Ended</w:t>
              <w:br/>
              <w:t>December 31, 2025</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32" w:type="dxa"/>
            <w:gridSpan w:val="6"/>
            <w:tcBorders/>
            <w:vAlign w:val="bottom"/>
          </w:tcPr>
          <w:p>
            <w:pPr>
              <w:pStyle w:val="TableContents"/>
              <w:bidi w:val="0"/>
              <w:spacing w:before="0" w:after="283"/>
              <w:jc w:val="center"/>
              <w:rPr>
                <w:b/>
              </w:rPr>
            </w:pPr>
            <w:r>
              <w:rPr>
                <w:b/>
              </w:rPr>
              <w:t>Year Ended</w:t>
              <w:br/>
              <w:t>December 31, 2024</w:t>
            </w:r>
          </w:p>
        </w:tc>
        <w:tc>
          <w:tcPr>
            <w:tcW w:w="282" w:type="dxa"/>
            <w:tcBorders/>
            <w:vAlign w:val="bottom"/>
          </w:tcPr>
          <w:p>
            <w:pPr>
              <w:pStyle w:val="TableContents"/>
              <w:bidi w:val="0"/>
              <w:spacing w:before="0" w:after="283"/>
              <w:jc w:val="left"/>
              <w:rPr/>
            </w:pPr>
            <w:r>
              <w:rPr/>
              <w:t> </w:t>
            </w:r>
          </w:p>
        </w:tc>
      </w:tr>
      <w:tr>
        <w:trPr/>
        <w:tc>
          <w:tcPr>
            <w:tcW w:w="405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65" w:type="dxa"/>
            <w:gridSpan w:val="2"/>
            <w:tcBorders/>
            <w:vAlign w:val="bottom"/>
          </w:tcPr>
          <w:p>
            <w:pPr>
              <w:pStyle w:val="TableContents"/>
              <w:bidi w:val="0"/>
              <w:spacing w:before="0" w:after="283"/>
              <w:jc w:val="center"/>
              <w:rPr>
                <w:b/>
              </w:rPr>
            </w:pPr>
            <w:r>
              <w:rPr>
                <w:b/>
              </w:rPr>
              <w:t>Amount</w:t>
            </w:r>
          </w:p>
        </w:tc>
        <w:tc>
          <w:tcPr>
            <w:tcW w:w="167"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01" w:type="dxa"/>
            <w:gridSpan w:val="2"/>
            <w:tcBorders/>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5" w:type="dxa"/>
            <w:gridSpan w:val="2"/>
            <w:tcBorders/>
            <w:vAlign w:val="bottom"/>
          </w:tcPr>
          <w:p>
            <w:pPr>
              <w:pStyle w:val="TableContents"/>
              <w:bidi w:val="0"/>
              <w:spacing w:before="0" w:after="283"/>
              <w:jc w:val="center"/>
              <w:rPr>
                <w:b/>
              </w:rPr>
            </w:pPr>
            <w:r>
              <w:rPr>
                <w:b/>
              </w:rPr>
              <w:t>Amount</w:t>
            </w:r>
          </w:p>
        </w:tc>
        <w:tc>
          <w:tcPr>
            <w:tcW w:w="17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02" w:type="dxa"/>
            <w:gridSpan w:val="2"/>
            <w:tcBorders/>
            <w:vAlign w:val="bottom"/>
          </w:tcPr>
          <w:p>
            <w:pPr>
              <w:pStyle w:val="TableContents"/>
              <w:bidi w:val="0"/>
              <w:spacing w:before="0" w:after="283"/>
              <w:jc w:val="center"/>
              <w:rPr>
                <w:b/>
              </w:rPr>
            </w:pPr>
            <w:r>
              <w:rPr>
                <w:b/>
              </w:rPr>
              <w:t>Percent</w:t>
            </w:r>
          </w:p>
        </w:tc>
        <w:tc>
          <w:tcPr>
            <w:tcW w:w="282" w:type="dxa"/>
            <w:tcBorders/>
            <w:vAlign w:val="bottom"/>
          </w:tcPr>
          <w:p>
            <w:pPr>
              <w:pStyle w:val="TableContents"/>
              <w:bidi w:val="0"/>
              <w:spacing w:before="0" w:after="283"/>
              <w:jc w:val="left"/>
              <w:rPr/>
            </w:pPr>
            <w:r>
              <w:rPr/>
              <w:t> </w:t>
            </w:r>
          </w:p>
        </w:tc>
      </w:tr>
      <w:tr>
        <w:trPr/>
        <w:tc>
          <w:tcPr>
            <w:tcW w:w="4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3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3</w:t>
            </w:r>
          </w:p>
        </w:tc>
        <w:tc>
          <w:tcPr>
            <w:tcW w:w="17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21</w:t>
            </w:r>
          </w:p>
        </w:tc>
        <w:tc>
          <w:tcPr>
            <w:tcW w:w="282" w:type="dxa"/>
            <w:tcBorders/>
            <w:shd w:fill="CCEEFF" w:val="clear"/>
            <w:vAlign w:val="bottom"/>
          </w:tcPr>
          <w:p>
            <w:pPr>
              <w:pStyle w:val="TableContents"/>
              <w:bidi w:val="0"/>
              <w:spacing w:before="0" w:after="283"/>
              <w:jc w:val="left"/>
              <w:rPr/>
            </w:pPr>
            <w:r>
              <w:rPr/>
              <w:t>% </w:t>
            </w:r>
          </w:p>
        </w:tc>
      </w:tr>
      <w:tr>
        <w:trPr/>
        <w:tc>
          <w:tcPr>
            <w:tcW w:w="4056"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taxes1</w:t>
            </w:r>
          </w:p>
        </w:tc>
        <w:tc>
          <w:tcPr>
            <w:tcW w:w="3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4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R&amp;D Tax credits</w:t>
            </w:r>
          </w:p>
        </w:tc>
        <w:tc>
          <w:tcPr>
            <w:tcW w:w="3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(6</w:t>
            </w:r>
          </w:p>
        </w:tc>
        <w:tc>
          <w:tcPr>
            <w:tcW w:w="167"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(8</w:t>
            </w:r>
          </w:p>
        </w:tc>
        <w:tc>
          <w:tcPr>
            <w:tcW w:w="17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(52</w:t>
            </w:r>
          </w:p>
        </w:tc>
        <w:tc>
          <w:tcPr>
            <w:tcW w:w="282" w:type="dxa"/>
            <w:tcBorders/>
            <w:shd w:fill="CCEEFF" w:val="clear"/>
            <w:vAlign w:val="bottom"/>
          </w:tcPr>
          <w:p>
            <w:pPr>
              <w:pStyle w:val="TableContents"/>
              <w:bidi w:val="0"/>
              <w:spacing w:before="0" w:after="283"/>
              <w:jc w:val="left"/>
              <w:rPr/>
            </w:pPr>
            <w:r>
              <w:rPr/>
              <w:t>) </w:t>
            </w:r>
          </w:p>
        </w:tc>
      </w:tr>
      <w:tr>
        <w:trPr/>
        <w:tc>
          <w:tcPr>
            <w:tcW w:w="4056"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allowances and other</w:t>
            </w:r>
          </w:p>
        </w:tc>
        <w:tc>
          <w:tcPr>
            <w:tcW w:w="3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w:t>
            </w:r>
          </w:p>
        </w:tc>
        <w:tc>
          <w:tcPr>
            <w:tcW w:w="167"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w:t>
            </w:r>
          </w:p>
        </w:tc>
        <w:tc>
          <w:tcPr>
            <w:tcW w:w="17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20</w:t>
            </w:r>
          </w:p>
        </w:tc>
        <w:tc>
          <w:tcPr>
            <w:tcW w:w="282" w:type="dxa"/>
            <w:tcBorders/>
            <w:vAlign w:val="bottom"/>
          </w:tcPr>
          <w:p>
            <w:pPr>
              <w:pStyle w:val="TableContents"/>
              <w:bidi w:val="0"/>
              <w:spacing w:before="0" w:after="283"/>
              <w:jc w:val="left"/>
              <w:rPr/>
            </w:pPr>
            <w:r>
              <w:rPr/>
              <w:t> </w:t>
            </w:r>
          </w:p>
        </w:tc>
      </w:tr>
      <w:tr>
        <w:trPr/>
        <w:tc>
          <w:tcPr>
            <w:tcW w:w="4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3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4056" w:type="dxa"/>
            <w:tcBorders/>
          </w:tcPr>
          <w:p>
            <w:pPr>
              <w:pStyle w:val="TableContents"/>
              <w:bidi w:val="0"/>
              <w:spacing w:before="0" w:after="0"/>
              <w:jc w:val="left"/>
              <w:rPr>
                <w:rFonts w:ascii="Times New Roman" w:hAnsi="Times New Roman"/>
                <w:sz w:val="20"/>
              </w:rPr>
            </w:pPr>
            <w:r>
              <w:rPr>
                <w:rFonts w:ascii="Times New Roman" w:hAnsi="Times New Roman"/>
                <w:sz w:val="20"/>
              </w:rPr>
              <w:t>Changes in unrecognized tax benefits</w:t>
            </w:r>
          </w:p>
        </w:tc>
        <w:tc>
          <w:tcPr>
            <w:tcW w:w="31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w:t>
            </w:r>
          </w:p>
        </w:tc>
        <w:tc>
          <w:tcPr>
            <w:tcW w:w="167"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w:t>
            </w:r>
          </w:p>
        </w:tc>
        <w:tc>
          <w:tcPr>
            <w:tcW w:w="17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20</w:t>
            </w:r>
          </w:p>
        </w:tc>
        <w:tc>
          <w:tcPr>
            <w:tcW w:w="282" w:type="dxa"/>
            <w:tcBorders/>
            <w:vAlign w:val="bottom"/>
          </w:tcPr>
          <w:p>
            <w:pPr>
              <w:pStyle w:val="TableContents"/>
              <w:bidi w:val="0"/>
              <w:spacing w:before="0" w:after="283"/>
              <w:jc w:val="left"/>
              <w:rPr/>
            </w:pPr>
            <w:r>
              <w:rPr/>
              <w:t> </w:t>
            </w:r>
          </w:p>
        </w:tc>
      </w:tr>
      <w:tr>
        <w:trPr/>
        <w:tc>
          <w:tcPr>
            <w:tcW w:w="4056"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31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1</w:t>
            </w:r>
          </w:p>
        </w:tc>
        <w:tc>
          <w:tcPr>
            <w:tcW w:w="17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9</w:t>
            </w:r>
          </w:p>
        </w:tc>
        <w:tc>
          <w:tcPr>
            <w:tcW w:w="282" w:type="dxa"/>
            <w:tcBorders/>
            <w:shd w:fill="CCEEFF" w:val="clear"/>
            <w:vAlign w:val="bottom"/>
          </w:tcPr>
          <w:p>
            <w:pPr>
              <w:pStyle w:val="TableContents"/>
              <w:bidi w:val="0"/>
              <w:spacing w:before="0" w:after="283"/>
              <w:jc w:val="left"/>
              <w:rPr/>
            </w:pPr>
            <w:r>
              <w:rPr/>
              <w:t> </w:t>
            </w:r>
          </w:p>
        </w:tc>
      </w:tr>
      <w:tr>
        <w:trPr/>
        <w:tc>
          <w:tcPr>
            <w:tcW w:w="4056"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taxes in California made up the majority (greater than 50 percent) of the tax effect in this category, including state tax rate changes and state tax credits.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2025 and 2024, the effective tax rate for continuing operations was 0% and 9%, respectively. The effective tax rates differ from the statutory U.S. federal income tax rate of 21% primarily due to tax credits, changes in uncertain tax positions, and changes in valuation allowances. </w:t>
      </w:r>
    </w:p>
    <w:p>
      <w:pPr>
        <w:pStyle w:val="TextBody"/>
        <w:bidi w:val="0"/>
        <w:spacing w:before="240" w:after="0"/>
        <w:jc w:val="left"/>
        <w:rPr>
          <w:rFonts w:ascii="Times New Roman" w:hAnsi="Times New Roman"/>
          <w:sz w:val="20"/>
        </w:rPr>
      </w:pPr>
      <w:r>
        <w:rPr>
          <w:rFonts w:ascii="Times New Roman" w:hAnsi="Times New Roman"/>
          <w:sz w:val="20"/>
        </w:rPr>
        <w:t xml:space="preserve">Significant components of deferred tax assets and liabilities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36"/>
        <w:gridCol w:w="457"/>
        <w:gridCol w:w="460"/>
        <w:gridCol w:w="1497"/>
        <w:gridCol w:w="155"/>
        <w:gridCol w:w="433"/>
        <w:gridCol w:w="460"/>
        <w:gridCol w:w="1497"/>
        <w:gridCol w:w="160"/>
      </w:tblGrid>
      <w:tr>
        <w:trPr/>
        <w:tc>
          <w:tcPr>
            <w:tcW w:w="2636"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6"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0"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benefit of losses carried forward</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7"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7"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5</w:t>
            </w:r>
          </w:p>
        </w:tc>
        <w:tc>
          <w:tcPr>
            <w:tcW w:w="160"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and other payables</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18</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21</w:t>
            </w:r>
          </w:p>
        </w:tc>
        <w:tc>
          <w:tcPr>
            <w:tcW w:w="160"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Leasing transactions</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19</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research and experimental expenditures</w:t>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100</w:t>
            </w:r>
          </w:p>
        </w:tc>
        <w:tc>
          <w:tcPr>
            <w:tcW w:w="160"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contract liabilities</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167</w:t>
            </w:r>
          </w:p>
        </w:tc>
        <w:tc>
          <w:tcPr>
            <w:tcW w:w="160"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(119</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 net of valuation allowance</w:t>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48</w:t>
            </w:r>
          </w:p>
        </w:tc>
        <w:tc>
          <w:tcPr>
            <w:tcW w:w="160" w:type="dxa"/>
            <w:tcBorders/>
            <w:vAlign w:val="bottom"/>
          </w:tcPr>
          <w:p>
            <w:pPr>
              <w:pStyle w:val="TableContents"/>
              <w:bidi w:val="0"/>
              <w:spacing w:before="0" w:after="283"/>
              <w:jc w:val="left"/>
              <w:rPr/>
            </w:pPr>
            <w:r>
              <w:rPr/>
              <w:t> </w:t>
            </w:r>
          </w:p>
        </w:tc>
      </w:tr>
      <w:tr>
        <w:trPr/>
        <w:tc>
          <w:tcPr>
            <w:tcW w:w="2636"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gains</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(23</w:t>
            </w:r>
          </w:p>
        </w:tc>
        <w:tc>
          <w:tcPr>
            <w:tcW w:w="160"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intangibles</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(13</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Leasing transactions</w:t>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(11</w:t>
            </w:r>
          </w:p>
        </w:tc>
        <w:tc>
          <w:tcPr>
            <w:tcW w:w="160"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contract liabilities</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(48</w:t>
            </w:r>
          </w:p>
        </w:tc>
        <w:tc>
          <w:tcPr>
            <w:tcW w:w="160" w:type="dxa"/>
            <w:tcBorders/>
            <w:vAlign w:val="bottom"/>
          </w:tcPr>
          <w:p>
            <w:pPr>
              <w:pStyle w:val="TableContents"/>
              <w:bidi w:val="0"/>
              <w:spacing w:before="0" w:after="283"/>
              <w:jc w:val="left"/>
              <w:rPr/>
            </w:pPr>
            <w:r>
              <w:rPr/>
              <w:t>) </w:t>
            </w:r>
          </w:p>
        </w:tc>
      </w:tr>
      <w:tr>
        <w:trPr/>
        <w:tc>
          <w:tcPr>
            <w:tcW w:w="2636"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45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636"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4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49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evaluation of the four sources of income, the Company believes it is not more-likely-than-not that all the deferred tax assets will be realized. The cumulative earnings in recent years, in addition to other negative evidence, supports recording a valuation allowance and the Company will continue to monitor changes in facts and circumstances. A portion of the activity related to changes in the valuation allowance is recorded through OCI net of the unrealized gain tax effects.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approximately $269 million and $132 million of federal and state net operating loss (“NOL”) carryforwards, respectively. The federal NOL has no expiration, and the state NOL begins to expire in 2045. </w:t>
      </w:r>
    </w:p>
    <w:p>
      <w:pPr>
        <w:pStyle w:val="TextBody"/>
        <w:bidi w:val="0"/>
        <w:spacing w:before="240" w:after="0"/>
        <w:jc w:val="left"/>
        <w:rPr>
          <w:rFonts w:ascii="Times New Roman" w:hAnsi="Times New Roman"/>
          <w:sz w:val="20"/>
        </w:rPr>
      </w:pPr>
      <w:r>
        <w:rPr>
          <w:rFonts w:ascii="Times New Roman" w:hAnsi="Times New Roman"/>
          <w:sz w:val="20"/>
        </w:rPr>
        <w:t>The Company also has U.S. federal and state research and development tax credits, net of unrecognized tax benefits, carried forward of $7 million and $3 million, respectively, as of December 31, 2025. These federal research and development credits begin to expire in 2045, and the state research and development tax credits have no expiration.</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there were $5 million of unrecognized tax benefits that, if recognized, would be offset by changes in the deferred tax assets. The Company records interest and penalties accrued or recovered in relation to unrecognized tax benefits in income tax expense. The Company has not recognized any interest and penalties due to available tax attributes.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July 4, 2025, the One Big Beautiful Bill Act (the “OBBBA”) was enacted, which includes expiring Tax Cuts and Jobs Act provisions as well as international tax changes. The application of the OBBBA to the Company did not have a material impact on its financial statements during the year ended December 31, 2025.</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periods presented, the Company did not file its own stand-alone tax returns, and its operations were included in the tax returns filed by Parent. The Parent is subject to income taxes in the U.S. federal jurisdiction, and various state and local jurisdictions. Various state and local income tax returns are under examination by the applicable taxing authorities. The Company is open to federal and state income tax examinations until the applicable statute of limitations expires, generally three years after tax return filing; however, the ability for the taxing authority to adjust tax attribute carryforwards will continue until generally three years after tax attribute utilization. No income tax payments were made or income tax refunds received as of December 31, 2025, or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14. COMMITMENTS AND CONTINGENCIES </w:t>
      </w:r>
    </w:p>
    <w:p>
      <w:pPr>
        <w:pStyle w:val="TextBody"/>
        <w:bidi w:val="0"/>
        <w:spacing w:before="120" w:after="0"/>
        <w:jc w:val="left"/>
        <w:rPr>
          <w:rFonts w:ascii="Times New Roman" w:hAnsi="Times New Roman"/>
          <w:i/>
          <w:sz w:val="20"/>
        </w:rPr>
      </w:pPr>
      <w:r>
        <w:rPr>
          <w:rFonts w:ascii="Times New Roman" w:hAnsi="Times New Roman"/>
          <w:i/>
          <w:sz w:val="20"/>
        </w:rPr>
        <w:t xml:space="preserve">Contingencies in the Normal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Satellite construction contracts may include performance incentives whereby payment for a portion of the purchase price of the satellite is contingent upon in-orbit performance of the satellite. The Company’s ultimate receipt of orbital performance incentives is subject to the continued performance of its satellites generally over the contractually stipulated life of the satellites. A complete or partial loss of a satellite’s functionality can result in loss of orbital receivable payments or repayment of amounts received by the Company under a warranty payback arrangement. The Company generally receives the present value of the orbital receivables if there is a launch failure or a failure caused by a customer error but will forfeit some or all of the orbital receivables if the loss is caused by satellite failure or as a result of Company error. The Company recognizes orbital performance incentives in the financial statements based on the amounts that are expected to be received and believes that it will not incur a material loss relating to the incentives recognized. With respect to the Company’s securitized liability for the orbital receivables, upon the occurrence of an event of default under the securitization facility agreement or upon the occurrence of limited events, the Company may be required to repurchase on demand any effected receivables at their then net present value.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incur liquidated damages on programs as a result of delays due to slippage, or for programs which fail to meet all milestone requirements as outlined within the contractual arrangements with customers. Losses on programs related to liquidated damages result in a reduction of revenue. Changes in estimates related to contracts accounted for using the cost-to-cost method are recognized in the period in which such changes are made for the inception-to-date effect of the changes. Unrecoverable costs on contracts that are expected to be incurred in future periods are recorded in program cost in the current period. Additionally, construction contracts may have termination for default clauses, which if triggered, could result in potential losses and legal disputes.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agreements in the ordinary course of business with resellers and others. Most of these agreements require the Company to indemnify the other party against third-party claims alleging that one of its products infringes or misappropriates a patent, copyright, trademark, trade secret or other intellectual property right. Certain of these agreements require the Company to indemnify the other party against claims relating to property damage, personal injury or acts or omissions by the Company, its employees, agents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Company has made guarantees regarding the performance of its systems to its customers. Some of these agreements do not limit the maximum potential future payments the Company could be obligated to make. The Company evaluates and estimates potential losses from such indemnification based on the likelihood that the future event will occur. The Company has not incurred any material costs as a result of such obligations and has not accrued any liabilities related to such indemnification and guarantees in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is a party to various other legal proceedings and claims that arise in the ordinary course of business as either a plaintiff or defendant. As a matter of course, the Company is prepared both to litigate these matters to judgment, as well as to evaluate and consider all reasonable settlement opportunities. The Company establishes accrued liabilities for these matters where losses are deemed probable and reasonably estimable. The outcome of any of these other proceedings, either individually or in the aggregate, is not expected to have a material adverse effect on the Company’s financial position, results of operations or liquidity. The Company expenses legal fees related to contingencies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insurance policies for settlements and judgments, as well as legal defense costs, for lawsuits such as those described in the subsequent paragraphs, although the amount of insurance coverage that the Company maintains may not be adequate to cover all claims or liabilities. In addition, provisions of the Parents’s Certificate of Incorporation, Bylaws and indemnification agreements entered into with current and former directors and officers require the Company, among other things, to indemnify these directors and officers against certain liabilities that may arise by reason of their status or service as directors or officers and to advance expenses to such directors or officers in connection therewith. </w:t>
      </w:r>
    </w:p>
    <w:p>
      <w:pPr>
        <w:pStyle w:val="TextBody"/>
        <w:bidi w:val="0"/>
        <w:spacing w:before="360" w:after="0"/>
        <w:jc w:val="left"/>
        <w:rPr>
          <w:rFonts w:ascii="Times New Roman" w:hAnsi="Times New Roman"/>
          <w:i/>
          <w:sz w:val="20"/>
        </w:rPr>
      </w:pPr>
      <w:r>
        <w:rPr>
          <w:rFonts w:ascii="Times New Roman" w:hAnsi="Times New Roman"/>
          <w:i/>
          <w:sz w:val="20"/>
        </w:rPr>
        <w:t xml:space="preserve">Legal proceedings </w:t>
      </w:r>
    </w:p>
    <w:p>
      <w:pPr>
        <w:pStyle w:val="TextBody"/>
        <w:bidi w:val="0"/>
        <w:spacing w:before="120" w:after="0"/>
        <w:jc w:val="left"/>
        <w:rPr>
          <w:rFonts w:ascii="Times New Roman" w:hAnsi="Times New Roman"/>
          <w:b/>
          <w:sz w:val="20"/>
        </w:rPr>
      </w:pPr>
      <w:r>
        <w:rPr>
          <w:rFonts w:ascii="Times New Roman" w:hAnsi="Times New Roman"/>
          <w:b/>
          <w:sz w:val="20"/>
        </w:rPr>
        <w:t xml:space="preserve">Department of Justice Inquiries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Civil Division of the U.S. Department of Justice (“Department of Justice”) issued a Civil Investigative Demand as part of an investigation into allegations that Lanteris submitted, or caused to be submitted, false claims to the federal government by failing to meet cybersecurity requirements in federal regulations and government contracts issued to Lanteris and made or used false records or statements material to these false claims. </w:t>
      </w:r>
    </w:p>
    <w:p>
      <w:pPr>
        <w:pStyle w:val="TextBody"/>
        <w:bidi w:val="0"/>
        <w:spacing w:before="240" w:after="0"/>
        <w:jc w:val="left"/>
        <w:rPr>
          <w:rFonts w:ascii="Times New Roman" w:hAnsi="Times New Roman"/>
          <w:sz w:val="20"/>
        </w:rPr>
      </w:pPr>
      <w:r>
        <w:rPr>
          <w:rFonts w:ascii="Times New Roman" w:hAnsi="Times New Roman"/>
          <w:sz w:val="20"/>
        </w:rPr>
        <w:t xml:space="preserve">In late 2025, the Department of Justice presented its initial civil investigation review to Lanteris that it alleged constitute False Claims Act violations related to certain federal government contracts awarded to it. Those contracts were among the programs sold to Intuitive Machines, LLC (“Intuitive Machines”) as part of the sale of the Lanteris Space Systems business (the “Lanteris Sale”) by Vantor Holdings Inc. (“Vantor Holdings”). As part of the Lanteris Sale, Galileo agreed to indemnify Intuitive Machines and its affiliates for the liability of Lanteris related to this investigation. At the request of the Department of Justice, Vantor Holdings will present its response and counter arguments to dispute the department’s assertions against Lanteris of False Claims Act violations in the coming months. </w:t>
      </w:r>
    </w:p>
    <w:p>
      <w:pPr>
        <w:pStyle w:val="TextBody"/>
        <w:bidi w:val="0"/>
        <w:spacing w:before="240" w:after="0"/>
        <w:jc w:val="left"/>
        <w:rPr>
          <w:rFonts w:ascii="Times New Roman" w:hAnsi="Times New Roman"/>
          <w:sz w:val="20"/>
        </w:rPr>
      </w:pPr>
      <w:r>
        <w:rPr>
          <w:rFonts w:ascii="Times New Roman" w:hAnsi="Times New Roman"/>
          <w:sz w:val="20"/>
        </w:rPr>
        <w:t xml:space="preserve">Vantor and Lanteris are fully cooperating with the investigation, however, it is too early in the investigation to predict a probable exposure to loss or a range of possible outcomes. </w:t>
      </w:r>
    </w:p>
    <w:p>
      <w:pPr>
        <w:pStyle w:val="TextBody"/>
        <w:bidi w:val="0"/>
        <w:spacing w:before="360" w:after="0"/>
        <w:jc w:val="left"/>
        <w:rPr>
          <w:rFonts w:ascii="Times New Roman" w:hAnsi="Times New Roman"/>
          <w:b/>
          <w:sz w:val="20"/>
        </w:rPr>
      </w:pPr>
      <w:r>
        <w:rPr>
          <w:rFonts w:ascii="Times New Roman" w:hAnsi="Times New Roman"/>
          <w:b/>
          <w:sz w:val="20"/>
        </w:rPr>
        <w:t xml:space="preserve">15. SUPPLEMENTAL CASH FLOW </w:t>
      </w:r>
    </w:p>
    <w:p>
      <w:pPr>
        <w:pStyle w:val="TextBody"/>
        <w:bidi w:val="0"/>
        <w:spacing w:before="120" w:after="0"/>
        <w:jc w:val="left"/>
        <w:rPr>
          <w:rFonts w:ascii="Times New Roman" w:hAnsi="Times New Roman"/>
          <w:sz w:val="20"/>
        </w:rPr>
      </w:pPr>
      <w:r>
        <w:rPr>
          <w:rFonts w:ascii="Times New Roman" w:hAnsi="Times New Roman"/>
          <w:sz w:val="20"/>
        </w:rPr>
        <w:t xml:space="preserve">Selected cash payments and non-cash activities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64"/>
        <w:gridCol w:w="755"/>
        <w:gridCol w:w="977"/>
        <w:gridCol w:w="978"/>
        <w:gridCol w:w="60"/>
        <w:gridCol w:w="755"/>
        <w:gridCol w:w="977"/>
        <w:gridCol w:w="978"/>
        <w:gridCol w:w="61"/>
      </w:tblGrid>
      <w:tr>
        <w:trPr/>
        <w:tc>
          <w:tcPr>
            <w:tcW w:w="4664" w:type="dxa"/>
            <w:tcBorders/>
            <w:vAlign w:val="center"/>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664"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2024</w:t>
            </w:r>
          </w:p>
        </w:tc>
        <w:tc>
          <w:tcPr>
            <w:tcW w:w="61" w:type="dxa"/>
            <w:tcBorders/>
            <w:vAlign w:val="bottom"/>
          </w:tcPr>
          <w:p>
            <w:pPr>
              <w:pStyle w:val="TableContents"/>
              <w:bidi w:val="0"/>
              <w:spacing w:before="0" w:after="283"/>
              <w:jc w:val="left"/>
              <w:rPr/>
            </w:pPr>
            <w:r>
              <w:rPr/>
              <w:t> </w:t>
            </w:r>
          </w:p>
        </w:tc>
      </w:tr>
      <w:tr>
        <w:trPr/>
        <w:tc>
          <w:tcPr>
            <w:tcW w:w="4664" w:type="dxa"/>
            <w:tcBorders/>
            <w:shd w:fill="CCEEFF" w:val="clear"/>
            <w:vAlign w:val="bottom"/>
          </w:tcPr>
          <w:p>
            <w:pPr>
              <w:pStyle w:val="TableContents"/>
              <w:bidi w:val="0"/>
              <w:spacing w:before="0" w:after="283"/>
              <w:jc w:val="left"/>
              <w:rPr/>
            </w:pPr>
            <w:r>
              <w:rPr/>
              <w:t>Supplemental non-cash investing and financing activities:</w:t>
            </w:r>
          </w:p>
        </w:tc>
        <w:tc>
          <w:tcPr>
            <w:tcW w:w="755"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664" w:type="dxa"/>
            <w:tcBorders/>
          </w:tcPr>
          <w:p>
            <w:pPr>
              <w:pStyle w:val="TableContents"/>
              <w:bidi w:val="0"/>
              <w:spacing w:before="0" w:after="0"/>
              <w:jc w:val="left"/>
              <w:rPr>
                <w:rFonts w:ascii="Times New Roman" w:hAnsi="Times New Roman"/>
                <w:sz w:val="20"/>
              </w:rPr>
            </w:pPr>
            <w:r>
              <w:rPr>
                <w:rFonts w:ascii="Times New Roman" w:hAnsi="Times New Roman"/>
                <w:sz w:val="20"/>
              </w:rPr>
              <w:t>Accrued capital expenditures</w:t>
            </w:r>
          </w:p>
        </w:tc>
        <w:tc>
          <w:tcPr>
            <w:tcW w:w="755"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Lanteris Sale was completed on January 13, 2026, for consideration of $450 million of cash and $350 million of Intuitive Machines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TextBody"/>
        <w:bidi w:val="0"/>
        <w:spacing w:before="0" w:after="0"/>
        <w:jc w:val="right"/>
        <w:rPr>
          <w:rFonts w:ascii="Times New Roman" w:hAnsi="Times New Roman"/>
          <w:b/>
          <w:sz w:val="20"/>
        </w:rPr>
      </w:pPr>
      <w:bookmarkStart w:id="7" w:name="d132144dex992.htm"/>
      <w:bookmarkStart w:id="8" w:name="ksd132144dex992"/>
      <w:bookmarkEnd w:id="7"/>
      <w:bookmarkEnd w:id="8"/>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2026, Intuitive Machines, Inc. (“Intuitive Machines” or the “Company”), completed its previously announced acquisition of Lanteris Space Holdings LLC (“Lanteris”), through its subsidiary, Intuitive Machines, LLC (“Purchaser”), pursuant to the previously announced Membership Interest Purchase Agreement, dated as of November 3, 2025 (the “Purchase Agreement”), by and among the Company, Purchaser, Lanteris, Vantor Holdings Inc. (“Seller”) and Galileo TopCo, Inc (“Seller Parent”)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and should be read in conjunction with the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2025 combines the audited consolidated balance sheet of Intuitive Machines as of December 31, 2025 with the audited consolidated balance sheet of Lanteris as of December 31, 2025, giving effect to the Acquisition as if it had been consummated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year ended December 31, 2025 combines the audited consolidated statement of operations of Intuitive Machines for the year ended December 31, 2025 with the audited consolidated statement of operations of Lanteris for the year ended December 31, 2025, giving effect to the Acquisition as if it had been consummated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was derived from, and should be read in conjunction with, the following historical financial statements and the accompanying notes, which are incorporated by reference into this amended Current Report on Form 8-K (“Form 8-K/A”):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Intuitive Machines as of and for the year ended December 31, 2025, as included in the Company’s Annual Report on Form 10-K filed with the Securities and Exchange Commission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Lanteris as of and for the year ended December 31, 2025, included as an exhibit to the Form 8-K/A to which this unaudited pro forma condensed combined financial information is attached;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Acquisition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using the acquisition method of accounting in accordance with accounting principles generally accepted in the United States of America (“GAAP”). Intuitive Machines has been treated as the acquirer for accounting purposes, and thus accounts for the Acquisition as a business combination in accordance with Accounting Standards Codification Topic 805, Business Combinations (“ASC 805”). The total purchase price will be allocated to the tangible and intangible assets and liabilities acquired based on their respective fair values. The assets and liabilities of Lanteris have been measured based on various preliminary estimates using assumptions that the Company’s management believes are reasonable and based on currently available information. Accordingly, the pro forma adjustments are preliminary and have been made solely for the purpose of providing this unaudited pro forma condensed combined financial information. Differences between these preliminary estimates and the final purchase accounting will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the actual purchase price allocation that will be recorded upon completion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Acquisition, which is discussed in further detail below. The unaudited pro forma condensed combined financial statements are presented for illustrative purposes only and do not purport to represent the combined company’s consolidated results of operations or consolidated financial position that would actually have occurred had the Acquisition been consummated on the dates assumed or to project the combined company’s consolidated results of operations or consolidated financial position for any future date or period.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policies followed in preparing the unaudited pro forma condensed combined financial statements are those used by Intuitive Machines as set forth in the audited historical financial statements. The unaudited pro forma condensed combined financial statements reflect any material adjustments known at this time to conform Lanteris’ historical financial information to Intuitive Machine’s significant accounting policies based on the Company’s initial review and understanding of Lanteris’ summary of significant accounting policies from the date of the acquisition. A more comprehensive comparison and assessment will occur, which may result in additional differences identified.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presented for illustrative purposes only and does not reflect the costs of any integration activities or cost savings or synergies that may be achieved because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Lanteris and the Company have not had any historical material relationship prior to the Acquisition. Accordingly, no pro forma adjustments were required to eliminate activities between the companies.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Balance Sheet Pro Forma Adjustments </w:t>
      </w:r>
    </w:p>
    <w:p>
      <w:pPr>
        <w:pStyle w:val="TextBody"/>
        <w:bidi w:val="0"/>
        <w:spacing w:before="0" w:after="0"/>
        <w:jc w:val="left"/>
        <w:rPr>
          <w:rFonts w:ascii="Times New Roman" w:hAnsi="Times New Roman"/>
          <w:b/>
          <w:sz w:val="20"/>
        </w:rPr>
      </w:pPr>
      <w:r>
        <w:rPr>
          <w:rFonts w:ascii="Times New Roman" w:hAnsi="Times New Roman"/>
          <w:b/>
          <w:sz w:val="20"/>
        </w:rPr>
        <w:t xml:space="preserve">As of December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data and par value) </w:t>
      </w:r>
    </w:p>
    <w:p>
      <w:pPr>
        <w:pStyle w:val="TextBody"/>
        <w:bidi w:val="0"/>
        <w:spacing w:before="0" w:after="0"/>
        <w:jc w:val="left"/>
        <w:rPr/>
      </w:pPr>
      <w:r>
        <w:rPr/>
        <w:t> </w:t>
      </w:r>
    </w:p>
    <w:tbl>
      <w:tblPr>
        <w:tblW w:w="10735" w:type="dxa"/>
        <w:jc w:val="center"/>
        <w:tblInd w:w="0" w:type="dxa"/>
        <w:tblLayout w:type="fixed"/>
        <w:tblCellMar>
          <w:top w:w="0" w:type="dxa"/>
          <w:left w:w="0" w:type="dxa"/>
          <w:bottom w:w="0" w:type="dxa"/>
          <w:right w:w="0" w:type="dxa"/>
        </w:tblCellMar>
      </w:tblPr>
      <w:tblGrid>
        <w:gridCol w:w="1280"/>
        <w:gridCol w:w="120"/>
        <w:gridCol w:w="122"/>
        <w:gridCol w:w="1788"/>
        <w:gridCol w:w="155"/>
        <w:gridCol w:w="60"/>
        <w:gridCol w:w="30"/>
        <w:gridCol w:w="30"/>
        <w:gridCol w:w="60"/>
        <w:gridCol w:w="120"/>
        <w:gridCol w:w="69"/>
        <w:gridCol w:w="926"/>
        <w:gridCol w:w="60"/>
        <w:gridCol w:w="120"/>
        <w:gridCol w:w="30"/>
        <w:gridCol w:w="30"/>
        <w:gridCol w:w="60"/>
        <w:gridCol w:w="120"/>
        <w:gridCol w:w="108"/>
        <w:gridCol w:w="1442"/>
        <w:gridCol w:w="60"/>
        <w:gridCol w:w="120"/>
        <w:gridCol w:w="350"/>
        <w:gridCol w:w="120"/>
        <w:gridCol w:w="84"/>
        <w:gridCol w:w="1226"/>
        <w:gridCol w:w="155"/>
        <w:gridCol w:w="60"/>
        <w:gridCol w:w="60"/>
        <w:gridCol w:w="350"/>
        <w:gridCol w:w="60"/>
        <w:gridCol w:w="120"/>
        <w:gridCol w:w="62"/>
        <w:gridCol w:w="1023"/>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Intuitive Machines</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Lanteris</w:t>
              <w:br/>
              <w:t>Historical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Material</w:t>
              <w:b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7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582,606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168,000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(A)</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(403,000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275,684</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7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(25,090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(C)</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7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(48,832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2,733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2,733</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12,193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157,000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169,193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12,236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12,236</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9,046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19,046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to suppliers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17,000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53,000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53,000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b/>
              </w:rPr>
            </w:pPr>
            <w:r>
              <w:rPr>
                <w:b/>
              </w:rPr>
              <w:t>618,814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239,000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b/>
              </w:rPr>
            </w:pPr>
            <w:r>
              <w:rPr>
                <w:b/>
              </w:rPr>
              <w:t>168,000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b/>
              </w:rPr>
            </w:pPr>
            <w:r>
              <w:rPr>
                <w:b/>
              </w:rPr>
              <w:t>(476,922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548,892</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 of accumulated depreciation</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68,550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133,000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27,000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228,550</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12,968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94,000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260,000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(B)</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366,968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18,697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194,000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(97,291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115,406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 of accumulated amortization</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36,755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36,755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right-of-use assets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94</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1,276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33,000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34,276</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Orbital receivable, net</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226,000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226,000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b/>
              </w:rPr>
            </w:pPr>
            <w:r>
              <w:rPr>
                <w:b/>
              </w:rPr>
              <w:t>757,154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919,000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b/>
              </w:rPr>
            </w:pPr>
            <w:r>
              <w:rPr>
                <w:b/>
              </w:rPr>
              <w:t>168,000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b/>
              </w:rPr>
            </w:pPr>
            <w:r>
              <w:rPr>
                <w:b/>
              </w:rPr>
              <w:t>(287,213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1,556,941</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double" w:sz="6" w:space="1" w:color="000000"/>
              </w:pBdr>
              <w:bidi w:val="0"/>
              <w:spacing w:before="0" w:after="0"/>
              <w:jc w:val="left"/>
              <w:rPr/>
            </w:pPr>
            <w:r>
              <w:rPr/>
              <w:t> </w:t>
            </w:r>
          </w:p>
        </w:tc>
        <w:tc>
          <w:tcPr>
            <w:tcW w:w="17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7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22,199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(9,324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(C)</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51,875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 affiliated companies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1,723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1,723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 current</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57,368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156,000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213,368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10,466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25,466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 current</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33,028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69,028</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20,000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b/>
              </w:rPr>
            </w:pPr>
            <w:r>
              <w:rPr>
                <w:b/>
              </w:rPr>
              <w:t>124,832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273,000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b/>
              </w:rPr>
            </w:pPr>
            <w:r>
              <w:rPr>
                <w:b/>
              </w:rPr>
              <w:t>(9,324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388,508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 non-current</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335,335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335,335</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 non-current</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6,341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6,341</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26,290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32,000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58,290</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 non-current</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60,394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60,394</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62,000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62,240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other postretirement benefits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55,000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55,000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b/>
              </w:rPr>
            </w:pPr>
            <w:r>
              <w:rPr>
                <w:b/>
              </w:rPr>
              <w:t>553,452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422,000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b/>
              </w:rPr>
            </w:pPr>
            <w:r>
              <w:rPr>
                <w:b/>
              </w:rPr>
              <w:t>(9,324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966,128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b/>
                <w:sz w:val="20"/>
              </w:rPr>
            </w:pPr>
            <w:r>
              <w:rPr>
                <w:rFonts w:ascii="Times New Roman" w:hAnsi="Times New Roman"/>
                <w:b/>
                <w:sz w:val="20"/>
              </w:rPr>
              <w:t>MEZZANINE EQUITY</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7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preferred stock subject to possible redemption</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6,613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6,613</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Redeemable noncontrolling interests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951,536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951,536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7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(A)</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7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(D)</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Class C common stock</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at cost</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(33,525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(33,525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Paid-in capital</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167,999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(A)</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283,707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451,706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(721,457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(15,766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(C)</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(786,187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7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(48,964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462,000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(462,000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(B)</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attributable to the Company</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b/>
              </w:rPr>
            </w:pPr>
            <w:r>
              <w:rPr>
                <w:b/>
              </w:rPr>
              <w:t>(754,964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497,000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b/>
              </w:rPr>
            </w:pPr>
            <w:r>
              <w:rPr>
                <w:b/>
              </w:rPr>
              <w:t>168,000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b/>
              </w:rPr>
            </w:pPr>
            <w:r>
              <w:rPr>
                <w:b/>
              </w:rPr>
              <w:t>(277,889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(367,853</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517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517</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b/>
              </w:rPr>
            </w:pPr>
            <w:r>
              <w:rPr>
                <w:b/>
              </w:rPr>
              <w:t>757,154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919,000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b/>
              </w:rPr>
            </w:pPr>
            <w:r>
              <w:rPr>
                <w:b/>
              </w:rPr>
              <w:t>168,000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b/>
              </w:rPr>
            </w:pPr>
            <w:r>
              <w:rPr>
                <w:b/>
              </w:rPr>
              <w:t>(287,213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b/>
              </w:rPr>
            </w:pPr>
            <w:r>
              <w:rPr>
                <w:b/>
              </w:rPr>
              <w:t>1,556,941</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double" w:sz="6" w:space="1" w:color="000000"/>
              </w:pBdr>
              <w:bidi w:val="0"/>
              <w:spacing w:before="0" w:after="0"/>
              <w:jc w:val="left"/>
              <w:rPr/>
            </w:pPr>
            <w:r>
              <w:rPr/>
              <w:t> </w:t>
            </w:r>
          </w:p>
        </w:tc>
        <w:tc>
          <w:tcPr>
            <w:tcW w:w="17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Please refer to the notes to the unaudited pro forma condensed combined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1"/>
        <w:gridCol w:w="136"/>
        <w:gridCol w:w="60"/>
        <w:gridCol w:w="1240"/>
        <w:gridCol w:w="155"/>
        <w:gridCol w:w="91"/>
        <w:gridCol w:w="69"/>
        <w:gridCol w:w="926"/>
        <w:gridCol w:w="155"/>
        <w:gridCol w:w="91"/>
        <w:gridCol w:w="84"/>
        <w:gridCol w:w="1244"/>
        <w:gridCol w:w="155"/>
        <w:gridCol w:w="91"/>
        <w:gridCol w:w="536"/>
        <w:gridCol w:w="90"/>
        <w:gridCol w:w="60"/>
        <w:gridCol w:w="1240"/>
        <w:gridCol w:w="161"/>
      </w:tblGrid>
      <w:tr>
        <w:trPr/>
        <w:tc>
          <w:tcPr>
            <w:tcW w:w="3621"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2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Intuitive</w:t>
              <w:br/>
              <w:t>Machines</w:t>
              <w:br/>
              <w:t xml:space="preserve">Historical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Lanteris</w:t>
              <w:br/>
              <w:t>Historical</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207,132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207,132</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2,927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2,927</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591,000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591,000</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 related party</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10,000</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210,059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b/>
              </w:rPr>
            </w:pPr>
            <w:r>
              <w:rPr>
                <w:b/>
              </w:rPr>
              <w:t>601,000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811,059</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177,247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470,000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647,247</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 - affiliated companies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23,822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9,000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32,822</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3,597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34,000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4,669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(AA)</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54,933</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12,667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center"/>
              <w:rPr/>
            </w:pPr>
            <w:r>
              <w:rPr/>
              <w:t>(AA)</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35,000</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 (excluding depreciation and amortization)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92,624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55,000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48,964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center"/>
              <w:rPr/>
            </w:pPr>
            <w:r>
              <w:rPr/>
              <w:t>(BB)</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232,426</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20,072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(CC)</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621" w:type="dxa"/>
            <w:tcBorders/>
            <w:shd w:fill="CCEEFF" w:val="clear"/>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15,766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center"/>
              <w:rPr/>
            </w:pPr>
            <w:r>
              <w:rPr/>
              <w:t>(DD)</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297,290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603,000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102,138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1,002,428</w:t>
            </w:r>
          </w:p>
        </w:tc>
        <w:tc>
          <w:tcPr>
            <w:tcW w:w="161" w:type="dxa"/>
            <w:tcBorders/>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profit (loss)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(87,231</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(2,000</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(102,138</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(191,369</w:t>
            </w:r>
          </w:p>
        </w:tc>
        <w:tc>
          <w:tcPr>
            <w:tcW w:w="161" w:type="dxa"/>
            <w:tcBorders/>
            <w:shd w:fill="CCEEFF" w:val="clear"/>
            <w:vAlign w:val="bottom"/>
          </w:tcPr>
          <w:p>
            <w:pPr>
              <w:pStyle w:val="TableContents"/>
              <w:bidi w:val="0"/>
              <w:spacing w:before="0" w:after="283"/>
              <w:jc w:val="left"/>
              <w:rPr>
                <w:b/>
              </w:rPr>
            </w:pPr>
            <w:r>
              <w:rPr>
                <w:b/>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15,272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15,272</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(4,177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(4,000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(8,177</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liabilities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(33,369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(33,369</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8,384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8,384</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SAFE agreements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(1,854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(1,854</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91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3,091</w:t>
            </w:r>
          </w:p>
        </w:tc>
        <w:tc>
          <w:tcPr>
            <w:tcW w:w="161" w:type="dxa"/>
            <w:tcBorders/>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(15,653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(16,653</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(102,884</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b/>
              </w:rPr>
            </w:pPr>
            <w:r>
              <w:rPr>
                <w:b/>
              </w:rPr>
              <w:t>(3,000</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(102,138</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(208,022</w:t>
            </w:r>
          </w:p>
        </w:tc>
        <w:tc>
          <w:tcPr>
            <w:tcW w:w="161" w:type="dxa"/>
            <w:tcBorders/>
            <w:vAlign w:val="bottom"/>
          </w:tcPr>
          <w:p>
            <w:pPr>
              <w:pStyle w:val="TableContents"/>
              <w:bidi w:val="0"/>
              <w:spacing w:before="0" w:after="283"/>
              <w:jc w:val="left"/>
              <w:rPr>
                <w:b/>
              </w:rPr>
            </w:pPr>
            <w:r>
              <w:rPr>
                <w:b/>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 benefit</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(3,962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21,449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center"/>
              <w:rPr/>
            </w:pPr>
            <w:r>
              <w:rPr/>
              <w:t>(EE)</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18,117</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630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(FF)</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(106,846</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(3,000</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b/>
              </w:rPr>
            </w:pPr>
            <w:r>
              <w:rPr>
                <w:b/>
              </w:rPr>
              <w:t>(80,059</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(189,905</w:t>
            </w:r>
          </w:p>
        </w:tc>
        <w:tc>
          <w:tcPr>
            <w:tcW w:w="161" w:type="dxa"/>
            <w:tcBorders/>
            <w:shd w:fill="CCEEFF" w:val="clear"/>
            <w:vAlign w:val="bottom"/>
          </w:tcPr>
          <w:p>
            <w:pPr>
              <w:pStyle w:val="TableContents"/>
              <w:bidi w:val="0"/>
              <w:spacing w:before="0" w:after="283"/>
              <w:jc w:val="left"/>
              <w:rPr>
                <w:b/>
              </w:rPr>
            </w:pPr>
            <w:r>
              <w:rPr>
                <w:b/>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redeemable noncontrolling interest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(25,059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(25,059</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1,507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1,507</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The Company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(83,294</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b/>
              </w:rPr>
            </w:pPr>
            <w:r>
              <w:rPr>
                <w:b/>
              </w:rPr>
              <w:t>(3,000</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(80,059</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(166,353</w:t>
            </w:r>
          </w:p>
        </w:tc>
        <w:tc>
          <w:tcPr>
            <w:tcW w:w="161" w:type="dxa"/>
            <w:tcBorders/>
            <w:vAlign w:val="bottom"/>
          </w:tcPr>
          <w:p>
            <w:pPr>
              <w:pStyle w:val="TableContents"/>
              <w:bidi w:val="0"/>
              <w:spacing w:before="0" w:after="283"/>
              <w:jc w:val="left"/>
              <w:rPr>
                <w:b/>
              </w:rPr>
            </w:pPr>
            <w:r>
              <w:rPr>
                <w:b/>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Preferred Dividends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(616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(616</w:t>
            </w:r>
          </w:p>
        </w:tc>
        <w:tc>
          <w:tcPr>
            <w:tcW w:w="161" w:type="dxa"/>
            <w:tcBorders/>
            <w:shd w:fill="CCEEFF" w:val="clear"/>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To Class A Common Shareholders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(83,910</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b/>
              </w:rPr>
            </w:pPr>
            <w:r>
              <w:rPr>
                <w:b/>
              </w:rPr>
              <w:t>(3,000</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b/>
              </w:rPr>
            </w:pPr>
            <w:r>
              <w:rPr>
                <w:b/>
              </w:rPr>
              <w:t>(80,059</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(166,969</w:t>
            </w:r>
          </w:p>
        </w:tc>
        <w:tc>
          <w:tcPr>
            <w:tcW w:w="161" w:type="dxa"/>
            <w:tcBorders/>
            <w:vAlign w:val="bottom"/>
          </w:tcPr>
          <w:p>
            <w:pPr>
              <w:pStyle w:val="TableContents"/>
              <w:bidi w:val="0"/>
              <w:spacing w:before="0" w:after="283"/>
              <w:jc w:val="left"/>
              <w:rPr>
                <w:b/>
              </w:rPr>
            </w:pPr>
            <w:r>
              <w:rPr>
                <w:b/>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Shares of Class A common stock Outstanding</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115,426,620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149,991,722</w:t>
            </w:r>
          </w:p>
        </w:tc>
        <w:tc>
          <w:tcPr>
            <w:tcW w:w="161"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(0.73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(1.11</w:t>
            </w:r>
          </w:p>
        </w:tc>
        <w:tc>
          <w:tcPr>
            <w:tcW w:w="161"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NOTES TO UNAUDITED PRO FORMA CONDENSED COMBINED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have been prepared as if the Acquisition had been consummated on December 31, 2025, in the case of the unaudited pro forma condensed combined balance sheet, and, in the case of the unaudited pro forma condensed combined statements of operations, as if the Acquisition had been consummated on January 1, 2025, the beginning of the earliest period presented in the unaudited pro forma condensed combined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assuming the acquisition method of accounting in accordance with GAAP. Under this method, Lanteris’ assets and liabilities will be recorded at their respective preliminary fair values. Any difference between the purchase price for Lanteris and the fair value of the identifiable net assets acquired (including intangible assets) will be recorded as goodwill. The goodwill resulting from the Acquisition will not be amortized to expense, but instead will be reviewed for impairment at least annually. The pro formas are based on preliminary accounting conclusions and are subject to potential revisions upon further analysis.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represent management’s estimates based on information available as of the date of this Form 8-K/A and are subject to change as additional information becomes available and additional analyses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One-time direct and incremental transaction costs will be expensed as incurred under ASC 805 and are assumed to be cash settled.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the Unaudited Pro Forma Condensed Combined Balance Sheet as of December 31, 2025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balance sheet as of December 31, 2025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$175.0 million and the issuance of 11.6 million shares related to the Private Investment in Public Equity (“PIPE”) funding announced by the Company on February 25, 2026, recorded net of $7.0 million in transaction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purchase price allocation adjustments to record Lanteris’ assets and liabilities at estimated fair value based on the consideration conveyed. The related income statement adjustments are reflected at (BB).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preliminary purchase price was allocated among the identified assets to be acquired, based on a preliminary analysis. Goodwill is expected to be recognized as a result of the Acquisition, which represents the excess fair value of consideration over the fair value of the underlying net assets of Lanteris. This was considered appropriate based on the determination that the Acquisition would be accounted for as a business acquisition under ASC 805. No deferred taxes are included in the pro forma tax provision because there is not expected to be differences in book and tax basis created from the preliminary purchase price allocation. The estimates of fair value are based upon preliminary valuation assumptions, and are believed to be reasonable, but are inherently uncertain and unpredictable. As a result, actual results may differ from estimates, and the difference may be material.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is a preliminary estimate of the assets acquired and the liabilities assumed by Intuitive Machines in the Acquisition, reconciled to the estimated purchase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60"/>
        <w:gridCol w:w="372"/>
        <w:gridCol w:w="170"/>
        <w:gridCol w:w="1080"/>
        <w:gridCol w:w="157"/>
      </w:tblGrid>
      <w:tr>
        <w:trPr/>
        <w:tc>
          <w:tcPr>
            <w:tcW w:w="5160"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Net Assets Identified</w:t>
            </w:r>
          </w:p>
        </w:tc>
        <w:tc>
          <w:tcPr>
            <w:tcW w:w="372"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Preliminary</w:t>
              <w:br/>
              <w:t>Estimate of</w:t>
              <w:br/>
              <w:t>Fair Value</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2,000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157,000</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10,000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Advances to suppliers</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17,000</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53,000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(1)</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160,000</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 (2)</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354,000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96,709</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33,000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Orbital receivables, net</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226,000</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(39,000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 current</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(156,000</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(15,000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(36,000</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(7,000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(20,000</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(32,000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(62,000</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other postretirement benefits</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(55,000</w:t>
            </w:r>
          </w:p>
        </w:tc>
        <w:tc>
          <w:tcPr>
            <w:tcW w:w="157" w:type="dxa"/>
            <w:tcBorders/>
            <w:vAlign w:val="bottom"/>
          </w:tcPr>
          <w:p>
            <w:pPr>
              <w:pStyle w:val="TableContents"/>
              <w:bidi w:val="0"/>
              <w:spacing w:before="0" w:after="283"/>
              <w:jc w:val="left"/>
              <w:rPr/>
            </w:pPr>
            <w:r>
              <w:rPr/>
              <w:t>) </w:t>
            </w:r>
          </w:p>
        </w:tc>
      </w:tr>
      <w:tr>
        <w:trPr/>
        <w:tc>
          <w:tcPr>
            <w:tcW w:w="5160"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Fair Value</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686,709</w:t>
            </w:r>
          </w:p>
        </w:tc>
        <w:tc>
          <w:tcPr>
            <w:tcW w:w="157" w:type="dxa"/>
            <w:tcBorders/>
            <w:shd w:fill="CCEEFF" w:val="clear"/>
            <w:vAlign w:val="bottom"/>
          </w:tcPr>
          <w:p>
            <w:pPr>
              <w:pStyle w:val="TableContents"/>
              <w:bidi w:val="0"/>
              <w:spacing w:before="0" w:after="283"/>
              <w:jc w:val="left"/>
              <w:rPr/>
            </w:pPr>
            <w:r>
              <w:rPr/>
              <w:t> </w:t>
            </w:r>
          </w:p>
        </w:tc>
      </w:tr>
      <w:tr>
        <w:trPr>
          <w:trHeight w:val="240" w:hRule="atLeast"/>
        </w:trPr>
        <w:tc>
          <w:tcPr>
            <w:tcW w:w="6939" w:type="dxa"/>
            <w:gridSpan w:val="5"/>
            <w:tcBorders/>
            <w:vAlign w:val="center"/>
          </w:tcPr>
          <w:p>
            <w:pPr>
              <w:pStyle w:val="TableContents"/>
              <w:bidi w:val="0"/>
              <w:spacing w:before="0" w:after="283"/>
              <w:jc w:val="left"/>
              <w:rPr>
                <w:sz w:val="4"/>
                <w:szCs w:val="4"/>
              </w:rPr>
            </w:pPr>
            <w:r>
              <w:rPr>
                <w:sz w:val="4"/>
                <w:szCs w:val="4"/>
              </w:rPr>
            </w:r>
          </w:p>
        </w:tc>
      </w:tr>
      <w:tr>
        <w:trPr/>
        <w:tc>
          <w:tcPr>
            <w:tcW w:w="6782" w:type="dxa"/>
            <w:gridSpan w:val="4"/>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Value Conveyed</w:t>
            </w:r>
          </w:p>
        </w:tc>
        <w:tc>
          <w:tcPr>
            <w:tcW w:w="157" w:type="dxa"/>
            <w:tcBorders/>
            <w:vAlign w:val="bottom"/>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Consideration</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403,000</w:t>
            </w:r>
          </w:p>
        </w:tc>
        <w:tc>
          <w:tcPr>
            <w:tcW w:w="157"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Equity Consideration (3)</w:t>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283,709</w:t>
            </w:r>
          </w:p>
        </w:tc>
        <w:tc>
          <w:tcPr>
            <w:tcW w:w="157" w:type="dxa"/>
            <w:tcBorders/>
            <w:vAlign w:val="bottom"/>
          </w:tcPr>
          <w:p>
            <w:pPr>
              <w:pStyle w:val="TableContents"/>
              <w:bidi w:val="0"/>
              <w:spacing w:before="0" w:after="283"/>
              <w:jc w:val="left"/>
              <w:rPr/>
            </w:pPr>
            <w:r>
              <w:rPr/>
              <w:t> </w:t>
            </w:r>
          </w:p>
        </w:tc>
      </w:tr>
      <w:tr>
        <w:trPr/>
        <w:tc>
          <w:tcPr>
            <w:tcW w:w="5160"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Purchase Consideration</w:t>
            </w:r>
          </w:p>
        </w:tc>
        <w:tc>
          <w:tcPr>
            <w:tcW w:w="37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686,709</w:t>
            </w:r>
          </w:p>
        </w:tc>
        <w:tc>
          <w:tcPr>
            <w:tcW w:w="157"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Property, plant, and equipment fair value was comprised of personal property; and personal property was primarily comprised of laboratory equipment. The estimated remaining useful life of personal property is approximately 5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Intangible assets, net were comprised of the following: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11"/>
        <w:gridCol w:w="144"/>
        <w:gridCol w:w="157"/>
        <w:gridCol w:w="899"/>
        <w:gridCol w:w="60"/>
        <w:gridCol w:w="144"/>
        <w:gridCol w:w="211"/>
        <w:gridCol w:w="919"/>
        <w:gridCol w:w="60"/>
        <w:gridCol w:w="144"/>
        <w:gridCol w:w="5139"/>
      </w:tblGrid>
      <w:tr>
        <w:trPr/>
        <w:tc>
          <w:tcPr>
            <w:tcW w:w="151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5139" w:type="dxa"/>
            <w:tcBorders/>
            <w:vAlign w:val="center"/>
          </w:tcPr>
          <w:p>
            <w:pPr>
              <w:pStyle w:val="TableContents"/>
              <w:bidi w:val="0"/>
              <w:spacing w:before="0" w:after="283"/>
              <w:jc w:val="left"/>
              <w:rPr>
                <w:sz w:val="4"/>
                <w:szCs w:val="4"/>
              </w:rPr>
            </w:pPr>
            <w:r>
              <w:rPr>
                <w:sz w:val="4"/>
                <w:szCs w:val="4"/>
              </w:rPr>
            </w:r>
          </w:p>
        </w:tc>
      </w:tr>
      <w:tr>
        <w:trPr/>
        <w:tc>
          <w:tcPr>
            <w:tcW w:w="15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Asset type</w:t>
            </w:r>
          </w:p>
        </w:tc>
        <w:tc>
          <w:tcPr>
            <w:tcW w:w="144"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Remaining</w:t>
              <w:br/>
              <w:t>Useful Life</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1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Valuation methodology</w:t>
            </w:r>
          </w:p>
        </w:tc>
      </w:tr>
      <w:tr>
        <w:trPr/>
        <w:tc>
          <w:tcPr>
            <w:tcW w:w="1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Trademark/Trade name</w:t>
            </w:r>
          </w:p>
        </w:tc>
        <w:tc>
          <w:tcPr>
            <w:tcW w:w="14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4,000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139" w:type="dxa"/>
            <w:tcBorders/>
            <w:shd w:fill="CCEEFF" w:val="clear"/>
            <w:vAlign w:val="bottom"/>
          </w:tcPr>
          <w:p>
            <w:pPr>
              <w:pStyle w:val="TableContents"/>
              <w:bidi w:val="0"/>
              <w:spacing w:before="0" w:after="283"/>
              <w:jc w:val="left"/>
              <w:rPr/>
            </w:pPr>
            <w:r>
              <w:rPr/>
              <w:t>Relief-from-royalty method (“RFR”)</w:t>
            </w:r>
          </w:p>
        </w:tc>
      </w:tr>
      <w:tr>
        <w:trPr/>
        <w:tc>
          <w:tcPr>
            <w:tcW w:w="1511"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4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175,000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139" w:type="dxa"/>
            <w:tcBorders/>
            <w:vAlign w:val="bottom"/>
          </w:tcPr>
          <w:p>
            <w:pPr>
              <w:pStyle w:val="TableContents"/>
              <w:bidi w:val="0"/>
              <w:spacing w:before="0" w:after="283"/>
              <w:jc w:val="left"/>
              <w:rPr/>
            </w:pPr>
            <w:r>
              <w:rPr/>
              <w:t>Multi-Period Excess Earnings Method (“MPEEM”)</w:t>
            </w:r>
          </w:p>
        </w:tc>
      </w:tr>
      <w:tr>
        <w:trPr/>
        <w:tc>
          <w:tcPr>
            <w:tcW w:w="1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14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175,000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139" w:type="dxa"/>
            <w:tcBorders/>
            <w:shd w:fill="CCEEFF" w:val="clear"/>
            <w:vAlign w:val="bottom"/>
          </w:tcPr>
          <w:p>
            <w:pPr>
              <w:pStyle w:val="TableContents"/>
              <w:bidi w:val="0"/>
              <w:spacing w:before="0" w:after="283"/>
              <w:jc w:val="left"/>
              <w:rPr/>
            </w:pPr>
            <w:r>
              <w:rPr/>
              <w:t>Relief-from-royalty method (“RFR”)</w:t>
            </w:r>
          </w:p>
        </w:tc>
      </w:tr>
      <w:tr>
        <w:trPr/>
        <w:tc>
          <w:tcPr>
            <w:tcW w:w="1511"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9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5139" w:type="dxa"/>
            <w:tcBorders/>
            <w:vAlign w:val="bottom"/>
          </w:tcPr>
          <w:p>
            <w:pPr>
              <w:pStyle w:val="TableContents"/>
              <w:bidi w:val="0"/>
              <w:spacing w:before="0" w:after="283"/>
              <w:jc w:val="left"/>
              <w:rPr>
                <w:sz w:val="4"/>
                <w:szCs w:val="4"/>
              </w:rPr>
            </w:pPr>
            <w:r>
              <w:rPr>
                <w:sz w:val="4"/>
                <w:szCs w:val="4"/>
              </w:rPr>
            </w:r>
          </w:p>
        </w:tc>
      </w:tr>
      <w:tr>
        <w:trPr/>
        <w:tc>
          <w:tcPr>
            <w:tcW w:w="151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Intangible assets, net</w:t>
            </w:r>
          </w:p>
        </w:tc>
        <w:tc>
          <w:tcPr>
            <w:tcW w:w="14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899" w:type="dxa"/>
            <w:tcBorders/>
            <w:vAlign w:val="bottom"/>
          </w:tcPr>
          <w:p>
            <w:pPr>
              <w:pStyle w:val="TableContents"/>
              <w:bidi w:val="0"/>
              <w:spacing w:before="0" w:after="283"/>
              <w:jc w:val="right"/>
              <w:rPr/>
            </w:pPr>
            <w:r>
              <w:rPr/>
              <w:t>354,000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9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513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consideration consisted of 22,991,028 shares of Class A common stock to legacy Lanteris equity holders issued at a share price of $12.34.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transaction costs in the amount of $25.1 million. Of this amount, approximately $9.3 million was incurred and accrued for on the balance sheet as of December 31, 2025. These expenses were primarily comprised of investment banking fees, legal fees, issuance costs, accounting and audit fees, and other related advisory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compensation expense in the amount of $49.0 million recorded at closing related to (i) cash payments upon settlement of the legacy Lanteris long-term incentive program, and (ii) cash bonuses paid at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the Unaudited Pro Forma Condensed Combined Statement of Operations for the Year ended December 31, 2025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statement of operations for the year ended December 31, 2025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 forma impacts related to the purchase price allocation discussed at adjustment (B). This includes the following impacts: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Depreciation expense – </w:t>
            </w:r>
            <w:r>
              <w:rPr>
                <w:rFonts w:ascii="Times New Roman" w:hAnsi="Times New Roman"/>
                <w:sz w:val="20"/>
              </w:rPr>
              <w:t xml:space="preserve">Reflects an increase to depreciation expense related to personal property, calculated using the depreciation expense based on an increase in fair value and a weighted average useful life of 5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Amortization expense</w:t>
            </w:r>
            <w:r>
              <w:rPr>
                <w:rFonts w:ascii="Times New Roman" w:hAnsi="Times New Roman"/>
                <w:sz w:val="20"/>
              </w:rPr>
              <w:t xml:space="preserve"> – Reflects an increase in amortization expense related to trade name, customer relationships, and developed technology, calculated using the estimated weighted average remaining useful life for these assets of 1, 15, and 25 years,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stock compensation expense recorded as of closing, as discussed in further detail at balance sheet adjustment (D).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stock compensation expense related to stock-based awards granted to employees, which vest over one year following closing. As these awards vest one year following issuance, these costs will not be recurring.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transaction costs associated with the Acquisition, as discussed in further detail at balance sheet adjustment (C).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tax impact of all pro forma adjustments for the ended December 31, 2025, calculated using a statutory rate of 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tax impact of Lanteris’ historical results, as Lanteris was previously a disregarded entity which never paid federal income taxes; the adjustment reflects federal income tax on income before income taxes for the year ended December 31, 2025, calculated using a statutory rate of 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Unaudited Pro Forma Net Income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net income per share calculations have been performed for the year ended December 31, 2025, assuming the Acquisition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excludes the stock-based awards that were issued in connection with the Acquisition that vest over the one year following issuance, which are subject to service conditions.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62"/>
        <w:gridCol w:w="434"/>
        <w:gridCol w:w="97"/>
        <w:gridCol w:w="1988"/>
        <w:gridCol w:w="158"/>
      </w:tblGrid>
      <w:tr>
        <w:trPr/>
        <w:tc>
          <w:tcPr>
            <w:tcW w:w="4262"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62"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2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2025</w:t>
            </w:r>
          </w:p>
        </w:tc>
        <w:tc>
          <w:tcPr>
            <w:tcW w:w="158" w:type="dxa"/>
            <w:tcBorders/>
            <w:vAlign w:val="bottom"/>
          </w:tcPr>
          <w:p>
            <w:pPr>
              <w:pStyle w:val="TableContents"/>
              <w:bidi w:val="0"/>
              <w:spacing w:before="0" w:after="283"/>
              <w:jc w:val="left"/>
              <w:rPr/>
            </w:pPr>
            <w:r>
              <w:rPr/>
              <w:t> </w:t>
            </w:r>
          </w:p>
        </w:tc>
      </w:tr>
      <w:tr>
        <w:trPr/>
        <w:tc>
          <w:tcPr>
            <w:tcW w:w="42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3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98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262"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attributable to Class A common shareholders</w:t>
            </w:r>
          </w:p>
        </w:tc>
        <w:tc>
          <w:tcPr>
            <w:tcW w:w="43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88" w:type="dxa"/>
            <w:tcBorders/>
            <w:vAlign w:val="bottom"/>
          </w:tcPr>
          <w:p>
            <w:pPr>
              <w:pStyle w:val="TableContents"/>
              <w:bidi w:val="0"/>
              <w:spacing w:before="0" w:after="283"/>
              <w:jc w:val="right"/>
              <w:rPr/>
            </w:pPr>
            <w:r>
              <w:rPr/>
              <w:t>(166,969</w:t>
            </w:r>
          </w:p>
        </w:tc>
        <w:tc>
          <w:tcPr>
            <w:tcW w:w="158" w:type="dxa"/>
            <w:tcBorders/>
            <w:vAlign w:val="bottom"/>
          </w:tcPr>
          <w:p>
            <w:pPr>
              <w:pStyle w:val="TableContents"/>
              <w:bidi w:val="0"/>
              <w:spacing w:before="0" w:after="283"/>
              <w:jc w:val="left"/>
              <w:rPr/>
            </w:pPr>
            <w:r>
              <w:rPr/>
              <w:t>) </w:t>
            </w:r>
          </w:p>
        </w:tc>
      </w:tr>
      <w:tr>
        <w:trPr/>
        <w:tc>
          <w:tcPr>
            <w:tcW w:w="42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earnings allocated to Class A common shareholders – basic and diluted</w:t>
            </w:r>
          </w:p>
        </w:tc>
        <w:tc>
          <w:tcPr>
            <w:tcW w:w="43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88" w:type="dxa"/>
            <w:tcBorders/>
            <w:shd w:fill="CCEEFF" w:val="clear"/>
            <w:vAlign w:val="bottom"/>
          </w:tcPr>
          <w:p>
            <w:pPr>
              <w:pStyle w:val="TableContents"/>
              <w:bidi w:val="0"/>
              <w:spacing w:before="0" w:after="283"/>
              <w:jc w:val="right"/>
              <w:rPr>
                <w:b/>
              </w:rPr>
            </w:pPr>
            <w:r>
              <w:rPr>
                <w:b/>
              </w:rPr>
              <w:t>(166,969</w:t>
            </w:r>
          </w:p>
        </w:tc>
        <w:tc>
          <w:tcPr>
            <w:tcW w:w="158" w:type="dxa"/>
            <w:tcBorders/>
            <w:shd w:fill="CCEEFF" w:val="clear"/>
            <w:vAlign w:val="bottom"/>
          </w:tcPr>
          <w:p>
            <w:pPr>
              <w:pStyle w:val="TableContents"/>
              <w:bidi w:val="0"/>
              <w:spacing w:before="0" w:after="283"/>
              <w:jc w:val="left"/>
              <w:rPr>
                <w:b/>
              </w:rPr>
            </w:pPr>
            <w:r>
              <w:rPr>
                <w:b/>
              </w:rPr>
              <w:t>) </w:t>
            </w:r>
          </w:p>
        </w:tc>
      </w:tr>
      <w:tr>
        <w:trPr>
          <w:trHeight w:val="120" w:hRule="atLeast"/>
        </w:trPr>
        <w:tc>
          <w:tcPr>
            <w:tcW w:w="4262" w:type="dxa"/>
            <w:tcBorders/>
            <w:vAlign w:val="center"/>
          </w:tcPr>
          <w:p>
            <w:pPr>
              <w:pStyle w:val="TableContents"/>
              <w:bidi w:val="0"/>
              <w:spacing w:before="0" w:after="283"/>
              <w:jc w:val="left"/>
              <w:rPr>
                <w:sz w:val="4"/>
                <w:szCs w:val="4"/>
              </w:rPr>
            </w:pPr>
            <w:r>
              <w:rPr>
                <w:sz w:val="4"/>
                <w:szCs w:val="4"/>
              </w:rPr>
            </w:r>
          </w:p>
        </w:tc>
        <w:tc>
          <w:tcPr>
            <w:tcW w:w="2677" w:type="dxa"/>
            <w:gridSpan w:val="4"/>
            <w:tcBorders/>
            <w:vAlign w:val="center"/>
          </w:tcPr>
          <w:p>
            <w:pPr>
              <w:pStyle w:val="TableContents"/>
              <w:bidi w:val="0"/>
              <w:spacing w:before="0" w:after="283"/>
              <w:jc w:val="left"/>
              <w:rPr>
                <w:sz w:val="4"/>
                <w:szCs w:val="4"/>
              </w:rPr>
            </w:pPr>
            <w:r>
              <w:rPr>
                <w:sz w:val="4"/>
                <w:szCs w:val="4"/>
              </w:rPr>
            </w:r>
          </w:p>
        </w:tc>
      </w:tr>
      <w:tr>
        <w:trPr/>
        <w:tc>
          <w:tcPr>
            <w:tcW w:w="4262"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3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9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Intuitive Machines’ shares</w:t>
            </w:r>
          </w:p>
        </w:tc>
        <w:tc>
          <w:tcPr>
            <w:tcW w:w="43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88" w:type="dxa"/>
            <w:tcBorders/>
            <w:shd w:fill="CCEEFF" w:val="clear"/>
            <w:vAlign w:val="bottom"/>
          </w:tcPr>
          <w:p>
            <w:pPr>
              <w:pStyle w:val="TableContents"/>
              <w:bidi w:val="0"/>
              <w:spacing w:before="0" w:after="283"/>
              <w:jc w:val="right"/>
              <w:rPr/>
            </w:pPr>
            <w:r>
              <w:rPr/>
              <w:t>115,426,620</w:t>
            </w:r>
          </w:p>
        </w:tc>
        <w:tc>
          <w:tcPr>
            <w:tcW w:w="158" w:type="dxa"/>
            <w:tcBorders/>
            <w:shd w:fill="CCEEFF" w:val="clear"/>
            <w:vAlign w:val="bottom"/>
          </w:tcPr>
          <w:p>
            <w:pPr>
              <w:pStyle w:val="TableContents"/>
              <w:bidi w:val="0"/>
              <w:spacing w:before="0" w:after="283"/>
              <w:jc w:val="left"/>
              <w:rPr/>
            </w:pPr>
            <w:r>
              <w:rPr/>
              <w:t> </w:t>
            </w:r>
          </w:p>
        </w:tc>
      </w:tr>
      <w:tr>
        <w:trPr/>
        <w:tc>
          <w:tcPr>
            <w:tcW w:w="4262" w:type="dxa"/>
            <w:tcBorders/>
          </w:tcPr>
          <w:p>
            <w:pPr>
              <w:pStyle w:val="TableContents"/>
              <w:bidi w:val="0"/>
              <w:spacing w:before="0" w:after="0"/>
              <w:jc w:val="left"/>
              <w:rPr>
                <w:rFonts w:ascii="Times New Roman" w:hAnsi="Times New Roman"/>
                <w:sz w:val="20"/>
              </w:rPr>
            </w:pPr>
            <w:r>
              <w:rPr>
                <w:rFonts w:ascii="Times New Roman" w:hAnsi="Times New Roman"/>
                <w:sz w:val="20"/>
              </w:rPr>
              <w:t>Shares to Lanteris legacy equity holders</w:t>
            </w:r>
          </w:p>
        </w:tc>
        <w:tc>
          <w:tcPr>
            <w:tcW w:w="43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88" w:type="dxa"/>
            <w:tcBorders/>
            <w:vAlign w:val="bottom"/>
          </w:tcPr>
          <w:p>
            <w:pPr>
              <w:pStyle w:val="TableContents"/>
              <w:bidi w:val="0"/>
              <w:spacing w:before="0" w:after="283"/>
              <w:jc w:val="right"/>
              <w:rPr/>
            </w:pPr>
            <w:r>
              <w:rPr/>
              <w:t>22,991,028</w:t>
            </w:r>
          </w:p>
        </w:tc>
        <w:tc>
          <w:tcPr>
            <w:tcW w:w="158" w:type="dxa"/>
            <w:tcBorders/>
            <w:vAlign w:val="bottom"/>
          </w:tcPr>
          <w:p>
            <w:pPr>
              <w:pStyle w:val="TableContents"/>
              <w:bidi w:val="0"/>
              <w:spacing w:before="0" w:after="283"/>
              <w:jc w:val="left"/>
              <w:rPr/>
            </w:pPr>
            <w:r>
              <w:rPr/>
              <w:t> </w:t>
            </w:r>
          </w:p>
        </w:tc>
      </w:tr>
      <w:tr>
        <w:trPr/>
        <w:tc>
          <w:tcPr>
            <w:tcW w:w="4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 shares</w:t>
            </w:r>
          </w:p>
        </w:tc>
        <w:tc>
          <w:tcPr>
            <w:tcW w:w="43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88" w:type="dxa"/>
            <w:tcBorders/>
            <w:shd w:fill="CCEEFF" w:val="clear"/>
            <w:vAlign w:val="bottom"/>
          </w:tcPr>
          <w:p>
            <w:pPr>
              <w:pStyle w:val="TableContents"/>
              <w:bidi w:val="0"/>
              <w:spacing w:before="0" w:after="283"/>
              <w:jc w:val="right"/>
              <w:rPr/>
            </w:pPr>
            <w:r>
              <w:rPr/>
              <w:t>11,574,074</w:t>
            </w:r>
          </w:p>
        </w:tc>
        <w:tc>
          <w:tcPr>
            <w:tcW w:w="158" w:type="dxa"/>
            <w:tcBorders/>
            <w:shd w:fill="CCEEFF" w:val="clear"/>
            <w:vAlign w:val="bottom"/>
          </w:tcPr>
          <w:p>
            <w:pPr>
              <w:pStyle w:val="TableContents"/>
              <w:bidi w:val="0"/>
              <w:spacing w:before="0" w:after="283"/>
              <w:jc w:val="left"/>
              <w:rPr/>
            </w:pPr>
            <w:r>
              <w:rPr/>
              <w:t> </w:t>
            </w:r>
          </w:p>
        </w:tc>
      </w:tr>
      <w:tr>
        <w:trPr/>
        <w:tc>
          <w:tcPr>
            <w:tcW w:w="4262"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9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62"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of Class A common stock outstanding – basic and diluted</w:t>
            </w:r>
          </w:p>
        </w:tc>
        <w:tc>
          <w:tcPr>
            <w:tcW w:w="43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88" w:type="dxa"/>
            <w:tcBorders/>
            <w:vAlign w:val="bottom"/>
          </w:tcPr>
          <w:p>
            <w:pPr>
              <w:pStyle w:val="TableContents"/>
              <w:bidi w:val="0"/>
              <w:spacing w:before="0" w:after="283"/>
              <w:jc w:val="right"/>
              <w:rPr/>
            </w:pPr>
            <w:r>
              <w:rPr/>
              <w:t>149,991,722</w:t>
            </w:r>
          </w:p>
        </w:tc>
        <w:tc>
          <w:tcPr>
            <w:tcW w:w="158" w:type="dxa"/>
            <w:tcBorders/>
            <w:vAlign w:val="bottom"/>
          </w:tcPr>
          <w:p>
            <w:pPr>
              <w:pStyle w:val="TableContents"/>
              <w:bidi w:val="0"/>
              <w:spacing w:before="0" w:after="283"/>
              <w:jc w:val="left"/>
              <w:rPr/>
            </w:pPr>
            <w:r>
              <w:rPr/>
              <w:t> </w:t>
            </w:r>
          </w:p>
        </w:tc>
      </w:tr>
      <w:tr>
        <w:trPr/>
        <w:tc>
          <w:tcPr>
            <w:tcW w:w="4262"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98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basic and diluted earnings per share</w:t>
            </w:r>
          </w:p>
        </w:tc>
        <w:tc>
          <w:tcPr>
            <w:tcW w:w="43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88" w:type="dxa"/>
            <w:tcBorders/>
            <w:shd w:fill="CCEEFF" w:val="clear"/>
            <w:vAlign w:val="bottom"/>
          </w:tcPr>
          <w:p>
            <w:pPr>
              <w:pStyle w:val="TableContents"/>
              <w:bidi w:val="0"/>
              <w:spacing w:before="0" w:after="283"/>
              <w:jc w:val="right"/>
              <w:rPr>
                <w:b/>
              </w:rPr>
            </w:pPr>
            <w:r>
              <w:rPr>
                <w:b/>
              </w:rPr>
              <w:t>(1.11</w:t>
            </w:r>
          </w:p>
        </w:tc>
        <w:tc>
          <w:tcPr>
            <w:tcW w:w="158"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44452/000119312526011200/d89967d8k.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16700</Words>
  <Characters>93752</Characters>
  <CharactersWithSpaces>114867</CharactersWithSpaces>
  <Paragraphs>6648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