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Crain Timothy Price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13467 COLUMBIA SHUTTLE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Intuitive Machines, Inc.</w:t>
              </w:r>
            </w:hyperlink>
            <w:r>
              <w:rPr/>
              <w:t xml:space="preserve"> [ </w:t>
            </w:r>
            <w:r>
              <w:rPr>
                <w:rFonts w:ascii="Times;serif" w:hAnsi="Times;serif"/>
                <w:color w:val="0000FF"/>
                <w:sz w:val="24"/>
                <w:shd w:fill="FFFFFF" w:val="clear"/>
              </w:rPr>
              <w:t>LUNR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&amp; Chief Technology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1002"/>
        <w:gridCol w:w="423"/>
        <w:gridCol w:w="983"/>
        <w:gridCol w:w="1246"/>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501,279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8,720,615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21.8148</w:t>
            </w:r>
            <w:r>
              <w:rPr>
                <w:rFonts w:ascii="Times;serif" w:hAnsi="Times;serif"/>
                <w:color w:val="008000"/>
                <w:position w:val="7"/>
                <w:sz w:val="16"/>
                <w:sz w:val="20"/>
                <w:shd w:fill="FFFFFF" w:val="clear"/>
              </w:rPr>
              <w:t>(3)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365,879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14,600</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22.3898</w:t>
            </w:r>
            <w:r>
              <w:rPr>
                <w:rFonts w:ascii="Times;serif" w:hAnsi="Times;serif"/>
                <w:color w:val="008000"/>
                <w:position w:val="7"/>
                <w:sz w:val="16"/>
                <w:sz w:val="20"/>
                <w:shd w:fill="FFFFFF" w:val="clear"/>
              </w:rPr>
              <w:t>(4)</w:t>
            </w:r>
            <w:r>
              <w:rPr/>
              <w:t xml:space="preserve"> </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351,279</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8,720,615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herein were effected pursuant to a Rule 10b5-1 plan adopted by the reporting person on September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Common Units of Intuitive Machines, LLC may be redeemed for shares of the Issuer's Class A Common Stock on a one-to-one basis at the discretion of the holder. The Common Units do not expire. Upon the redemption of any Common Units, a number of shares of Class C Common Stock equal to the number of Common Units that are redeemed will automatically be cancelled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$21.235 to $22.23,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$22.24 to $22.75,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Vontur,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3498" TargetMode="External"/><Relationship Id="rId5" Type="http://schemas.openxmlformats.org/officeDocument/2006/relationships/hyperlink" Target="http://www.sec.gov/cgi-bin/browse-edgar?action=getcompany&amp;CIK=0001844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847</Words>
  <Characters>4475</Characters>
  <CharactersWithSpaces>5229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