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695325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715645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5" w:lineRule="exact"/>
        <w:rPr>
          <w:sz w:val="24"/>
          <w:szCs w:val="24"/>
          <w:color w:val="auto"/>
        </w:rPr>
      </w:pPr>
    </w:p>
    <w:p>
      <w:pPr>
        <w:ind w:left="4220" w:right="3640" w:hanging="4062"/>
        <w:spacing w:after="0" w:line="369" w:lineRule="auto"/>
        <w:tabs>
          <w:tab w:leader="none" w:pos="476"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31" w:lineRule="exact"/>
        <w:rPr>
          <w:sz w:val="24"/>
          <w:szCs w:val="24"/>
          <w:color w:val="auto"/>
        </w:rPr>
      </w:pPr>
    </w:p>
    <w:p>
      <w:pPr>
        <w:ind w:left="4200" w:right="3620" w:hanging="4031"/>
        <w:spacing w:after="0" w:line="363" w:lineRule="auto"/>
        <w:tabs>
          <w:tab w:leader="none" w:pos="481"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 to ______</w:t>
      </w:r>
    </w:p>
    <w:p>
      <w:pPr>
        <w:spacing w:after="0" w:line="1" w:lineRule="exact"/>
        <w:rPr>
          <w:sz w:val="24"/>
          <w:szCs w:val="24"/>
          <w:color w:val="auto"/>
        </w:rPr>
      </w:pPr>
    </w:p>
    <w:tbl>
      <w:tblPr>
        <w:tblLayout w:type="fixed"/>
        <w:tblInd w:w="1160" w:type="dxa"/>
        <w:tblCellMar>
          <w:top w:w="0" w:type="dxa"/>
          <w:left w:w="0" w:type="dxa"/>
          <w:bottom w:w="0" w:type="dxa"/>
          <w:right w:w="0" w:type="dxa"/>
        </w:tblCellMar>
      </w:tblPr>
      <w:tr>
        <w:trPr>
          <w:trHeight w:val="172"/>
        </w:trPr>
        <w:tc>
          <w:tcPr>
            <w:tcW w:w="2560" w:type="dxa"/>
            <w:vAlign w:val="bottom"/>
          </w:tcPr>
          <w:p>
            <w:pPr>
              <w:spacing w:after="0"/>
              <w:rPr>
                <w:sz w:val="14"/>
                <w:szCs w:val="14"/>
                <w:color w:val="auto"/>
              </w:rPr>
            </w:pPr>
          </w:p>
        </w:tc>
        <w:tc>
          <w:tcPr>
            <w:tcW w:w="5840" w:type="dxa"/>
            <w:vAlign w:val="bottom"/>
          </w:tcPr>
          <w:p>
            <w:pPr>
              <w:jc w:val="center"/>
              <w:ind w:right="1909"/>
              <w:spacing w:after="0"/>
              <w:rPr>
                <w:sz w:val="20"/>
                <w:szCs w:val="20"/>
                <w:color w:val="auto"/>
              </w:rPr>
            </w:pPr>
            <w:r>
              <w:rPr>
                <w:rFonts w:ascii="Times New Roman" w:cs="Times New Roman" w:eastAsia="Times New Roman" w:hAnsi="Times New Roman"/>
                <w:sz w:val="14"/>
                <w:szCs w:val="14"/>
                <w:b w:val="1"/>
                <w:bCs w:val="1"/>
                <w:color w:val="auto"/>
              </w:rPr>
              <w:t>Commission file number 001-40823</w:t>
            </w:r>
          </w:p>
        </w:tc>
      </w:tr>
      <w:tr>
        <w:trPr>
          <w:trHeight w:val="184"/>
        </w:trPr>
        <w:tc>
          <w:tcPr>
            <w:tcW w:w="2560" w:type="dxa"/>
            <w:vAlign w:val="bottom"/>
          </w:tcPr>
          <w:p>
            <w:pPr>
              <w:spacing w:after="0"/>
              <w:rPr>
                <w:sz w:val="16"/>
                <w:szCs w:val="16"/>
                <w:color w:val="auto"/>
              </w:rPr>
            </w:pPr>
          </w:p>
        </w:tc>
        <w:tc>
          <w:tcPr>
            <w:tcW w:w="5840" w:type="dxa"/>
            <w:vAlign w:val="bottom"/>
          </w:tcPr>
          <w:p>
            <w:pPr>
              <w:jc w:val="center"/>
              <w:ind w:right="1909"/>
              <w:spacing w:after="0"/>
              <w:rPr>
                <w:sz w:val="20"/>
                <w:szCs w:val="20"/>
                <w:color w:val="auto"/>
              </w:rPr>
            </w:pPr>
            <w:r>
              <w:rPr>
                <w:rFonts w:ascii="Times New Roman" w:cs="Times New Roman" w:eastAsia="Times New Roman" w:hAnsi="Times New Roman"/>
                <w:sz w:val="14"/>
                <w:szCs w:val="14"/>
                <w:color w:val="auto"/>
              </w:rPr>
              <w:t>____________________________</w:t>
            </w:r>
          </w:p>
        </w:tc>
      </w:tr>
      <w:tr>
        <w:trPr>
          <w:trHeight w:val="315"/>
        </w:trPr>
        <w:tc>
          <w:tcPr>
            <w:tcW w:w="2560" w:type="dxa"/>
            <w:vAlign w:val="bottom"/>
          </w:tcPr>
          <w:p>
            <w:pPr>
              <w:spacing w:after="0"/>
              <w:rPr>
                <w:sz w:val="24"/>
                <w:szCs w:val="24"/>
                <w:color w:val="auto"/>
              </w:rPr>
            </w:pPr>
          </w:p>
        </w:tc>
        <w:tc>
          <w:tcPr>
            <w:tcW w:w="5840" w:type="dxa"/>
            <w:vAlign w:val="bottom"/>
          </w:tcPr>
          <w:p>
            <w:pPr>
              <w:jc w:val="center"/>
              <w:ind w:right="1909"/>
              <w:spacing w:after="0"/>
              <w:rPr>
                <w:sz w:val="20"/>
                <w:szCs w:val="20"/>
                <w:color w:val="auto"/>
              </w:rPr>
            </w:pPr>
            <w:r>
              <w:rPr>
                <w:rFonts w:ascii="Times New Roman" w:cs="Times New Roman" w:eastAsia="Times New Roman" w:hAnsi="Times New Roman"/>
                <w:sz w:val="20"/>
                <w:szCs w:val="20"/>
                <w:b w:val="1"/>
                <w:bCs w:val="1"/>
                <w:color w:val="auto"/>
                <w:w w:val="98"/>
              </w:rPr>
              <w:t>INTUITIVE MACHINES, INC.</w:t>
            </w:r>
          </w:p>
        </w:tc>
      </w:tr>
      <w:tr>
        <w:trPr>
          <w:trHeight w:val="170"/>
        </w:trPr>
        <w:tc>
          <w:tcPr>
            <w:tcW w:w="2560" w:type="dxa"/>
            <w:vAlign w:val="bottom"/>
          </w:tcPr>
          <w:p>
            <w:pPr>
              <w:spacing w:after="0"/>
              <w:rPr>
                <w:sz w:val="14"/>
                <w:szCs w:val="14"/>
                <w:color w:val="auto"/>
              </w:rPr>
            </w:pPr>
          </w:p>
        </w:tc>
        <w:tc>
          <w:tcPr>
            <w:tcW w:w="5840" w:type="dxa"/>
            <w:vAlign w:val="bottom"/>
          </w:tcPr>
          <w:p>
            <w:pPr>
              <w:jc w:val="center"/>
              <w:ind w:right="192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184"/>
        </w:trPr>
        <w:tc>
          <w:tcPr>
            <w:tcW w:w="2560" w:type="dxa"/>
            <w:vAlign w:val="bottom"/>
          </w:tcPr>
          <w:p>
            <w:pPr>
              <w:spacing w:after="0"/>
              <w:rPr>
                <w:sz w:val="16"/>
                <w:szCs w:val="16"/>
                <w:color w:val="auto"/>
              </w:rPr>
            </w:pPr>
          </w:p>
        </w:tc>
        <w:tc>
          <w:tcPr>
            <w:tcW w:w="5840" w:type="dxa"/>
            <w:vAlign w:val="bottom"/>
          </w:tcPr>
          <w:p>
            <w:pPr>
              <w:jc w:val="center"/>
              <w:ind w:right="1909"/>
              <w:spacing w:after="0"/>
              <w:rPr>
                <w:sz w:val="20"/>
                <w:szCs w:val="20"/>
                <w:color w:val="auto"/>
              </w:rPr>
            </w:pPr>
            <w:r>
              <w:rPr>
                <w:rFonts w:ascii="Times New Roman" w:cs="Times New Roman" w:eastAsia="Times New Roman" w:hAnsi="Times New Roman"/>
                <w:sz w:val="14"/>
                <w:szCs w:val="14"/>
                <w:color w:val="auto"/>
              </w:rPr>
              <w:t>____________________________</w:t>
            </w:r>
          </w:p>
        </w:tc>
      </w:tr>
      <w:tr>
        <w:trPr>
          <w:trHeight w:val="286"/>
        </w:trPr>
        <w:tc>
          <w:tcPr>
            <w:tcW w:w="256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36-5056189</w:t>
            </w:r>
          </w:p>
        </w:tc>
      </w:tr>
      <w:tr>
        <w:trPr>
          <w:trHeight w:val="128"/>
        </w:trPr>
        <w:tc>
          <w:tcPr>
            <w:tcW w:w="2560" w:type="dxa"/>
            <w:vAlign w:val="bottom"/>
          </w:tcPr>
          <w:p>
            <w:pPr>
              <w:jc w:val="center"/>
              <w:ind w:right="414"/>
              <w:spacing w:after="0" w:line="128" w:lineRule="exact"/>
              <w:rPr>
                <w:sz w:val="20"/>
                <w:szCs w:val="20"/>
                <w:color w:val="auto"/>
              </w:rPr>
            </w:pPr>
            <w:r>
              <w:rPr>
                <w:rFonts w:ascii="Times New Roman" w:cs="Times New Roman" w:eastAsia="Times New Roman" w:hAnsi="Times New Roman"/>
                <w:sz w:val="13"/>
                <w:szCs w:val="13"/>
                <w:color w:val="auto"/>
                <w:w w:val="98"/>
              </w:rPr>
              <w:t>(State or other jurisdiction of</w:t>
            </w:r>
          </w:p>
        </w:tc>
        <w:tc>
          <w:tcPr>
            <w:tcW w:w="5840" w:type="dxa"/>
            <w:vAlign w:val="bottom"/>
          </w:tcPr>
          <w:p>
            <w:pPr>
              <w:jc w:val="center"/>
              <w:ind w:left="4809"/>
              <w:spacing w:after="0" w:line="128" w:lineRule="exact"/>
              <w:rPr>
                <w:sz w:val="20"/>
                <w:szCs w:val="20"/>
                <w:color w:val="auto"/>
              </w:rPr>
            </w:pPr>
            <w:r>
              <w:rPr>
                <w:rFonts w:ascii="Times New Roman" w:cs="Times New Roman" w:eastAsia="Times New Roman" w:hAnsi="Times New Roman"/>
                <w:sz w:val="13"/>
                <w:szCs w:val="13"/>
                <w:color w:val="auto"/>
                <w:w w:val="99"/>
              </w:rPr>
              <w:t>(I.R.S. Employer</w:t>
            </w:r>
          </w:p>
        </w:tc>
      </w:tr>
      <w:tr>
        <w:trPr>
          <w:trHeight w:val="165"/>
        </w:trPr>
        <w:tc>
          <w:tcPr>
            <w:tcW w:w="2560" w:type="dxa"/>
            <w:vAlign w:val="bottom"/>
          </w:tcPr>
          <w:p>
            <w:pPr>
              <w:jc w:val="center"/>
              <w:ind w:right="394"/>
              <w:spacing w:after="0"/>
              <w:rPr>
                <w:sz w:val="20"/>
                <w:szCs w:val="20"/>
                <w:color w:val="auto"/>
              </w:rPr>
            </w:pPr>
            <w:r>
              <w:rPr>
                <w:rFonts w:ascii="Times New Roman" w:cs="Times New Roman" w:eastAsia="Times New Roman" w:hAnsi="Times New Roman"/>
                <w:sz w:val="13"/>
                <w:szCs w:val="13"/>
                <w:color w:val="auto"/>
                <w:w w:val="98"/>
              </w:rPr>
              <w:t>incorporation or organization)</w:t>
            </w:r>
          </w:p>
        </w:tc>
        <w:tc>
          <w:tcPr>
            <w:tcW w:w="5840" w:type="dxa"/>
            <w:vAlign w:val="bottom"/>
          </w:tcPr>
          <w:p>
            <w:pPr>
              <w:jc w:val="center"/>
              <w:ind w:left="4809"/>
              <w:spacing w:after="0"/>
              <w:rPr>
                <w:sz w:val="20"/>
                <w:szCs w:val="20"/>
                <w:color w:val="auto"/>
              </w:rPr>
            </w:pPr>
            <w:r>
              <w:rPr>
                <w:rFonts w:ascii="Times New Roman" w:cs="Times New Roman" w:eastAsia="Times New Roman" w:hAnsi="Times New Roman"/>
                <w:sz w:val="13"/>
                <w:szCs w:val="13"/>
                <w:color w:val="auto"/>
                <w:w w:val="99"/>
              </w:rPr>
              <w:t>Identification No.)</w:t>
            </w:r>
          </w:p>
        </w:tc>
      </w:tr>
      <w:tr>
        <w:trPr>
          <w:trHeight w:val="237"/>
        </w:trPr>
        <w:tc>
          <w:tcPr>
            <w:tcW w:w="256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13467 Columbia Shuttle Street</w:t>
            </w:r>
          </w:p>
        </w:tc>
        <w:tc>
          <w:tcPr>
            <w:tcW w:w="5840" w:type="dxa"/>
            <w:vAlign w:val="bottom"/>
          </w:tcPr>
          <w:p>
            <w:pPr>
              <w:spacing w:after="0"/>
              <w:rPr>
                <w:sz w:val="20"/>
                <w:szCs w:val="20"/>
                <w:color w:val="auto"/>
              </w:rPr>
            </w:pPr>
          </w:p>
        </w:tc>
      </w:tr>
      <w:tr>
        <w:trPr>
          <w:trHeight w:val="219"/>
        </w:trPr>
        <w:tc>
          <w:tcPr>
            <w:tcW w:w="2560" w:type="dxa"/>
            <w:vAlign w:val="bottom"/>
          </w:tcPr>
          <w:p>
            <w:pPr>
              <w:jc w:val="center"/>
              <w:ind w:right="394"/>
              <w:spacing w:after="0"/>
              <w:rPr>
                <w:sz w:val="20"/>
                <w:szCs w:val="20"/>
                <w:color w:val="auto"/>
              </w:rPr>
            </w:pPr>
            <w:r>
              <w:rPr>
                <w:rFonts w:ascii="Times New Roman" w:cs="Times New Roman" w:eastAsia="Times New Roman" w:hAnsi="Times New Roman"/>
                <w:sz w:val="13"/>
                <w:szCs w:val="13"/>
                <w:b w:val="1"/>
                <w:bCs w:val="1"/>
                <w:color w:val="auto"/>
                <w:w w:val="95"/>
              </w:rPr>
              <w:t>Houston, Texas</w:t>
            </w:r>
          </w:p>
        </w:tc>
        <w:tc>
          <w:tcPr>
            <w:tcW w:w="58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77059</w:t>
            </w:r>
          </w:p>
        </w:tc>
      </w:tr>
      <w:tr>
        <w:trPr>
          <w:trHeight w:val="191"/>
        </w:trPr>
        <w:tc>
          <w:tcPr>
            <w:tcW w:w="2560" w:type="dxa"/>
            <w:vAlign w:val="bottom"/>
          </w:tcPr>
          <w:p>
            <w:pPr>
              <w:jc w:val="center"/>
              <w:ind w:right="414"/>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5840" w:type="dxa"/>
            <w:vAlign w:val="bottom"/>
          </w:tcPr>
          <w:p>
            <w:pPr>
              <w:jc w:val="center"/>
              <w:ind w:left="4809"/>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323"/>
        </w:trPr>
        <w:tc>
          <w:tcPr>
            <w:tcW w:w="2560" w:type="dxa"/>
            <w:vAlign w:val="bottom"/>
          </w:tcPr>
          <w:p>
            <w:pPr>
              <w:spacing w:after="0"/>
              <w:rPr>
                <w:sz w:val="24"/>
                <w:szCs w:val="24"/>
                <w:color w:val="auto"/>
              </w:rPr>
            </w:pPr>
          </w:p>
        </w:tc>
        <w:tc>
          <w:tcPr>
            <w:tcW w:w="5840" w:type="dxa"/>
            <w:vAlign w:val="bottom"/>
          </w:tcPr>
          <w:p>
            <w:pPr>
              <w:jc w:val="center"/>
              <w:ind w:right="1929"/>
              <w:spacing w:after="0"/>
              <w:rPr>
                <w:sz w:val="20"/>
                <w:szCs w:val="20"/>
                <w:color w:val="auto"/>
              </w:rPr>
            </w:pPr>
            <w:r>
              <w:rPr>
                <w:rFonts w:ascii="Times New Roman" w:cs="Times New Roman" w:eastAsia="Times New Roman" w:hAnsi="Times New Roman"/>
                <w:sz w:val="14"/>
                <w:szCs w:val="14"/>
                <w:b w:val="1"/>
                <w:bCs w:val="1"/>
                <w:color w:val="auto"/>
              </w:rPr>
              <w:t>(281) 520-3703</w:t>
            </w:r>
          </w:p>
        </w:tc>
      </w:tr>
      <w:tr>
        <w:trPr>
          <w:trHeight w:val="165"/>
        </w:trPr>
        <w:tc>
          <w:tcPr>
            <w:tcW w:w="2560" w:type="dxa"/>
            <w:vAlign w:val="bottom"/>
          </w:tcPr>
          <w:p>
            <w:pPr>
              <w:spacing w:after="0"/>
              <w:rPr>
                <w:sz w:val="14"/>
                <w:szCs w:val="14"/>
                <w:color w:val="auto"/>
              </w:rPr>
            </w:pPr>
          </w:p>
        </w:tc>
        <w:tc>
          <w:tcPr>
            <w:tcW w:w="5840" w:type="dxa"/>
            <w:vAlign w:val="bottom"/>
          </w:tcPr>
          <w:p>
            <w:pPr>
              <w:jc w:val="center"/>
              <w:ind w:right="1929"/>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r>
    </w:tbl>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165"/>
        </w:trPr>
        <w:tc>
          <w:tcPr>
            <w:tcW w:w="5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6"/>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LUNR</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23" w:lineRule="exact"/>
        <w:rPr>
          <w:sz w:val="24"/>
          <w:szCs w:val="24"/>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5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20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Accelerated filer</w:t>
            </w:r>
          </w:p>
        </w:tc>
        <w:tc>
          <w:tcPr>
            <w:tcW w:w="2040" w:type="dxa"/>
            <w:vAlign w:val="bottom"/>
          </w:tcPr>
          <w:p>
            <w:pPr>
              <w:ind w:left="1900"/>
              <w:spacing w:after="0"/>
              <w:rPr>
                <w:sz w:val="20"/>
                <w:szCs w:val="20"/>
                <w:color w:val="auto"/>
              </w:rPr>
            </w:pPr>
            <w:r>
              <w:rPr>
                <w:rFonts w:ascii="Wingdings" w:cs="Wingdings" w:eastAsia="Wingdings" w:hAnsi="Wingdings"/>
                <w:sz w:val="14"/>
                <w:szCs w:val="14"/>
                <w:b w:val="1"/>
                <w:bCs w:val="1"/>
                <w:color w:val="auto"/>
                <w:w w:val="95"/>
              </w:rPr>
              <w:t>o</w:t>
            </w:r>
          </w:p>
        </w:tc>
        <w:tc>
          <w:tcPr>
            <w:tcW w:w="0" w:type="dxa"/>
            <w:vAlign w:val="bottom"/>
          </w:tcPr>
          <w:p>
            <w:pPr>
              <w:spacing w:after="0"/>
              <w:rPr>
                <w:sz w:val="1"/>
                <w:szCs w:val="1"/>
                <w:color w:val="auto"/>
              </w:rPr>
            </w:pPr>
          </w:p>
        </w:tc>
      </w:tr>
      <w:tr>
        <w:trPr>
          <w:trHeight w:val="26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2020"/>
              <w:spacing w:after="0"/>
              <w:rPr>
                <w:sz w:val="20"/>
                <w:szCs w:val="20"/>
                <w:color w:val="auto"/>
              </w:rPr>
            </w:pPr>
            <w:r>
              <w:rPr>
                <w:rFonts w:ascii="Wingdings" w:cs="Wingdings" w:eastAsia="Wingdings" w:hAnsi="Wingdings"/>
                <w:sz w:val="14"/>
                <w:szCs w:val="14"/>
                <w:b w:val="1"/>
                <w:bCs w:val="1"/>
                <w:color w:val="auto"/>
              </w:rPr>
              <w:t>x</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40" w:type="dxa"/>
            <w:vAlign w:val="bottom"/>
          </w:tcPr>
          <w:p>
            <w:pPr>
              <w:ind w:left="1900"/>
              <w:spacing w:after="0"/>
              <w:rPr>
                <w:sz w:val="20"/>
                <w:szCs w:val="20"/>
                <w:color w:val="auto"/>
              </w:rPr>
            </w:pPr>
            <w:r>
              <w:rPr>
                <w:rFonts w:ascii="Wingdings" w:cs="Wingdings" w:eastAsia="Wingdings" w:hAnsi="Wingdings"/>
                <w:sz w:val="14"/>
                <w:szCs w:val="14"/>
                <w:b w:val="1"/>
                <w:bCs w:val="1"/>
                <w:color w:val="auto"/>
                <w:w w:val="95"/>
              </w:rPr>
              <w:t>o</w:t>
            </w:r>
          </w:p>
        </w:tc>
        <w:tc>
          <w:tcPr>
            <w:tcW w:w="0" w:type="dxa"/>
            <w:vAlign w:val="bottom"/>
          </w:tcPr>
          <w:p>
            <w:pPr>
              <w:spacing w:after="0"/>
              <w:rPr>
                <w:sz w:val="1"/>
                <w:szCs w:val="1"/>
                <w:color w:val="auto"/>
              </w:rPr>
            </w:pPr>
          </w:p>
        </w:tc>
      </w:tr>
      <w:tr>
        <w:trPr>
          <w:trHeight w:val="194"/>
        </w:trPr>
        <w:tc>
          <w:tcPr>
            <w:tcW w:w="33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40" w:type="dxa"/>
            <w:vAlign w:val="bottom"/>
            <w:vMerge w:val="restart"/>
          </w:tcPr>
          <w:p>
            <w:pPr>
              <w:ind w:left="1900"/>
              <w:spacing w:after="0"/>
              <w:rPr>
                <w:sz w:val="20"/>
                <w:szCs w:val="20"/>
                <w:color w:val="auto"/>
              </w:rPr>
            </w:pPr>
            <w:r>
              <w:rPr>
                <w:rFonts w:ascii="Wingdings" w:cs="Wingdings" w:eastAsia="Wingdings" w:hAnsi="Wingdings"/>
                <w:sz w:val="14"/>
                <w:szCs w:val="14"/>
                <w:b w:val="1"/>
                <w:bCs w:val="1"/>
                <w:color w:val="auto"/>
                <w:w w:val="80"/>
              </w:rPr>
              <w:t>x</w:t>
            </w:r>
          </w:p>
        </w:tc>
        <w:tc>
          <w:tcPr>
            <w:tcW w:w="0" w:type="dxa"/>
            <w:vAlign w:val="bottom"/>
          </w:tcPr>
          <w:p>
            <w:pPr>
              <w:spacing w:after="0"/>
              <w:rPr>
                <w:sz w:val="1"/>
                <w:szCs w:val="1"/>
                <w:color w:val="auto"/>
              </w:rPr>
            </w:pPr>
          </w:p>
        </w:tc>
      </w:tr>
      <w:tr>
        <w:trPr>
          <w:trHeight w:val="71"/>
        </w:trPr>
        <w:tc>
          <w:tcPr>
            <w:tcW w:w="33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4"/>
          <w:szCs w:val="24"/>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00" w:lineRule="exact"/>
        <w:rPr>
          <w:sz w:val="24"/>
          <w:szCs w:val="24"/>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As of May 7, 2026, the Registrant had 160,452,309 shares of Class A common stock, $0.0001 par value per share, 0 shares of Class B common stock, $0.0001 par value per share, and 56,568,640 shares of Class C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581025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61595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127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80" w:type="dxa"/>
            <w:vAlign w:val="bottom"/>
            <w:gridSpan w:val="3"/>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rPr>
              <w:t>INTUITIVE MACHINES, INC.</w:t>
            </w:r>
          </w:p>
        </w:tc>
        <w:tc>
          <w:tcPr>
            <w:tcW w:w="124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00" w:type="dxa"/>
            <w:vAlign w:val="bottom"/>
            <w:gridSpan w:val="2"/>
          </w:tcPr>
          <w:p>
            <w:pPr>
              <w:jc w:val="center"/>
              <w:ind w:right="348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240" w:type="dxa"/>
            <w:vAlign w:val="bottom"/>
          </w:tcPr>
          <w:p>
            <w:pPr>
              <w:spacing w:after="0"/>
              <w:rPr>
                <w:sz w:val="24"/>
                <w:szCs w:val="24"/>
                <w:color w:val="auto"/>
              </w:rPr>
            </w:pPr>
          </w:p>
        </w:tc>
      </w:tr>
      <w:tr>
        <w:trPr>
          <w:trHeight w:val="319"/>
        </w:trPr>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Page</w:t>
            </w:r>
          </w:p>
        </w:tc>
      </w:tr>
      <w:tr>
        <w:trPr>
          <w:trHeight w:val="129"/>
        </w:trPr>
        <w:tc>
          <w:tcPr>
            <w:tcW w:w="20" w:type="dxa"/>
            <w:vAlign w:val="bottom"/>
            <w:shd w:val="clear" w:color="auto" w:fill="CCEEFF"/>
          </w:tcPr>
          <w:p>
            <w:pPr>
              <w:spacing w:after="0"/>
              <w:rPr>
                <w:sz w:val="11"/>
                <w:szCs w:val="11"/>
                <w:color w:val="auto"/>
              </w:rPr>
            </w:pPr>
          </w:p>
        </w:tc>
        <w:tc>
          <w:tcPr>
            <w:tcW w:w="10020" w:type="dxa"/>
            <w:vAlign w:val="bottom"/>
            <w:gridSpan w:val="20"/>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3051F2"/>
              </w:rPr>
              <w:t>Part I – Financial Information</w:t>
            </w:r>
          </w:p>
        </w:tc>
        <w:tc>
          <w:tcPr>
            <w:tcW w:w="12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3051F2"/>
            </w:tcBorders>
            <w:shd w:val="clear" w:color="auto" w:fill="CCEEFF"/>
          </w:tcPr>
          <w:p>
            <w:pPr>
              <w:spacing w:after="0" w:line="20" w:lineRule="exact"/>
              <w:rPr>
                <w:sz w:val="1"/>
                <w:szCs w:val="1"/>
                <w:color w:val="auto"/>
              </w:rPr>
            </w:pPr>
          </w:p>
        </w:tc>
        <w:tc>
          <w:tcPr>
            <w:tcW w:w="14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3051F2"/>
            </w:tcBorders>
            <w:shd w:val="clear" w:color="auto" w:fill="CCEEFF"/>
          </w:tcPr>
          <w:p>
            <w:pPr>
              <w:spacing w:after="0" w:line="20" w:lineRule="exact"/>
              <w:rPr>
                <w:sz w:val="1"/>
                <w:szCs w:val="1"/>
                <w:color w:val="auto"/>
              </w:rPr>
            </w:pPr>
          </w:p>
        </w:tc>
        <w:tc>
          <w:tcPr>
            <w:tcW w:w="120" w:type="dxa"/>
            <w:vAlign w:val="bottom"/>
            <w:tcBorders>
              <w:top w:val="single" w:sz="8" w:color="3051F2"/>
            </w:tcBorders>
            <w:shd w:val="clear" w:color="auto" w:fill="CCEEFF"/>
          </w:tcPr>
          <w:p>
            <w:pPr>
              <w:spacing w:after="0" w:line="20" w:lineRule="exact"/>
              <w:rPr>
                <w:sz w:val="1"/>
                <w:szCs w:val="1"/>
                <w:color w:val="auto"/>
              </w:rPr>
            </w:pPr>
          </w:p>
        </w:tc>
        <w:tc>
          <w:tcPr>
            <w:tcW w:w="140" w:type="dxa"/>
            <w:vAlign w:val="bottom"/>
            <w:tcBorders>
              <w:top w:val="single" w:sz="8" w:color="3051F2"/>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52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3051F2"/>
              </w:rPr>
              <w:t>Item 1. Financial Statements</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26"/>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3051F2"/>
            </w:tcBorders>
            <w:shd w:val="clear" w:color="auto" w:fill="3051F2"/>
          </w:tcPr>
          <w:p>
            <w:pPr>
              <w:spacing w:after="0"/>
              <w:rPr>
                <w:sz w:val="2"/>
                <w:szCs w:val="2"/>
                <w:color w:val="auto"/>
              </w:rPr>
            </w:pPr>
          </w:p>
        </w:tc>
        <w:tc>
          <w:tcPr>
            <w:tcW w:w="780" w:type="dxa"/>
            <w:vAlign w:val="bottom"/>
            <w:shd w:val="clear" w:color="auto" w:fill="3051F2"/>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14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2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938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3051F2"/>
              </w:rPr>
              <w:t>Unaudited Condensed Consolidated Balance Sheets</w:t>
            </w:r>
          </w:p>
        </w:tc>
        <w:tc>
          <w:tcPr>
            <w:tcW w:w="12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w:t>
            </w:r>
          </w:p>
        </w:tc>
      </w:tr>
      <w:tr>
        <w:trPr>
          <w:trHeight w:val="32"/>
        </w:trPr>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3051F2"/>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14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2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220" w:type="dxa"/>
            <w:vAlign w:val="bottom"/>
            <w:shd w:val="clear" w:color="auto" w:fill="3051F2"/>
          </w:tcPr>
          <w:p>
            <w:pPr>
              <w:spacing w:after="0"/>
              <w:rPr>
                <w:sz w:val="2"/>
                <w:szCs w:val="2"/>
                <w:color w:val="auto"/>
              </w:rPr>
            </w:pPr>
          </w:p>
        </w:tc>
        <w:tc>
          <w:tcPr>
            <w:tcW w:w="440" w:type="dxa"/>
            <w:vAlign w:val="bottom"/>
            <w:shd w:val="clear" w:color="auto" w:fill="3051F2"/>
          </w:tcPr>
          <w:p>
            <w:pPr>
              <w:spacing w:after="0"/>
              <w:rPr>
                <w:sz w:val="2"/>
                <w:szCs w:val="2"/>
                <w:color w:val="auto"/>
              </w:rPr>
            </w:pPr>
          </w:p>
        </w:tc>
        <w:tc>
          <w:tcPr>
            <w:tcW w:w="780" w:type="dxa"/>
            <w:vAlign w:val="bottom"/>
            <w:shd w:val="clear" w:color="auto" w:fill="3051F2"/>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00" w:type="dxa"/>
            <w:vAlign w:val="bottom"/>
            <w:tcBorders>
              <w:bottom w:val="single" w:sz="8" w:color="3051F2"/>
            </w:tcBorders>
            <w:gridSpan w:val="11"/>
          </w:tcPr>
          <w:p>
            <w:pPr>
              <w:spacing w:after="0" w:line="149" w:lineRule="exact"/>
              <w:rPr>
                <w:sz w:val="20"/>
                <w:szCs w:val="20"/>
                <w:color w:val="auto"/>
              </w:rPr>
            </w:pPr>
            <w:r>
              <w:rPr>
                <w:rFonts w:ascii="Times New Roman" w:cs="Times New Roman" w:eastAsia="Times New Roman" w:hAnsi="Times New Roman"/>
                <w:sz w:val="14"/>
                <w:szCs w:val="14"/>
                <w:color w:val="3051F2"/>
              </w:rPr>
              <w:t>Unaudited Condensed Consolidated Statements of Operations</w:t>
            </w:r>
          </w:p>
        </w:tc>
        <w:tc>
          <w:tcPr>
            <w:tcW w:w="5880" w:type="dxa"/>
            <w:vAlign w:val="bottom"/>
            <w:gridSpan w:val="7"/>
          </w:tcPr>
          <w:p>
            <w:pPr>
              <w:spacing w:after="0"/>
              <w:rPr>
                <w:sz w:val="13"/>
                <w:szCs w:val="13"/>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54"/>
        </w:trPr>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938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3051F2"/>
              </w:rPr>
              <w:t>Unaudited Condensed Consolidated Statements of Mezzanine Equity</w:t>
            </w:r>
          </w:p>
        </w:tc>
        <w:tc>
          <w:tcPr>
            <w:tcW w:w="12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r>
      <w:tr>
        <w:trPr>
          <w:trHeight w:val="32"/>
        </w:trPr>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3051F2"/>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140" w:type="dxa"/>
            <w:vAlign w:val="bottom"/>
            <w:shd w:val="clear" w:color="auto" w:fill="3051F2"/>
          </w:tcPr>
          <w:p>
            <w:pPr>
              <w:spacing w:after="0"/>
              <w:rPr>
                <w:sz w:val="2"/>
                <w:szCs w:val="2"/>
                <w:color w:val="auto"/>
              </w:rPr>
            </w:pPr>
          </w:p>
        </w:tc>
        <w:tc>
          <w:tcPr>
            <w:tcW w:w="80" w:type="dxa"/>
            <w:vAlign w:val="bottom"/>
            <w:shd w:val="clear" w:color="auto" w:fill="3051F2"/>
          </w:tcPr>
          <w:p>
            <w:pPr>
              <w:spacing w:after="0"/>
              <w:rPr>
                <w:sz w:val="2"/>
                <w:szCs w:val="2"/>
                <w:color w:val="auto"/>
              </w:rPr>
            </w:pPr>
          </w:p>
        </w:tc>
        <w:tc>
          <w:tcPr>
            <w:tcW w:w="220" w:type="dxa"/>
            <w:vAlign w:val="bottom"/>
            <w:shd w:val="clear" w:color="auto" w:fill="3051F2"/>
          </w:tcPr>
          <w:p>
            <w:pPr>
              <w:spacing w:after="0"/>
              <w:rPr>
                <w:sz w:val="2"/>
                <w:szCs w:val="2"/>
                <w:color w:val="auto"/>
              </w:rPr>
            </w:pPr>
          </w:p>
        </w:tc>
        <w:tc>
          <w:tcPr>
            <w:tcW w:w="20" w:type="dxa"/>
            <w:vAlign w:val="bottom"/>
            <w:shd w:val="clear" w:color="auto" w:fill="3051F2"/>
          </w:tcPr>
          <w:p>
            <w:pPr>
              <w:spacing w:after="0"/>
              <w:rPr>
                <w:sz w:val="2"/>
                <w:szCs w:val="2"/>
                <w:color w:val="auto"/>
              </w:rPr>
            </w:pPr>
          </w:p>
        </w:tc>
        <w:tc>
          <w:tcPr>
            <w:tcW w:w="120" w:type="dxa"/>
            <w:vAlign w:val="bottom"/>
            <w:shd w:val="clear" w:color="auto" w:fill="3051F2"/>
          </w:tcPr>
          <w:p>
            <w:pPr>
              <w:spacing w:after="0"/>
              <w:rPr>
                <w:sz w:val="2"/>
                <w:szCs w:val="2"/>
                <w:color w:val="auto"/>
              </w:rPr>
            </w:pPr>
          </w:p>
        </w:tc>
        <w:tc>
          <w:tcPr>
            <w:tcW w:w="220" w:type="dxa"/>
            <w:vAlign w:val="bottom"/>
            <w:shd w:val="clear" w:color="auto" w:fill="3051F2"/>
          </w:tcPr>
          <w:p>
            <w:pPr>
              <w:spacing w:after="0"/>
              <w:rPr>
                <w:sz w:val="2"/>
                <w:szCs w:val="2"/>
                <w:color w:val="auto"/>
              </w:rPr>
            </w:pPr>
          </w:p>
        </w:tc>
        <w:tc>
          <w:tcPr>
            <w:tcW w:w="440" w:type="dxa"/>
            <w:vAlign w:val="bottom"/>
            <w:shd w:val="clear" w:color="auto" w:fill="3051F2"/>
          </w:tcPr>
          <w:p>
            <w:pPr>
              <w:spacing w:after="0"/>
              <w:rPr>
                <w:sz w:val="2"/>
                <w:szCs w:val="2"/>
                <w:color w:val="auto"/>
              </w:rPr>
            </w:pPr>
          </w:p>
        </w:tc>
        <w:tc>
          <w:tcPr>
            <w:tcW w:w="780" w:type="dxa"/>
            <w:vAlign w:val="bottom"/>
            <w:shd w:val="clear" w:color="auto" w:fill="3051F2"/>
          </w:tcPr>
          <w:p>
            <w:pPr>
              <w:spacing w:after="0"/>
              <w:rPr>
                <w:sz w:val="2"/>
                <w:szCs w:val="2"/>
                <w:color w:val="auto"/>
              </w:rPr>
            </w:pPr>
          </w:p>
        </w:tc>
        <w:tc>
          <w:tcPr>
            <w:tcW w:w="580" w:type="dxa"/>
            <w:vAlign w:val="bottom"/>
            <w:shd w:val="clear" w:color="auto" w:fill="3051F2"/>
          </w:tcPr>
          <w:p>
            <w:pPr>
              <w:spacing w:after="0"/>
              <w:rPr>
                <w:sz w:val="2"/>
                <w:szCs w:val="2"/>
                <w:color w:val="auto"/>
              </w:rPr>
            </w:pPr>
          </w:p>
        </w:tc>
        <w:tc>
          <w:tcPr>
            <w:tcW w:w="40" w:type="dxa"/>
            <w:vAlign w:val="bottom"/>
            <w:shd w:val="clear" w:color="auto" w:fill="3051F2"/>
          </w:tcPr>
          <w:p>
            <w:pPr>
              <w:spacing w:after="0"/>
              <w:rPr>
                <w:sz w:val="2"/>
                <w:szCs w:val="2"/>
                <w:color w:val="auto"/>
              </w:rPr>
            </w:pPr>
          </w:p>
        </w:tc>
        <w:tc>
          <w:tcPr>
            <w:tcW w:w="180" w:type="dxa"/>
            <w:vAlign w:val="bottom"/>
            <w:shd w:val="clear" w:color="auto" w:fill="3051F2"/>
          </w:tcPr>
          <w:p>
            <w:pPr>
              <w:spacing w:after="0"/>
              <w:rPr>
                <w:sz w:val="2"/>
                <w:szCs w:val="2"/>
                <w:color w:val="auto"/>
              </w:rPr>
            </w:pPr>
          </w:p>
        </w:tc>
        <w:tc>
          <w:tcPr>
            <w:tcW w:w="40" w:type="dxa"/>
            <w:vAlign w:val="bottom"/>
            <w:shd w:val="clear" w:color="auto" w:fill="3051F2"/>
          </w:tcPr>
          <w:p>
            <w:pPr>
              <w:spacing w:after="0"/>
              <w:rPr>
                <w:sz w:val="2"/>
                <w:szCs w:val="2"/>
                <w:color w:val="auto"/>
              </w:rPr>
            </w:pPr>
          </w:p>
        </w:tc>
        <w:tc>
          <w:tcPr>
            <w:tcW w:w="140" w:type="dxa"/>
            <w:vAlign w:val="bottom"/>
            <w:shd w:val="clear" w:color="auto" w:fill="3051F2"/>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38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Unaudited Condensed Consolidated Statements of Shareholders’ Deficit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3540" w:type="dxa"/>
            <w:vAlign w:val="bottom"/>
            <w:tcBorders>
              <w:top w:val="single" w:sz="8" w:color="0000FF"/>
              <w:bottom w:val="single" w:sz="8" w:color="3051F2"/>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3051F2"/>
              </w:rPr>
              <w:t>Unaudited Condensed Consolidated Statements of Cash Flows</w:t>
            </w:r>
          </w:p>
        </w:tc>
        <w:tc>
          <w:tcPr>
            <w:tcW w:w="54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5300" w:type="dxa"/>
            <w:vAlign w:val="bottom"/>
            <w:tcBorders>
              <w:bottom w:val="single" w:sz="8" w:color="CCEEFF"/>
            </w:tcBorders>
            <w:gridSpan w:val="2"/>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r>
      <w:tr>
        <w:trPr>
          <w:trHeight w:val="154"/>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60" w:type="dxa"/>
            <w:vAlign w:val="bottom"/>
            <w:tcBorders>
              <w:bottom w:val="single" w:sz="8" w:color="3051F2"/>
            </w:tcBorders>
            <w:gridSpan w:val="14"/>
          </w:tcPr>
          <w:p>
            <w:pPr>
              <w:spacing w:after="0" w:line="149" w:lineRule="exact"/>
              <w:rPr>
                <w:sz w:val="20"/>
                <w:szCs w:val="20"/>
                <w:color w:val="auto"/>
              </w:rPr>
            </w:pPr>
            <w:r>
              <w:rPr>
                <w:rFonts w:ascii="Times New Roman" w:cs="Times New Roman" w:eastAsia="Times New Roman" w:hAnsi="Times New Roman"/>
                <w:sz w:val="14"/>
                <w:szCs w:val="14"/>
                <w:color w:val="3051F2"/>
              </w:rPr>
              <w:t>Notes to Unaudited Condensed Consolidated Financial Statements</w:t>
            </w:r>
          </w:p>
        </w:tc>
        <w:tc>
          <w:tcPr>
            <w:tcW w:w="5620" w:type="dxa"/>
            <w:vAlign w:val="bottom"/>
            <w:gridSpan w:val="4"/>
          </w:tcPr>
          <w:p>
            <w:pPr>
              <w:spacing w:after="0"/>
              <w:rPr>
                <w:sz w:val="13"/>
                <w:szCs w:val="13"/>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5520" w:type="dxa"/>
            <w:vAlign w:val="bottom"/>
            <w:tcBorders>
              <w:bottom w:val="single" w:sz="8" w:color="3051F2"/>
            </w:tcBorders>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3051F2"/>
              </w:rPr>
              <w:t>Item 2. Management’s Discussion and Analysis of Financial Condition and Results of Operations</w:t>
            </w:r>
          </w:p>
        </w:tc>
        <w:tc>
          <w:tcPr>
            <w:tcW w:w="40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w:t>
            </w:r>
          </w:p>
        </w:tc>
      </w:tr>
      <w:tr>
        <w:trPr>
          <w:trHeight w:val="154"/>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52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3051F2"/>
              </w:rPr>
              <w:t>Item 3. Quantitative and Qualitative Disclosures About Market Risk</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top w:val="single" w:sz="8" w:color="3051F2"/>
              <w:bottom w:val="single" w:sz="8" w:color="3051F2"/>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3051F2"/>
              </w:rPr>
              <w:t>Item 4. Controls and Procedures</w:t>
            </w:r>
          </w:p>
        </w:tc>
        <w:tc>
          <w:tcPr>
            <w:tcW w:w="2020" w:type="dxa"/>
            <w:vAlign w:val="bottom"/>
            <w:tcBorders>
              <w:top w:val="single" w:sz="8" w:color="3051F2"/>
              <w:bottom w:val="single" w:sz="8" w:color="CCEEFF"/>
            </w:tcBorders>
            <w:gridSpan w:val="5"/>
            <w:shd w:val="clear" w:color="auto" w:fill="CCEEFF"/>
          </w:tcPr>
          <w:p>
            <w:pPr>
              <w:spacing w:after="0"/>
              <w:rPr>
                <w:sz w:val="14"/>
                <w:szCs w:val="14"/>
                <w:color w:val="auto"/>
              </w:rPr>
            </w:pPr>
          </w:p>
        </w:tc>
        <w:tc>
          <w:tcPr>
            <w:tcW w:w="5660" w:type="dxa"/>
            <w:vAlign w:val="bottom"/>
            <w:tcBorders>
              <w:bottom w:val="single" w:sz="8" w:color="CCEEFF"/>
            </w:tcBorders>
            <w:gridSpan w:val="5"/>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52</w:t>
            </w:r>
          </w:p>
        </w:tc>
      </w:tr>
      <w:tr>
        <w:trPr>
          <w:trHeight w:val="154"/>
        </w:trPr>
        <w:tc>
          <w:tcPr>
            <w:tcW w:w="20" w:type="dxa"/>
            <w:vAlign w:val="bottom"/>
          </w:tcPr>
          <w:p>
            <w:pPr>
              <w:spacing w:after="0"/>
              <w:rPr>
                <w:sz w:val="13"/>
                <w:szCs w:val="13"/>
                <w:color w:val="auto"/>
              </w:rPr>
            </w:pPr>
          </w:p>
        </w:tc>
        <w:tc>
          <w:tcPr>
            <w:tcW w:w="1540" w:type="dxa"/>
            <w:vAlign w:val="bottom"/>
            <w:tcBorders>
              <w:bottom w:val="single" w:sz="8" w:color="3051F2"/>
            </w:tcBorders>
            <w:gridSpan w:val="4"/>
          </w:tcPr>
          <w:p>
            <w:pPr>
              <w:spacing w:after="0" w:line="149" w:lineRule="exact"/>
              <w:rPr>
                <w:sz w:val="20"/>
                <w:szCs w:val="20"/>
                <w:color w:val="auto"/>
              </w:rPr>
            </w:pPr>
            <w:r>
              <w:rPr>
                <w:rFonts w:ascii="Times New Roman" w:cs="Times New Roman" w:eastAsia="Times New Roman" w:hAnsi="Times New Roman"/>
                <w:sz w:val="14"/>
                <w:szCs w:val="14"/>
                <w:color w:val="3051F2"/>
              </w:rPr>
              <w:t>Part II – Other Information</w:t>
            </w:r>
          </w:p>
        </w:tc>
        <w:tc>
          <w:tcPr>
            <w:tcW w:w="8480" w:type="dxa"/>
            <w:vAlign w:val="bottom"/>
            <w:gridSpan w:val="16"/>
          </w:tcPr>
          <w:p>
            <w:pPr>
              <w:spacing w:after="0"/>
              <w:rPr>
                <w:sz w:val="13"/>
                <w:szCs w:val="13"/>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3051F2"/>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3051F2"/>
              </w:rPr>
              <w:t>Item 1. Legal Proceedings</w:t>
            </w:r>
          </w:p>
        </w:tc>
        <w:tc>
          <w:tcPr>
            <w:tcW w:w="8020" w:type="dxa"/>
            <w:vAlign w:val="bottom"/>
            <w:tcBorders>
              <w:bottom w:val="single" w:sz="8" w:color="CCEEFF"/>
            </w:tcBorders>
            <w:gridSpan w:val="12"/>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w:t>
            </w:r>
          </w:p>
        </w:tc>
      </w:tr>
      <w:tr>
        <w:trPr>
          <w:trHeight w:val="154"/>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Borders>
              <w:bottom w:val="single" w:sz="8" w:color="3051F2"/>
            </w:tcBorders>
            <w:gridSpan w:val="5"/>
          </w:tcPr>
          <w:p>
            <w:pPr>
              <w:spacing w:after="0" w:line="149" w:lineRule="exact"/>
              <w:rPr>
                <w:sz w:val="20"/>
                <w:szCs w:val="20"/>
                <w:color w:val="auto"/>
              </w:rPr>
            </w:pPr>
            <w:r>
              <w:rPr>
                <w:rFonts w:ascii="Times New Roman" w:cs="Times New Roman" w:eastAsia="Times New Roman" w:hAnsi="Times New Roman"/>
                <w:sz w:val="14"/>
                <w:szCs w:val="14"/>
                <w:color w:val="3051F2"/>
              </w:rPr>
              <w:t>Item 1A. Risk Factors</w:t>
            </w:r>
          </w:p>
        </w:tc>
        <w:tc>
          <w:tcPr>
            <w:tcW w:w="8260" w:type="dxa"/>
            <w:vAlign w:val="bottom"/>
            <w:gridSpan w:val="14"/>
          </w:tcPr>
          <w:p>
            <w:pPr>
              <w:spacing w:after="0"/>
              <w:rPr>
                <w:sz w:val="13"/>
                <w:szCs w:val="13"/>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r>
      <w:tr>
        <w:trPr>
          <w:trHeight w:val="166"/>
        </w:trPr>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52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3051F2"/>
              </w:rPr>
              <w:t>Item 2. Unregistered Sales of Equity Securities and Use of Proceeds</w:t>
            </w:r>
          </w:p>
        </w:tc>
        <w:tc>
          <w:tcPr>
            <w:tcW w:w="12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w:t>
            </w:r>
          </w:p>
        </w:tc>
      </w:tr>
      <w:tr>
        <w:trPr>
          <w:trHeight w:val="154"/>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280" w:type="dxa"/>
            <w:vAlign w:val="bottom"/>
            <w:tcBorders>
              <w:top w:val="single" w:sz="8" w:color="3051F2"/>
              <w:bottom w:val="single" w:sz="8" w:color="3051F2"/>
            </w:tcBorders>
            <w:gridSpan w:val="10"/>
          </w:tcPr>
          <w:p>
            <w:pPr>
              <w:spacing w:after="0" w:line="149" w:lineRule="exact"/>
              <w:rPr>
                <w:sz w:val="20"/>
                <w:szCs w:val="20"/>
                <w:color w:val="auto"/>
              </w:rPr>
            </w:pPr>
            <w:r>
              <w:rPr>
                <w:rFonts w:ascii="Times New Roman" w:cs="Times New Roman" w:eastAsia="Times New Roman" w:hAnsi="Times New Roman"/>
                <w:sz w:val="14"/>
                <w:szCs w:val="14"/>
                <w:color w:val="3051F2"/>
              </w:rPr>
              <w:t>Item 3. Defaults Upon Senior Securities</w:t>
            </w:r>
          </w:p>
        </w:tc>
        <w:tc>
          <w:tcPr>
            <w:tcW w:w="1580" w:type="dxa"/>
            <w:vAlign w:val="bottom"/>
            <w:tcBorders>
              <w:top w:val="single" w:sz="8" w:color="3051F2"/>
            </w:tcBorders>
            <w:gridSpan w:val="4"/>
          </w:tcPr>
          <w:p>
            <w:pPr>
              <w:spacing w:after="0"/>
              <w:rPr>
                <w:sz w:val="13"/>
                <w:szCs w:val="13"/>
                <w:color w:val="auto"/>
              </w:rPr>
            </w:pPr>
          </w:p>
        </w:tc>
        <w:tc>
          <w:tcPr>
            <w:tcW w:w="5660" w:type="dxa"/>
            <w:vAlign w:val="bottom"/>
            <w:tcBorders>
              <w:top w:val="single" w:sz="8" w:color="CCEEFF"/>
            </w:tcBorders>
            <w:gridSpan w:val="5"/>
          </w:tcPr>
          <w:p>
            <w:pPr>
              <w:spacing w:after="0"/>
              <w:rPr>
                <w:sz w:val="13"/>
                <w:szCs w:val="13"/>
                <w:color w:val="auto"/>
              </w:rPr>
            </w:pPr>
          </w:p>
        </w:tc>
        <w:tc>
          <w:tcPr>
            <w:tcW w:w="124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3051F2"/>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3051F2"/>
              </w:rPr>
              <w:t>Item 4. Mine Safety Disclosures</w:t>
            </w:r>
          </w:p>
        </w:tc>
        <w:tc>
          <w:tcPr>
            <w:tcW w:w="7680" w:type="dxa"/>
            <w:vAlign w:val="bottom"/>
            <w:tcBorders>
              <w:bottom w:val="single" w:sz="8" w:color="CCEEFF"/>
            </w:tcBorders>
            <w:gridSpan w:val="10"/>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w:t>
            </w:r>
          </w:p>
        </w:tc>
      </w:tr>
      <w:tr>
        <w:trPr>
          <w:trHeight w:val="154"/>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Borders>
              <w:bottom w:val="single" w:sz="8" w:color="3051F2"/>
            </w:tcBorders>
            <w:gridSpan w:val="6"/>
          </w:tcPr>
          <w:p>
            <w:pPr>
              <w:spacing w:after="0" w:line="149" w:lineRule="exact"/>
              <w:rPr>
                <w:sz w:val="20"/>
                <w:szCs w:val="20"/>
                <w:color w:val="auto"/>
              </w:rPr>
            </w:pPr>
            <w:r>
              <w:rPr>
                <w:rFonts w:ascii="Times New Roman" w:cs="Times New Roman" w:eastAsia="Times New Roman" w:hAnsi="Times New Roman"/>
                <w:sz w:val="14"/>
                <w:szCs w:val="14"/>
                <w:color w:val="3051F2"/>
              </w:rPr>
              <w:t>Item 5. Other Information</w:t>
            </w:r>
          </w:p>
        </w:tc>
        <w:tc>
          <w:tcPr>
            <w:tcW w:w="8040" w:type="dxa"/>
            <w:vAlign w:val="bottom"/>
            <w:gridSpan w:val="13"/>
          </w:tcPr>
          <w:p>
            <w:pPr>
              <w:spacing w:after="0"/>
              <w:rPr>
                <w:sz w:val="13"/>
                <w:szCs w:val="13"/>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3051F2"/>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3051F2"/>
              </w:rPr>
              <w:t>Item 6. Exhibits</w:t>
            </w:r>
          </w:p>
        </w:tc>
        <w:tc>
          <w:tcPr>
            <w:tcW w:w="8600" w:type="dxa"/>
            <w:vAlign w:val="bottom"/>
            <w:tcBorders>
              <w:bottom w:val="single" w:sz="8" w:color="CCEEFF"/>
            </w:tcBorders>
            <w:gridSpan w:val="17"/>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54</w:t>
            </w:r>
          </w:p>
        </w:tc>
      </w:tr>
      <w:tr>
        <w:trPr>
          <w:trHeight w:val="149"/>
        </w:trPr>
        <w:tc>
          <w:tcPr>
            <w:tcW w:w="20" w:type="dxa"/>
            <w:vAlign w:val="bottom"/>
          </w:tcPr>
          <w:p>
            <w:pPr>
              <w:spacing w:after="0"/>
              <w:rPr>
                <w:sz w:val="12"/>
                <w:szCs w:val="12"/>
                <w:color w:val="auto"/>
              </w:rPr>
            </w:pPr>
          </w:p>
        </w:tc>
        <w:tc>
          <w:tcPr>
            <w:tcW w:w="100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3051F2"/>
              </w:rPr>
              <w:t>Signatures</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r>
      <w:tr>
        <w:trPr>
          <w:trHeight w:val="798"/>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3051F2"/>
              <w:bottom w:val="single" w:sz="8" w:color="9A9A9A"/>
            </w:tcBorders>
          </w:tcPr>
          <w:p>
            <w:pPr>
              <w:spacing w:after="0"/>
              <w:rPr>
                <w:sz w:val="24"/>
                <w:szCs w:val="24"/>
                <w:color w:val="auto"/>
              </w:rPr>
            </w:pPr>
          </w:p>
        </w:tc>
        <w:tc>
          <w:tcPr>
            <w:tcW w:w="140" w:type="dxa"/>
            <w:vAlign w:val="bottom"/>
            <w:tcBorders>
              <w:top w:val="single" w:sz="8" w:color="3051F2"/>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 w:name="page3"/>
    <w:bookmarkEnd w:id="2"/>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Each of the terms the “Company,” “Intuitive Machines,” “IM,” “we,” “us,” or “our” and similar terms used herein refer collectively to Intuitive Machines, Inc. (formerly known as Inflection Point Acquisition Corp or “IPAX”) and its consolidated subsidiaries, unless otherwise stated.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This Quarterly Report on Form 10-Q (the “Quarterly Report”) contains “forward-looking statements” within the meaning of the Private Securities Litigation Reform Act of 1995, as amended. All statements other than statements of historical facts contained in this Quarterly Report are forward-looking statements.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our expectations and plans relating to our missions to the Moon and other projects,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These forward-looking statements reflect our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Quarterly Report:</w:t>
      </w:r>
    </w:p>
    <w:p>
      <w:pPr>
        <w:spacing w:after="0" w:line="284"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upon the efforts of our key personnel and Board of Directors (the “Board”) to be successful;</w:t>
      </w:r>
    </w:p>
    <w:p>
      <w:pPr>
        <w:spacing w:after="0" w:line="10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growing our business, we have made and may continue to make acquisitions. Any acquisitions, partnerships or joint ventures into which we enter subject to integration risks and could disrupt our operations;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manage our growth effectively and failure to win new contracts;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a sustainable order rate for the satellite and space operations and develop new technologies to meet the needs of our customers or potential new customers;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 concentration;</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operating history;</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existing or new companies;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U.S. government operations and funding, including government shutdowns;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unsatisfactory safety performance of our spaceflight systems or security incidents at our facilities;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the market for commercial spaceflight to achieve the growth potential we expect;</w:t>
      </w:r>
    </w:p>
    <w:p>
      <w:pPr>
        <w:spacing w:after="0" w:line="104"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launches, launch failures, failure of landers to conduct all mission milestones, failure of our satellites to reach their planned orbital locations, failure of lunar landers to reach their planned locations, significant increases in the costs related to the launches of satellites and lunar landers, and insufficient capacity available from satellite developers and launch service providers;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commercial spaceflight, including any accident on launch or during the journey into space;</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handling, production and disposition of potentially explosive and ignitable energetic materials and other dangerous chemicals in our operations;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a limited number of suppliers for certain materials and supplied components, including a single launch service provider for our lunar missions;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products to operate in the expected manner or defects in our sub-systems;</w:t>
      </w:r>
    </w:p>
    <w:p>
      <w:pPr>
        <w:spacing w:after="0" w:line="11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revenue and operating results of the satellite integrated build capability are dependent on our ability to generate a sustainable order rate for the satellite and space operations and develop new technologies to meet the needs of our customers or potential new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 w:name="page4"/>
    <w:bookmarkEnd w:id="3"/>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risks on customer contracts and failure of our prime contractors to maintain their relationships with their counterparties and fulfill their contractual obligations;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successfully defend protest from other bidders for government contracts;</w:t>
      </w:r>
    </w:p>
    <w:p>
      <w:pPr>
        <w:spacing w:after="0" w:line="11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various laws and regulations relating to various aspects of our business, uncertainty in the regulatory environment and any changes in the funding levels of various governmental entities with which we do business;</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protect the confidentiality of our trade secrets and unpatented know how;</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the terms of third-party open source software our systems utilize;</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 over financial reporting, and to address and remediate any material weaknesses in our internal control over financial reporting;</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use artificial intelligence (“AI”) in our business or systems, and challenges with properly managing its use could result in competitive and reputational harm;</w:t>
      </w:r>
    </w:p>
    <w:p>
      <w:pPr>
        <w:spacing w:after="0" w:line="114"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government’s budget deficit and the national debt, as well as any inability of the U.S. government to complete its budget process for any government fiscal year that may result in government shutdowns or extended continuing resolution and our dependence on U.S. government contracts and the available funding or changing funding priorities by the U.S. government;</w:t>
      </w:r>
    </w:p>
    <w:p>
      <w:pPr>
        <w:spacing w:after="0" w:line="8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failure to comply with U.S. export and import control laws and regulations and U.S. economic sanctions and trade control laws and regulations;</w:t>
      </w:r>
    </w:p>
    <w:p>
      <w:pPr>
        <w:spacing w:after="0" w:line="91"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macro-economic and U.S. domestic and foreign political conditions and elevated inflation and interest rates;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impacts of geopolitical conflicts, including the ongoing wars in Ukraine, Israel, Iran or other global conflicts;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history of losses and failure to achieve profitability in the future or failure of our business to generate sufficient funds to continue operations;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potential outcomes of pending and any future litigation;</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public securities’ potential liquidity and trading;</w:t>
      </w:r>
    </w:p>
    <w:p>
      <w:pPr>
        <w:spacing w:after="0" w:line="11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and anticipated use of our existing capital resources to fund our future operating expenses and capital expenditure requirements and needs for additional financing in light of our recent acquisitions; and</w:t>
      </w:r>
    </w:p>
    <w:p>
      <w:pPr>
        <w:spacing w:after="0" w:line="60"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titled Part I, Item 1A. “Risk Factors” of our Annual Report on Form 10-K for the fiscal year ended December 31, 2025 (the “2025 Annual Report on Form 10-K”), the section titled Part I, Item 2, Management’s Discussion and Analysis of Financial Condition and Results of Operations in this Quarterly Report and in our subsequent filings with the U.S. Securities and Exchange Commission (the “SEC”).</w:t>
      </w:r>
    </w:p>
    <w:p>
      <w:pPr>
        <w:spacing w:after="0" w:line="1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These forward-looking statements are based on information available as of the date of this Quarterly Report and current expectations, forecasts, and assumptions, and involve a number of judgments, risks, and uncertainties. Accordingly, forward-looking statements should not be relied upon as representing our views as of any subsequent date. Although we believe that we have a reasonable basis for each forward-looking statement contained in this Quarterly Report, such information may be limited or incomplete, and our statements should not be read to indicate that we have conducted an exhaustive inquiry into, or review of, all potentially available relevant information. We do not undertake any obligation to update forward-looking statements to reflect events or circumstances after the date they were made, whether as a result of new information, future events, or otherwise, except as may be required under applicable securities laws.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553720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i w:val="1"/>
          <w:iCs w:val="1"/>
          <w:color w:val="auto"/>
        </w:rPr>
        <w:t>Available Information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website address is www.intuitivemachines.com. The contents of, or information accessible through, our website are not incorporated by reference herein and are not part of this quarterly report. We make our filings with the SEC, including our Annual Report on Form 10-K, Quarterly Reports on Form 10-Q, Current Reports on Form 8-K and all amendments to those reports, as well as beneficial ownership filings available free of charge on our website under the “Investors” section as soon as reasonably practical after we file such reports with, or furnish such reports to, the SEC.</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may use our website as a distribution channel of material information about us. Financial and other important information regarding the Company is routinely posted on and accessible through the Investors section of our website at www.intuitivemachines.com.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35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70" w:right="1440" w:bottom="1440" w:gutter="0" w:footer="0" w:header="0"/>
        </w:sectPr>
      </w:pPr>
    </w:p>
    <w:bookmarkStart w:id="6" w:name="page7"/>
    <w:bookmarkEnd w:id="6"/>
    <w:p>
      <w:pPr>
        <w:ind w:left="4760"/>
        <w:spacing w:after="0"/>
        <w:rPr>
          <w:sz w:val="20"/>
          <w:szCs w:val="20"/>
          <w:color w:val="auto"/>
        </w:rPr>
      </w:pPr>
      <w:r>
        <w:rPr>
          <w:rFonts w:ascii="Times New Roman" w:cs="Times New Roman" w:eastAsia="Times New Roman" w:hAnsi="Times New Roman"/>
          <w:sz w:val="13"/>
          <w:szCs w:val="13"/>
          <w:b w:val="1"/>
          <w:bCs w:val="1"/>
          <w:color w:val="auto"/>
        </w:rPr>
        <w:t>INTUITIVE MACHINES, INC.</w:t>
      </w:r>
    </w:p>
    <w:p>
      <w:pPr>
        <w:spacing w:after="0" w:line="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7"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3"/>
          <w:szCs w:val="13"/>
          <w:b w:val="1"/>
          <w:bCs w:val="1"/>
          <w:color w:val="auto"/>
        </w:rPr>
        <w:t>(in thousands, except share data and par value)</w:t>
      </w:r>
    </w:p>
    <w:p>
      <w:pPr>
        <w:spacing w:after="0" w:line="2"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204470</wp:posOffset>
            </wp:positionV>
            <wp:extent cx="7161530" cy="80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ASSETS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107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3"/>
          <w:szCs w:val="13"/>
          <w:color w:val="auto"/>
        </w:rPr>
        <w:t>Trade and other receivables, net of allowance for credit losses of $3,652 and $3,295, respectively</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3"/>
          <w:szCs w:val="13"/>
          <w:color w:val="auto"/>
        </w:rPr>
        <w:t>Inventory, net</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Advances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3"/>
          <w:szCs w:val="13"/>
          <w:color w:val="auto"/>
        </w:rPr>
        <w:t>Prepaid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wp:posOffset>
            </wp:positionV>
            <wp:extent cx="716153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Total current assets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Orbital receivables, non-current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Intangible assets, net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Operating lease right-of-use assets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wp:posOffset>
            </wp:positionV>
            <wp:extent cx="7161530"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Total assets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LIABILITIES, MEZZANINE EQUITY AND SHAREHOLDERS’ DEFICIT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107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Accounts payable and accrued expenses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Accounts payable -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3"/>
          <w:szCs w:val="13"/>
          <w:color w:val="auto"/>
        </w:rPr>
        <w:t>Contract liabilities, current</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3"/>
          <w:szCs w:val="13"/>
          <w:color w:val="auto"/>
        </w:rPr>
        <w:t>Finance lease liabilities, current</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Contract liabilities, non-current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Finance lease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Warrant liabilities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Total liabilities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Commitments and contingencies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MEZZANINE EQUITY</w:t>
      </w:r>
    </w:p>
    <w:p>
      <w:pPr>
        <w:spacing w:after="0" w:line="2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3"/>
          <w:szCs w:val="13"/>
          <w:color w:val="auto"/>
        </w:rPr>
        <w:t>Series A preferred stock subject to possible redemption, $0.0001 par value, 25,000,000 shares authorized, 5,000 and 5,000 shares issued and outstanding 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-212725</wp:posOffset>
            </wp:positionV>
            <wp:extent cx="7161530" cy="107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107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Class A common stock, $0.0001 par value, 500,000,000 shares authorized, 162,010,801 and 123,472,960 shares issued, and 159,819,721 and 121,281,880 outstanding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Class B common stock, $0.0001 par value, 100,000,000 shares authorized, 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Class C common stock, $0.0001 par value, 100,000,000 shares authorized, 56,994,367 and 58,628,185 shares issued and outstanding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Treasury stock, at cost, 2,191,080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Paid-in capital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Total shareholders’ deficit attributable to the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1530" cy="107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Total 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13970</wp:posOffset>
            </wp:positionV>
            <wp:extent cx="7161530"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Total liabilities, mezzanine equity and shareholders’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2"/>
                <w:szCs w:val="12"/>
                <w:color w:val="auto"/>
              </w:rPr>
            </w:pPr>
          </w:p>
        </w:tc>
        <w:tc>
          <w:tcPr>
            <w:tcW w:w="12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613"/>
        </w:trPr>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231,624</w:t>
            </w:r>
          </w:p>
        </w:tc>
        <w:tc>
          <w:tcPr>
            <w:tcW w:w="80" w:type="dxa"/>
            <w:vAlign w:val="bottom"/>
          </w:tcPr>
          <w:p>
            <w:pPr>
              <w:spacing w:after="0"/>
              <w:rPr>
                <w:sz w:val="24"/>
                <w:szCs w:val="2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582,606</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2,733</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105,788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12,193</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12,236</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57,873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25,896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3,353</w:t>
            </w:r>
          </w:p>
        </w:tc>
      </w:tr>
      <w:tr>
        <w:trPr>
          <w:trHeight w:val="172"/>
        </w:trPr>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24,334</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5,693</w:t>
            </w:r>
          </w:p>
        </w:tc>
      </w:tr>
      <w:tr>
        <w:trPr>
          <w:trHeight w:val="158"/>
        </w:trPr>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505,278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618,814</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68,550</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12,968</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379,840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18,697</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36,755</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72"/>
        </w:trPr>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w:t>
            </w:r>
          </w:p>
        </w:tc>
      </w:tr>
      <w:tr>
        <w:trPr>
          <w:trHeight w:val="160"/>
        </w:trPr>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1,717,947</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757,154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68"/>
        </w:trPr>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89,335</w:t>
            </w:r>
          </w:p>
        </w:tc>
        <w:tc>
          <w:tcPr>
            <w:tcW w:w="80" w:type="dxa"/>
            <w:vAlign w:val="bottom"/>
          </w:tcPr>
          <w:p>
            <w:pPr>
              <w:spacing w:after="0"/>
              <w:rPr>
                <w:sz w:val="24"/>
                <w:szCs w:val="2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22,199</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1,723</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205,575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57,368</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10,466</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90,416</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33,028</w:t>
            </w:r>
          </w:p>
        </w:tc>
      </w:tr>
      <w:tr>
        <w:trPr>
          <w:trHeight w:val="158"/>
        </w:trPr>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415,462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124,832</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335,844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335,335</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6,341</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62,793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26,290</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60,394</w:t>
            </w:r>
          </w:p>
        </w:tc>
      </w:tr>
      <w:tr>
        <w:trPr>
          <w:trHeight w:val="172"/>
        </w:trPr>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48,092</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r>
      <w:tr>
        <w:trPr>
          <w:trHeight w:val="160"/>
        </w:trPr>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986,792</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553,452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68"/>
        </w:trPr>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6,613</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1,057,816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951,536</w:t>
            </w:r>
          </w:p>
        </w:tc>
      </w:tr>
      <w:tr>
        <w:trPr>
          <w:trHeight w:val="467"/>
        </w:trPr>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0"/>
        </w:trPr>
        <w:tc>
          <w:tcPr>
            <w:tcW w:w="2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0"/>
        </w:trPr>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(33,525)</w:t>
            </w:r>
          </w:p>
        </w:tc>
      </w:tr>
      <w:tr>
        <w:trPr>
          <w:trHeight w:val="170"/>
        </w:trPr>
        <w:tc>
          <w:tcPr>
            <w:tcW w:w="2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(300,794)</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(721,457)</w:t>
            </w:r>
          </w:p>
        </w:tc>
      </w:tr>
      <w:tr>
        <w:trPr>
          <w:trHeight w:val="158"/>
        </w:trPr>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(754,964)</w:t>
            </w:r>
          </w:p>
        </w:tc>
      </w:tr>
      <w:tr>
        <w:trPr>
          <w:trHeight w:val="172"/>
        </w:trPr>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r>
      <w:tr>
        <w:trPr>
          <w:trHeight w:val="160"/>
        </w:trPr>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(333,437)</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(754,447)</w:t>
            </w:r>
          </w:p>
        </w:tc>
      </w:tr>
      <w:tr>
        <w:trPr>
          <w:trHeight w:val="160"/>
        </w:trPr>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1,717,947</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757,154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340"/>
            <w:col w:w="3060"/>
          </w:cols>
          <w:pgMar w:left="320" w:top="456" w:right="319" w:bottom="1440" w:gutter="0" w:footer="0" w:header="0"/>
        </w:sectPr>
      </w:pP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456" w:right="31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40"/>
        </w:trPr>
        <w:tc>
          <w:tcPr>
            <w:tcW w:w="8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revenue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141,554</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62,524</w:t>
            </w:r>
          </w:p>
        </w:tc>
      </w:tr>
      <w:tr>
        <w:trPr>
          <w:trHeight w:val="18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Grant revenue</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186,730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62,524</w:t>
            </w: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product revenue (excluding depreciation and amortization)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service revenue (excluding depreciation and amortization)</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48,925</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grant revenue (excluding depreciation and amortization)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service revenue (excluding depreciation and amortization) - affiliated companies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6,922</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 (excluding depreciation and amortization)</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15,220</w:t>
            </w:r>
          </w:p>
        </w:tc>
      </w:tr>
      <w:tr>
        <w:trPr>
          <w:trHeight w:val="171"/>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225,931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72,601</w:t>
            </w:r>
          </w:p>
        </w:tc>
      </w:tr>
      <w:tr>
        <w:trPr>
          <w:trHeight w:val="17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(10,077)</w:t>
            </w: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 net:</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earn-out liabilities</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(33,369)</w:t>
            </w:r>
          </w:p>
        </w:tc>
      </w:tr>
      <w:tr>
        <w:trPr>
          <w:trHeight w:val="180"/>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43,002</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8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other income (expense), net</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11,052</w:t>
            </w:r>
          </w:p>
        </w:tc>
      </w:tr>
      <w:tr>
        <w:trPr>
          <w:trHeight w:val="17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8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8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redeemable noncontrolling interest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11,909</w:t>
            </w:r>
          </w:p>
        </w:tc>
      </w:tr>
      <w:tr>
        <w:trPr>
          <w:trHeight w:val="18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7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the Company</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(11,396)</w:t>
            </w:r>
          </w:p>
        </w:tc>
      </w:tr>
      <w:tr>
        <w:trPr>
          <w:trHeight w:val="18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Less: Preferred dividends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9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Class A common shareholders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of Class A common stock - basic and diluted</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r>
      <w:tr>
        <w:trPr>
          <w:trHeight w:val="18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common shares outstanding</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basic and diluted</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147,878,006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107,081,918</w:t>
            </w: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Mezzanine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gridSpan w:val="2"/>
          </w:tcPr>
          <w:p>
            <w:pPr>
              <w:ind w:left="4740"/>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22"/>
        </w:trPr>
        <w:tc>
          <w:tcPr>
            <w:tcW w:w="7100" w:type="dxa"/>
            <w:vAlign w:val="bottom"/>
          </w:tcPr>
          <w:p>
            <w:pPr>
              <w:spacing w:after="0"/>
              <w:rPr>
                <w:sz w:val="19"/>
                <w:szCs w:val="19"/>
                <w:color w:val="auto"/>
              </w:rPr>
            </w:pPr>
          </w:p>
        </w:tc>
        <w:tc>
          <w:tcPr>
            <w:tcW w:w="23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Series A Preferred Stock</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Redeemable</w:t>
            </w:r>
          </w:p>
        </w:tc>
      </w:tr>
      <w:tr>
        <w:trPr>
          <w:trHeight w:val="155"/>
        </w:trPr>
        <w:tc>
          <w:tcPr>
            <w:tcW w:w="7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9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951,536</w:t>
            </w:r>
          </w:p>
        </w:tc>
      </w:tr>
      <w:tr>
        <w:trPr>
          <w:trHeight w:val="168"/>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Cumulative preferred dividends</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 of preferred stock discount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Subsequent remeasurement of redeemable noncontrolling interests</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121,764</w:t>
            </w:r>
          </w:p>
        </w:tc>
      </w:tr>
      <w:tr>
        <w:trPr>
          <w:trHeight w:val="17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 attributable to redeemable noncontrolling interests</w:t>
            </w:r>
          </w:p>
        </w:tc>
        <w:tc>
          <w:tcPr>
            <w:tcW w:w="9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(15,484)</w:t>
            </w:r>
          </w:p>
        </w:tc>
      </w:tr>
      <w:tr>
        <w:trPr>
          <w:trHeight w:val="16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2026</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Pr>
          <w:p>
            <w:pPr>
              <w:spacing w:after="0"/>
              <w:rPr>
                <w:sz w:val="14"/>
                <w:szCs w:val="14"/>
                <w:color w:val="auto"/>
              </w:rPr>
            </w:pPr>
          </w:p>
        </w:tc>
        <w:tc>
          <w:tcPr>
            <w:tcW w:w="940" w:type="dxa"/>
            <w:vAlign w:val="bottom"/>
          </w:tcPr>
          <w:p>
            <w:pPr>
              <w:jc w:val="right"/>
              <w:ind w:right="79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6,776</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1,057,816</w:t>
            </w:r>
          </w:p>
        </w:tc>
      </w:tr>
      <w:tr>
        <w:trPr>
          <w:trHeight w:val="20"/>
        </w:trPr>
        <w:tc>
          <w:tcPr>
            <w:tcW w:w="7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993"/>
        </w:trPr>
        <w:tc>
          <w:tcPr>
            <w:tcW w:w="8020" w:type="dxa"/>
            <w:vAlign w:val="bottom"/>
            <w:gridSpan w:val="2"/>
          </w:tcPr>
          <w:p>
            <w:pPr>
              <w:ind w:left="474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2"/>
        </w:trPr>
        <w:tc>
          <w:tcPr>
            <w:tcW w:w="7100" w:type="dxa"/>
            <w:vAlign w:val="bottom"/>
          </w:tcPr>
          <w:p>
            <w:pPr>
              <w:spacing w:after="0"/>
              <w:rPr>
                <w:sz w:val="19"/>
                <w:szCs w:val="19"/>
                <w:color w:val="auto"/>
              </w:rPr>
            </w:pPr>
          </w:p>
        </w:tc>
        <w:tc>
          <w:tcPr>
            <w:tcW w:w="23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Series A Preferred Stock</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Redeemable</w:t>
            </w:r>
          </w:p>
        </w:tc>
      </w:tr>
      <w:tr>
        <w:trPr>
          <w:trHeight w:val="155"/>
        </w:trPr>
        <w:tc>
          <w:tcPr>
            <w:tcW w:w="7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9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1,005,965</w:t>
            </w:r>
          </w:p>
        </w:tc>
      </w:tr>
      <w:tr>
        <w:trPr>
          <w:trHeight w:val="168"/>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Cumulative preferred dividends</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 of preferred stock discount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Subsequent remeasurement of redeemable noncontrolling interests</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(561,176)</w:t>
            </w:r>
          </w:p>
        </w:tc>
      </w:tr>
      <w:tr>
        <w:trPr>
          <w:trHeight w:val="17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attributable to redeemable noncontrolling interests</w:t>
            </w:r>
          </w:p>
        </w:tc>
        <w:tc>
          <w:tcPr>
            <w:tcW w:w="9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11,909</w:t>
            </w:r>
          </w:p>
        </w:tc>
      </w:tr>
      <w:tr>
        <w:trPr>
          <w:trHeight w:val="16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Pr>
          <w:p>
            <w:pPr>
              <w:spacing w:after="0"/>
              <w:rPr>
                <w:sz w:val="14"/>
                <w:szCs w:val="14"/>
                <w:color w:val="auto"/>
              </w:rPr>
            </w:pPr>
          </w:p>
        </w:tc>
        <w:tc>
          <w:tcPr>
            <w:tcW w:w="940" w:type="dxa"/>
            <w:vAlign w:val="bottom"/>
          </w:tcPr>
          <w:p>
            <w:pPr>
              <w:jc w:val="right"/>
              <w:ind w:right="79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456,698</w:t>
            </w:r>
          </w:p>
        </w:tc>
      </w:tr>
      <w:tr>
        <w:trPr>
          <w:trHeight w:val="20"/>
        </w:trPr>
        <w:tc>
          <w:tcPr>
            <w:tcW w:w="7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92"/>
        </w:trPr>
        <w:tc>
          <w:tcPr>
            <w:tcW w:w="2360" w:type="dxa"/>
            <w:vAlign w:val="bottom"/>
          </w:tcPr>
          <w:p>
            <w:pPr>
              <w:spacing w:after="0"/>
              <w:rPr>
                <w:sz w:val="7"/>
                <w:szCs w:val="7"/>
                <w:color w:val="auto"/>
              </w:rPr>
            </w:pPr>
          </w:p>
        </w:tc>
        <w:tc>
          <w:tcPr>
            <w:tcW w:w="1000" w:type="dxa"/>
            <w:vAlign w:val="bottom"/>
            <w:gridSpan w:val="3"/>
          </w:tcPr>
          <w:p>
            <w:pPr>
              <w:jc w:val="center"/>
              <w:ind w:left="39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4"/>
          </w:tcPr>
          <w:p>
            <w:pPr>
              <w:jc w:val="center"/>
              <w:ind w:left="41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360" w:type="dxa"/>
            <w:vAlign w:val="bottom"/>
          </w:tcPr>
          <w:p>
            <w:pPr>
              <w:spacing w:after="0"/>
              <w:rPr>
                <w:sz w:val="11"/>
                <w:szCs w:val="11"/>
                <w:color w:val="auto"/>
              </w:rPr>
            </w:pPr>
          </w:p>
        </w:tc>
        <w:tc>
          <w:tcPr>
            <w:tcW w:w="860" w:type="dxa"/>
            <w:vAlign w:val="bottom"/>
            <w:tcBorders>
              <w:bottom w:val="single" w:sz="8" w:color="auto"/>
            </w:tcBorders>
            <w:gridSpan w:val="2"/>
          </w:tcPr>
          <w:p>
            <w:pPr>
              <w:jc w:val="center"/>
              <w:ind w:left="535"/>
              <w:spacing w:after="0"/>
              <w:rPr>
                <w:sz w:val="20"/>
                <w:szCs w:val="20"/>
                <w:color w:val="auto"/>
              </w:rPr>
            </w:pPr>
            <w:r>
              <w:rPr>
                <w:rFonts w:ascii="Times New Roman" w:cs="Times New Roman" w:eastAsia="Times New Roman" w:hAnsi="Times New Roman"/>
                <w:sz w:val="8"/>
                <w:szCs w:val="8"/>
                <w:b w:val="1"/>
                <w:bCs w:val="1"/>
                <w:color w:val="auto"/>
              </w:rPr>
              <w:t>Class A</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8"/>
                <w:szCs w:val="8"/>
                <w:b w:val="1"/>
                <w:bCs w:val="1"/>
                <w:color w:val="auto"/>
                <w:w w:val="99"/>
              </w:rPr>
              <w:t>Class C</w:t>
            </w: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Shareholders’ Deficit</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360" w:type="dxa"/>
            <w:vAlign w:val="bottom"/>
          </w:tcPr>
          <w:p>
            <w:pPr>
              <w:spacing w:after="0"/>
              <w:rPr>
                <w:sz w:val="5"/>
                <w:szCs w:val="5"/>
                <w:color w:val="auto"/>
              </w:rPr>
            </w:pPr>
          </w:p>
        </w:tc>
        <w:tc>
          <w:tcPr>
            <w:tcW w:w="780" w:type="dxa"/>
            <w:vAlign w:val="bottom"/>
            <w:vMerge w:val="restart"/>
          </w:tcPr>
          <w:p>
            <w:pPr>
              <w:jc w:val="right"/>
              <w:ind w:right="235"/>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jc w:val="right"/>
              <w:ind w:right="94"/>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80" w:type="dxa"/>
            <w:vAlign w:val="bottom"/>
            <w:vMerge w:val="restart"/>
          </w:tcPr>
          <w:p>
            <w:pPr>
              <w:spacing w:after="0"/>
              <w:rPr>
                <w:sz w:val="5"/>
                <w:szCs w:val="5"/>
                <w:color w:val="auto"/>
              </w:rPr>
            </w:pPr>
          </w:p>
        </w:tc>
        <w:tc>
          <w:tcPr>
            <w:tcW w:w="780" w:type="dxa"/>
            <w:vAlign w:val="bottom"/>
            <w:vMerge w:val="restart"/>
          </w:tcPr>
          <w:p>
            <w:pPr>
              <w:jc w:val="right"/>
              <w:ind w:right="215"/>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restart"/>
          </w:tcPr>
          <w:p>
            <w:pPr>
              <w:jc w:val="right"/>
              <w:ind w:right="114"/>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8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2"/>
          </w:tcPr>
          <w:p>
            <w:pPr>
              <w:ind w:left="100"/>
              <w:spacing w:after="0" w:line="65" w:lineRule="exact"/>
              <w:rPr>
                <w:sz w:val="20"/>
                <w:szCs w:val="20"/>
                <w:color w:val="auto"/>
              </w:rPr>
            </w:pPr>
            <w:r>
              <w:rPr>
                <w:rFonts w:ascii="Times New Roman" w:cs="Times New Roman" w:eastAsia="Times New Roman" w:hAnsi="Times New Roman"/>
                <w:sz w:val="7"/>
                <w:szCs w:val="7"/>
                <w:b w:val="1"/>
                <w:bCs w:val="1"/>
                <w:color w:val="auto"/>
              </w:rPr>
              <w:t>Paid-in</w:t>
            </w:r>
          </w:p>
        </w:tc>
        <w:tc>
          <w:tcPr>
            <w:tcW w:w="100" w:type="dxa"/>
            <w:vAlign w:val="bottom"/>
          </w:tcPr>
          <w:p>
            <w:pPr>
              <w:spacing w:after="0"/>
              <w:rPr>
                <w:sz w:val="5"/>
                <w:szCs w:val="5"/>
                <w:color w:val="auto"/>
              </w:rPr>
            </w:pPr>
          </w:p>
        </w:tc>
        <w:tc>
          <w:tcPr>
            <w:tcW w:w="80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80" w:type="dxa"/>
            <w:vAlign w:val="bottom"/>
          </w:tcPr>
          <w:p>
            <w:pPr>
              <w:spacing w:after="0"/>
              <w:rPr>
                <w:sz w:val="5"/>
                <w:szCs w:val="5"/>
                <w:color w:val="auto"/>
              </w:rPr>
            </w:pPr>
          </w:p>
        </w:tc>
        <w:tc>
          <w:tcPr>
            <w:tcW w:w="820" w:type="dxa"/>
            <w:vAlign w:val="bottom"/>
            <w:gridSpan w:val="2"/>
          </w:tcPr>
          <w:p>
            <w:pPr>
              <w:jc w:val="center"/>
              <w:ind w:right="160"/>
              <w:spacing w:after="0" w:line="65" w:lineRule="exact"/>
              <w:rPr>
                <w:sz w:val="20"/>
                <w:szCs w:val="20"/>
                <w:color w:val="auto"/>
              </w:rPr>
            </w:pPr>
            <w:r>
              <w:rPr>
                <w:rFonts w:ascii="Times New Roman" w:cs="Times New Roman" w:eastAsia="Times New Roman" w:hAnsi="Times New Roman"/>
                <w:sz w:val="7"/>
                <w:szCs w:val="7"/>
                <w:b w:val="1"/>
                <w:bCs w:val="1"/>
                <w:color w:val="auto"/>
              </w:rPr>
              <w:t>attributable to the</w:t>
            </w:r>
          </w:p>
        </w:tc>
        <w:tc>
          <w:tcPr>
            <w:tcW w:w="200" w:type="dxa"/>
            <w:vAlign w:val="bottom"/>
          </w:tcPr>
          <w:p>
            <w:pPr>
              <w:spacing w:after="0"/>
              <w:rPr>
                <w:sz w:val="5"/>
                <w:szCs w:val="5"/>
                <w:color w:val="auto"/>
              </w:rPr>
            </w:pPr>
          </w:p>
        </w:tc>
        <w:tc>
          <w:tcPr>
            <w:tcW w:w="640" w:type="dxa"/>
            <w:vAlign w:val="bottom"/>
            <w:vMerge w:val="restart"/>
          </w:tcPr>
          <w:p>
            <w:pPr>
              <w:jc w:val="right"/>
              <w:ind w:right="294"/>
              <w:spacing w:after="0"/>
              <w:rPr>
                <w:sz w:val="20"/>
                <w:szCs w:val="20"/>
                <w:color w:val="auto"/>
              </w:rPr>
            </w:pPr>
            <w:r>
              <w:rPr>
                <w:rFonts w:ascii="Times New Roman" w:cs="Times New Roman" w:eastAsia="Times New Roman" w:hAnsi="Times New Roman"/>
                <w:sz w:val="8"/>
                <w:szCs w:val="8"/>
                <w:b w:val="1"/>
                <w:bCs w:val="1"/>
                <w:color w:val="auto"/>
              </w:rPr>
              <w:t>NCI</w:t>
            </w:r>
          </w:p>
        </w:tc>
        <w:tc>
          <w:tcPr>
            <w:tcW w:w="8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jc w:val="right"/>
              <w:ind w:right="15"/>
              <w:spacing w:after="0" w:line="65" w:lineRule="exact"/>
              <w:rPr>
                <w:sz w:val="20"/>
                <w:szCs w:val="20"/>
                <w:color w:val="auto"/>
              </w:rPr>
            </w:pPr>
            <w:r>
              <w:rPr>
                <w:rFonts w:ascii="Times New Roman" w:cs="Times New Roman" w:eastAsia="Times New Roman" w:hAnsi="Times New Roman"/>
                <w:sz w:val="7"/>
                <w:szCs w:val="7"/>
                <w:b w:val="1"/>
                <w:bCs w:val="1"/>
                <w:color w:val="auto"/>
              </w:rPr>
              <w:t>Total Shareholders’</w:t>
            </w:r>
          </w:p>
        </w:tc>
        <w:tc>
          <w:tcPr>
            <w:tcW w:w="0" w:type="dxa"/>
            <w:vAlign w:val="bottom"/>
          </w:tcPr>
          <w:p>
            <w:pPr>
              <w:spacing w:after="0"/>
              <w:rPr>
                <w:sz w:val="1"/>
                <w:szCs w:val="1"/>
                <w:color w:val="auto"/>
              </w:rPr>
            </w:pPr>
          </w:p>
        </w:tc>
      </w:tr>
      <w:tr>
        <w:trPr>
          <w:trHeight w:val="118"/>
        </w:trPr>
        <w:tc>
          <w:tcPr>
            <w:tcW w:w="23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8"/>
                <w:szCs w:val="8"/>
                <w:b w:val="1"/>
                <w:bCs w:val="1"/>
                <w:color w:val="auto"/>
              </w:rPr>
              <w:t>Capital</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8"/>
                <w:szCs w:val="8"/>
                <w:b w:val="1"/>
                <w:bCs w:val="1"/>
                <w:color w:val="auto"/>
              </w:rPr>
              <w:t>Company</w:t>
            </w: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13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Balance, December 31,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123,472,960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58,628,185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(33,525)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(721,457)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(754,964)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w w:val="87"/>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(754,447)</w:t>
            </w:r>
          </w:p>
        </w:tc>
        <w:tc>
          <w:tcPr>
            <w:tcW w:w="0" w:type="dxa"/>
            <w:vAlign w:val="bottom"/>
          </w:tcPr>
          <w:p>
            <w:pPr>
              <w:spacing w:after="0"/>
              <w:rPr>
                <w:sz w:val="1"/>
                <w:szCs w:val="1"/>
                <w:color w:val="auto"/>
              </w:rPr>
            </w:pPr>
          </w:p>
        </w:tc>
      </w:tr>
      <w:tr>
        <w:trPr>
          <w:trHeight w:val="131"/>
        </w:trPr>
        <w:tc>
          <w:tcPr>
            <w:tcW w:w="2360" w:type="dxa"/>
            <w:vAlign w:val="bottom"/>
          </w:tcPr>
          <w:p>
            <w:pPr>
              <w:ind w:left="80"/>
              <w:spacing w:after="0"/>
              <w:rPr>
                <w:sz w:val="20"/>
                <w:szCs w:val="20"/>
                <w:color w:val="auto"/>
              </w:rPr>
            </w:pPr>
            <w:r>
              <w:rPr>
                <w:rFonts w:ascii="Times New Roman" w:cs="Times New Roman" w:eastAsia="Times New Roman" w:hAnsi="Times New Roman"/>
                <w:sz w:val="9"/>
                <w:szCs w:val="9"/>
                <w:color w:val="auto"/>
              </w:rPr>
              <w:t>Share-based compensation expense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8,842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8,842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8,842</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Cumulative preferred dividends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(162)</w:t>
            </w:r>
          </w:p>
        </w:tc>
        <w:tc>
          <w:tcPr>
            <w:tcW w:w="0" w:type="dxa"/>
            <w:vAlign w:val="bottom"/>
          </w:tcPr>
          <w:p>
            <w:pPr>
              <w:spacing w:after="0"/>
              <w:rPr>
                <w:sz w:val="1"/>
                <w:szCs w:val="1"/>
                <w:color w:val="auto"/>
              </w:rPr>
            </w:pPr>
          </w:p>
        </w:tc>
      </w:tr>
      <w:tr>
        <w:trPr>
          <w:trHeight w:val="131"/>
        </w:trPr>
        <w:tc>
          <w:tcPr>
            <w:tcW w:w="2360" w:type="dxa"/>
            <w:vAlign w:val="bottom"/>
          </w:tcPr>
          <w:p>
            <w:pPr>
              <w:ind w:left="80"/>
              <w:spacing w:after="0"/>
              <w:rPr>
                <w:sz w:val="20"/>
                <w:szCs w:val="20"/>
                <w:color w:val="auto"/>
              </w:rPr>
            </w:pPr>
            <w:r>
              <w:rPr>
                <w:rFonts w:ascii="Times New Roman" w:cs="Times New Roman" w:eastAsia="Times New Roman" w:hAnsi="Times New Roman"/>
                <w:sz w:val="9"/>
                <w:szCs w:val="9"/>
                <w:color w:val="auto"/>
              </w:rPr>
              <w:t>Accretion of preferred stock discount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20" w:type="dxa"/>
            <w:vAlign w:val="bottom"/>
            <w:gridSpan w:val="2"/>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Acquisition of Lanteris and related adjustments (Notes 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22,991,028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403,687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403,689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403,689</w:t>
            </w:r>
          </w:p>
        </w:tc>
        <w:tc>
          <w:tcPr>
            <w:tcW w:w="0" w:type="dxa"/>
            <w:vAlign w:val="bottom"/>
          </w:tcPr>
          <w:p>
            <w:pPr>
              <w:spacing w:after="0"/>
              <w:rPr>
                <w:sz w:val="1"/>
                <w:szCs w:val="1"/>
                <w:color w:val="auto"/>
              </w:rPr>
            </w:pPr>
          </w:p>
        </w:tc>
      </w:tr>
      <w:tr>
        <w:trPr>
          <w:trHeight w:val="99"/>
        </w:trPr>
        <w:tc>
          <w:tcPr>
            <w:tcW w:w="2360" w:type="dxa"/>
            <w:vAlign w:val="bottom"/>
          </w:tcPr>
          <w:p>
            <w:pPr>
              <w:ind w:left="80"/>
              <w:spacing w:after="0" w:line="99" w:lineRule="exact"/>
              <w:rPr>
                <w:sz w:val="20"/>
                <w:szCs w:val="20"/>
                <w:color w:val="auto"/>
              </w:rPr>
            </w:pPr>
            <w:r>
              <w:rPr>
                <w:rFonts w:ascii="Times New Roman" w:cs="Times New Roman" w:eastAsia="Times New Roman" w:hAnsi="Times New Roman"/>
                <w:sz w:val="9"/>
                <w:szCs w:val="9"/>
                <w:color w:val="auto"/>
              </w:rPr>
              <w:t>Class A common stock issued related to contingency</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13,336</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820" w:type="dxa"/>
            <w:vAlign w:val="bottom"/>
            <w:gridSpan w:val="2"/>
            <w:vMerge w:val="restart"/>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2"/>
        </w:trPr>
        <w:tc>
          <w:tcPr>
            <w:tcW w:w="2360" w:type="dxa"/>
            <w:vAlign w:val="bottom"/>
          </w:tcPr>
          <w:p>
            <w:pPr>
              <w:ind w:left="80"/>
              <w:spacing w:after="0"/>
              <w:rPr>
                <w:sz w:val="20"/>
                <w:szCs w:val="20"/>
                <w:color w:val="auto"/>
              </w:rPr>
            </w:pPr>
            <w:r>
              <w:rPr>
                <w:rFonts w:ascii="Times New Roman" w:cs="Times New Roman" w:eastAsia="Times New Roman" w:hAnsi="Times New Roman"/>
                <w:sz w:val="9"/>
                <w:szCs w:val="9"/>
                <w:color w:val="auto"/>
              </w:rPr>
              <w:t>consideration release (Notes 3 and 16)</w:t>
            </w: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360" w:type="dxa"/>
            <w:vAlign w:val="bottom"/>
            <w:shd w:val="clear" w:color="auto" w:fill="CCEEFF"/>
          </w:tcPr>
          <w:p>
            <w:pPr>
              <w:ind w:left="80"/>
              <w:spacing w:after="0" w:line="101" w:lineRule="exact"/>
              <w:rPr>
                <w:sz w:val="20"/>
                <w:szCs w:val="20"/>
                <w:color w:val="auto"/>
              </w:rPr>
            </w:pPr>
            <w:r>
              <w:rPr>
                <w:rFonts w:ascii="Times New Roman" w:cs="Times New Roman" w:eastAsia="Times New Roman" w:hAnsi="Times New Roman"/>
                <w:sz w:val="9"/>
                <w:szCs w:val="9"/>
                <w:color w:val="auto"/>
              </w:rPr>
              <w:t>Class A common stock issued related to Securities</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11,574,069</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shd w:val="clear" w:color="auto" w:fill="CCEEFF"/>
          </w:tcPr>
          <w:p>
            <w:pPr>
              <w:spacing w:after="0"/>
              <w:rPr>
                <w:sz w:val="8"/>
                <w:szCs w:val="8"/>
                <w:color w:val="auto"/>
              </w:rPr>
            </w:pP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167,449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167,450</w:t>
            </w: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167,450</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Purchase Agreement (Note 12)</w:t>
            </w:r>
          </w:p>
        </w:tc>
        <w:tc>
          <w:tcPr>
            <w:tcW w:w="7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3"/>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360" w:type="dxa"/>
            <w:vAlign w:val="bottom"/>
          </w:tcPr>
          <w:p>
            <w:pPr>
              <w:ind w:left="80"/>
              <w:spacing w:after="0" w:line="99" w:lineRule="exact"/>
              <w:rPr>
                <w:sz w:val="20"/>
                <w:szCs w:val="20"/>
                <w:color w:val="auto"/>
              </w:rPr>
            </w:pPr>
            <w:r>
              <w:rPr>
                <w:rFonts w:ascii="Times New Roman" w:cs="Times New Roman" w:eastAsia="Times New Roman" w:hAnsi="Times New Roman"/>
                <w:sz w:val="9"/>
                <w:szCs w:val="9"/>
                <w:color w:val="auto"/>
              </w:rPr>
              <w:t>Class A common stock issued related to RSU and RSS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2,325,590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8"/>
                <w:szCs w:val="8"/>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820" w:type="dxa"/>
            <w:vAlign w:val="bottom"/>
            <w:gridSpan w:val="2"/>
            <w:vMerge w:val="restart"/>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2"/>
        </w:trPr>
        <w:tc>
          <w:tcPr>
            <w:tcW w:w="2360" w:type="dxa"/>
            <w:vAlign w:val="bottom"/>
          </w:tcPr>
          <w:p>
            <w:pPr>
              <w:ind w:left="80"/>
              <w:spacing w:after="0"/>
              <w:rPr>
                <w:sz w:val="20"/>
                <w:szCs w:val="20"/>
                <w:color w:val="auto"/>
              </w:rPr>
            </w:pPr>
            <w:r>
              <w:rPr>
                <w:rFonts w:ascii="Times New Roman" w:cs="Times New Roman" w:eastAsia="Times New Roman" w:hAnsi="Times New Roman"/>
                <w:sz w:val="9"/>
                <w:szCs w:val="9"/>
                <w:color w:val="auto"/>
              </w:rPr>
              <w:t>awards</w:t>
            </w: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Class A common stock issued for Class C shares canceled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1,633,818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(1,633,818)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2360" w:type="dxa"/>
            <w:vAlign w:val="bottom"/>
          </w:tcPr>
          <w:p>
            <w:pPr>
              <w:ind w:left="80"/>
              <w:spacing w:after="0" w:line="99" w:lineRule="exact"/>
              <w:rPr>
                <w:sz w:val="20"/>
                <w:szCs w:val="20"/>
                <w:color w:val="auto"/>
              </w:rPr>
            </w:pPr>
            <w:r>
              <w:rPr>
                <w:rFonts w:ascii="Times New Roman" w:cs="Times New Roman" w:eastAsia="Times New Roman" w:hAnsi="Times New Roman"/>
                <w:sz w:val="9"/>
                <w:szCs w:val="9"/>
                <w:color w:val="auto"/>
              </w:rPr>
              <w:t>Subsequent remeasurement of redeemable noncontrolling</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820" w:type="dxa"/>
            <w:vAlign w:val="bottom"/>
            <w:gridSpan w:val="2"/>
            <w:vMerge w:val="restart"/>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(579,814)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458,050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(121,764)</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(121,764)</w:t>
            </w:r>
          </w:p>
        </w:tc>
        <w:tc>
          <w:tcPr>
            <w:tcW w:w="0" w:type="dxa"/>
            <w:vAlign w:val="bottom"/>
          </w:tcPr>
          <w:p>
            <w:pPr>
              <w:spacing w:after="0"/>
              <w:rPr>
                <w:sz w:val="1"/>
                <w:szCs w:val="1"/>
                <w:color w:val="auto"/>
              </w:rPr>
            </w:pPr>
          </w:p>
        </w:tc>
      </w:tr>
      <w:tr>
        <w:trPr>
          <w:trHeight w:val="122"/>
        </w:trPr>
        <w:tc>
          <w:tcPr>
            <w:tcW w:w="236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interests</w:t>
            </w: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Net income attributable to noncontrolling interest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343</w:t>
            </w:r>
          </w:p>
        </w:tc>
        <w:tc>
          <w:tcPr>
            <w:tcW w:w="0" w:type="dxa"/>
            <w:vAlign w:val="bottom"/>
          </w:tcPr>
          <w:p>
            <w:pPr>
              <w:spacing w:after="0"/>
              <w:rPr>
                <w:sz w:val="1"/>
                <w:szCs w:val="1"/>
                <w:color w:val="auto"/>
              </w:rPr>
            </w:pPr>
          </w:p>
        </w:tc>
      </w:tr>
      <w:tr>
        <w:trPr>
          <w:trHeight w:val="131"/>
        </w:trPr>
        <w:tc>
          <w:tcPr>
            <w:tcW w:w="2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color w:val="auto"/>
              </w:rPr>
              <w:t>Net loss attributable to the Company</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(37,387)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(37,387)</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(37,387)</w:t>
            </w: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Balance, March 31, 2026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162,010,801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56,994,367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9"/>
                <w:szCs w:val="9"/>
                <w:b w:val="1"/>
                <w:bCs w:val="1"/>
                <w:color w:val="auto"/>
              </w:rPr>
              <w:t>(33,525)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(300,794)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(334,297)</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860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(333,437)</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280" w:type="dxa"/>
            <w:vAlign w:val="bottom"/>
          </w:tcPr>
          <w:p>
            <w:pPr>
              <w:spacing w:after="0"/>
              <w:rPr>
                <w:sz w:val="7"/>
                <w:szCs w:val="7"/>
                <w:color w:val="auto"/>
              </w:rPr>
            </w:pPr>
          </w:p>
        </w:tc>
        <w:tc>
          <w:tcPr>
            <w:tcW w:w="1020" w:type="dxa"/>
            <w:vAlign w:val="bottom"/>
            <w:gridSpan w:val="4"/>
          </w:tcPr>
          <w:p>
            <w:pPr>
              <w:jc w:val="center"/>
              <w:ind w:left="39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4"/>
          </w:tcPr>
          <w:p>
            <w:pPr>
              <w:jc w:val="center"/>
              <w:ind w:left="414"/>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280" w:type="dxa"/>
            <w:vAlign w:val="bottom"/>
          </w:tcPr>
          <w:p>
            <w:pPr>
              <w:spacing w:after="0"/>
              <w:rPr>
                <w:sz w:val="11"/>
                <w:szCs w:val="11"/>
                <w:color w:val="auto"/>
              </w:rPr>
            </w:pPr>
          </w:p>
        </w:tc>
        <w:tc>
          <w:tcPr>
            <w:tcW w:w="88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8"/>
                <w:szCs w:val="8"/>
                <w:b w:val="1"/>
                <w:bCs w:val="1"/>
                <w:color w:val="auto"/>
                <w:w w:val="99"/>
              </w:rPr>
              <w:t>Class A</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8"/>
                <w:szCs w:val="8"/>
                <w:b w:val="1"/>
                <w:bCs w:val="1"/>
                <w:color w:val="auto"/>
              </w:rPr>
              <w:t>Class C</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Shareholders’ Deficit</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280" w:type="dxa"/>
            <w:vAlign w:val="bottom"/>
          </w:tcPr>
          <w:p>
            <w:pPr>
              <w:spacing w:after="0"/>
              <w:rPr>
                <w:sz w:val="5"/>
                <w:szCs w:val="5"/>
                <w:color w:val="auto"/>
              </w:rPr>
            </w:pP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jc w:val="right"/>
              <w:ind w:right="114"/>
              <w:spacing w:after="0"/>
              <w:rPr>
                <w:sz w:val="20"/>
                <w:szCs w:val="20"/>
                <w:color w:val="auto"/>
              </w:rPr>
            </w:pPr>
            <w:r>
              <w:rPr>
                <w:rFonts w:ascii="Times New Roman" w:cs="Times New Roman" w:eastAsia="Times New Roman" w:hAnsi="Times New Roman"/>
                <w:sz w:val="8"/>
                <w:szCs w:val="8"/>
                <w:b w:val="1"/>
                <w:bCs w:val="1"/>
                <w:color w:val="auto"/>
                <w:w w:val="92"/>
              </w:rPr>
              <w:t>Amount</w:t>
            </w:r>
          </w:p>
        </w:tc>
        <w:tc>
          <w:tcPr>
            <w:tcW w:w="60" w:type="dxa"/>
            <w:vAlign w:val="bottom"/>
            <w:vMerge w:val="restart"/>
          </w:tcPr>
          <w:p>
            <w:pPr>
              <w:spacing w:after="0"/>
              <w:rPr>
                <w:sz w:val="5"/>
                <w:szCs w:val="5"/>
                <w:color w:val="auto"/>
              </w:rPr>
            </w:pPr>
          </w:p>
        </w:tc>
        <w:tc>
          <w:tcPr>
            <w:tcW w:w="800" w:type="dxa"/>
            <w:vAlign w:val="bottom"/>
            <w:vMerge w:val="restart"/>
          </w:tcPr>
          <w:p>
            <w:pPr>
              <w:jc w:val="right"/>
              <w:ind w:right="234"/>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jc w:val="right"/>
              <w:ind w:right="94"/>
              <w:spacing w:after="0"/>
              <w:rPr>
                <w:sz w:val="20"/>
                <w:szCs w:val="20"/>
                <w:color w:val="auto"/>
              </w:rPr>
            </w:pPr>
            <w:r>
              <w:rPr>
                <w:rFonts w:ascii="Times New Roman" w:cs="Times New Roman" w:eastAsia="Times New Roman" w:hAnsi="Times New Roman"/>
                <w:sz w:val="8"/>
                <w:szCs w:val="8"/>
                <w:b w:val="1"/>
                <w:bCs w:val="1"/>
                <w:color w:val="auto"/>
                <w:w w:val="99"/>
              </w:rPr>
              <w:t>Amount</w:t>
            </w:r>
          </w:p>
        </w:tc>
        <w:tc>
          <w:tcPr>
            <w:tcW w:w="8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tcPr>
          <w:p>
            <w:pPr>
              <w:ind w:left="100"/>
              <w:spacing w:after="0" w:line="65" w:lineRule="exact"/>
              <w:rPr>
                <w:sz w:val="20"/>
                <w:szCs w:val="20"/>
                <w:color w:val="auto"/>
              </w:rPr>
            </w:pPr>
            <w:r>
              <w:rPr>
                <w:rFonts w:ascii="Times New Roman" w:cs="Times New Roman" w:eastAsia="Times New Roman" w:hAnsi="Times New Roman"/>
                <w:sz w:val="7"/>
                <w:szCs w:val="7"/>
                <w:b w:val="1"/>
                <w:bCs w:val="1"/>
                <w:color w:val="auto"/>
              </w:rPr>
              <w:t>Paid-in</w:t>
            </w:r>
          </w:p>
        </w:tc>
        <w:tc>
          <w:tcPr>
            <w:tcW w:w="120" w:type="dxa"/>
            <w:vAlign w:val="bottom"/>
          </w:tcPr>
          <w:p>
            <w:pPr>
              <w:spacing w:after="0"/>
              <w:rPr>
                <w:sz w:val="5"/>
                <w:szCs w:val="5"/>
                <w:color w:val="auto"/>
              </w:rPr>
            </w:pPr>
          </w:p>
        </w:tc>
        <w:tc>
          <w:tcPr>
            <w:tcW w:w="84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60" w:type="dxa"/>
            <w:vAlign w:val="bottom"/>
          </w:tcPr>
          <w:p>
            <w:pPr>
              <w:spacing w:after="0"/>
              <w:rPr>
                <w:sz w:val="5"/>
                <w:szCs w:val="5"/>
                <w:color w:val="auto"/>
              </w:rPr>
            </w:pPr>
          </w:p>
        </w:tc>
        <w:tc>
          <w:tcPr>
            <w:tcW w:w="900" w:type="dxa"/>
            <w:vAlign w:val="bottom"/>
            <w:gridSpan w:val="2"/>
          </w:tcPr>
          <w:p>
            <w:pPr>
              <w:jc w:val="center"/>
              <w:ind w:right="120"/>
              <w:spacing w:after="0" w:line="65" w:lineRule="exact"/>
              <w:rPr>
                <w:sz w:val="20"/>
                <w:szCs w:val="20"/>
                <w:color w:val="auto"/>
              </w:rPr>
            </w:pPr>
            <w:r>
              <w:rPr>
                <w:rFonts w:ascii="Times New Roman" w:cs="Times New Roman" w:eastAsia="Times New Roman" w:hAnsi="Times New Roman"/>
                <w:sz w:val="7"/>
                <w:szCs w:val="7"/>
                <w:b w:val="1"/>
                <w:bCs w:val="1"/>
                <w:color w:val="auto"/>
              </w:rPr>
              <w:t>attributable to the</w:t>
            </w:r>
          </w:p>
        </w:tc>
        <w:tc>
          <w:tcPr>
            <w:tcW w:w="220" w:type="dxa"/>
            <w:vAlign w:val="bottom"/>
          </w:tcPr>
          <w:p>
            <w:pPr>
              <w:spacing w:after="0"/>
              <w:rPr>
                <w:sz w:val="5"/>
                <w:szCs w:val="5"/>
                <w:color w:val="auto"/>
              </w:rPr>
            </w:pPr>
          </w:p>
        </w:tc>
        <w:tc>
          <w:tcPr>
            <w:tcW w:w="680" w:type="dxa"/>
            <w:vAlign w:val="bottom"/>
            <w:vMerge w:val="restart"/>
          </w:tcPr>
          <w:p>
            <w:pPr>
              <w:jc w:val="right"/>
              <w:ind w:right="334"/>
              <w:spacing w:after="0"/>
              <w:rPr>
                <w:sz w:val="20"/>
                <w:szCs w:val="20"/>
                <w:color w:val="auto"/>
              </w:rPr>
            </w:pPr>
            <w:r>
              <w:rPr>
                <w:rFonts w:ascii="Times New Roman" w:cs="Times New Roman" w:eastAsia="Times New Roman" w:hAnsi="Times New Roman"/>
                <w:sz w:val="8"/>
                <w:szCs w:val="8"/>
                <w:b w:val="1"/>
                <w:bCs w:val="1"/>
                <w:color w:val="auto"/>
              </w:rPr>
              <w:t>NCI</w:t>
            </w:r>
          </w:p>
        </w:tc>
        <w:tc>
          <w:tcPr>
            <w:tcW w:w="6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jc w:val="right"/>
              <w:ind w:right="55"/>
              <w:spacing w:after="0" w:line="65" w:lineRule="exact"/>
              <w:rPr>
                <w:sz w:val="20"/>
                <w:szCs w:val="20"/>
                <w:color w:val="auto"/>
              </w:rPr>
            </w:pPr>
            <w:r>
              <w:rPr>
                <w:rFonts w:ascii="Times New Roman" w:cs="Times New Roman" w:eastAsia="Times New Roman" w:hAnsi="Times New Roman"/>
                <w:sz w:val="7"/>
                <w:szCs w:val="7"/>
                <w:b w:val="1"/>
                <w:bCs w:val="1"/>
                <w:color w:val="auto"/>
              </w:rPr>
              <w:t>Total Shareholders’</w:t>
            </w:r>
          </w:p>
        </w:tc>
        <w:tc>
          <w:tcPr>
            <w:tcW w:w="0" w:type="dxa"/>
            <w:vAlign w:val="bottom"/>
          </w:tcPr>
          <w:p>
            <w:pPr>
              <w:spacing w:after="0"/>
              <w:rPr>
                <w:sz w:val="1"/>
                <w:szCs w:val="1"/>
                <w:color w:val="auto"/>
              </w:rPr>
            </w:pPr>
          </w:p>
        </w:tc>
      </w:tr>
      <w:tr>
        <w:trPr>
          <w:trHeight w:val="118"/>
        </w:trPr>
        <w:tc>
          <w:tcPr>
            <w:tcW w:w="22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8"/>
                <w:szCs w:val="8"/>
                <w:b w:val="1"/>
                <w:bCs w:val="1"/>
                <w:color w:val="auto"/>
              </w:rPr>
              <w:t>Capital</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8"/>
                <w:szCs w:val="8"/>
                <w:b w:val="1"/>
                <w:bCs w:val="1"/>
                <w:color w:val="auto"/>
              </w:rPr>
              <w:t>Company</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13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Balance, 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101,859,000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10</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55,394,533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9"/>
                <w:szCs w:val="9"/>
                <w:color w:val="auto"/>
              </w:rPr>
              <w:t>(12,825)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w w:val="87"/>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(996,453)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(1,009,262)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9"/>
                <w:szCs w:val="9"/>
                <w:color w:val="auto"/>
                <w:w w:val="87"/>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1,228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(1,008,034)</w:t>
            </w:r>
          </w:p>
        </w:tc>
        <w:tc>
          <w:tcPr>
            <w:tcW w:w="0" w:type="dxa"/>
            <w:vAlign w:val="bottom"/>
          </w:tcPr>
          <w:p>
            <w:pPr>
              <w:spacing w:after="0"/>
              <w:rPr>
                <w:sz w:val="1"/>
                <w:szCs w:val="1"/>
                <w:color w:val="auto"/>
              </w:rPr>
            </w:pPr>
          </w:p>
        </w:tc>
      </w:tr>
      <w:tr>
        <w:trPr>
          <w:trHeight w:val="131"/>
        </w:trPr>
        <w:tc>
          <w:tcPr>
            <w:tcW w:w="2280" w:type="dxa"/>
            <w:vAlign w:val="bottom"/>
          </w:tcPr>
          <w:p>
            <w:pPr>
              <w:ind w:left="80"/>
              <w:spacing w:after="0"/>
              <w:rPr>
                <w:sz w:val="20"/>
                <w:szCs w:val="20"/>
                <w:color w:val="auto"/>
              </w:rPr>
            </w:pPr>
            <w:r>
              <w:rPr>
                <w:rFonts w:ascii="Times New Roman" w:cs="Times New Roman" w:eastAsia="Times New Roman" w:hAnsi="Times New Roman"/>
                <w:sz w:val="9"/>
                <w:szCs w:val="9"/>
                <w:color w:val="auto"/>
              </w:rPr>
              <w:t>Share-based compensation expense</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2,844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2,844</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Cumulative preferred dividends</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(147)</w:t>
            </w:r>
          </w:p>
        </w:tc>
        <w:tc>
          <w:tcPr>
            <w:tcW w:w="0" w:type="dxa"/>
            <w:vAlign w:val="bottom"/>
          </w:tcPr>
          <w:p>
            <w:pPr>
              <w:spacing w:after="0"/>
              <w:rPr>
                <w:sz w:val="1"/>
                <w:szCs w:val="1"/>
                <w:color w:val="auto"/>
              </w:rPr>
            </w:pPr>
          </w:p>
        </w:tc>
      </w:tr>
      <w:tr>
        <w:trPr>
          <w:trHeight w:val="131"/>
        </w:trPr>
        <w:tc>
          <w:tcPr>
            <w:tcW w:w="2280" w:type="dxa"/>
            <w:vAlign w:val="bottom"/>
          </w:tcPr>
          <w:p>
            <w:pPr>
              <w:ind w:left="80"/>
              <w:spacing w:after="0"/>
              <w:rPr>
                <w:sz w:val="20"/>
                <w:szCs w:val="20"/>
                <w:color w:val="auto"/>
              </w:rPr>
            </w:pPr>
            <w:r>
              <w:rPr>
                <w:rFonts w:ascii="Times New Roman" w:cs="Times New Roman" w:eastAsia="Times New Roman" w:hAnsi="Times New Roman"/>
                <w:sz w:val="9"/>
                <w:szCs w:val="9"/>
                <w:color w:val="auto"/>
              </w:rPr>
              <w:t>Accretion of preferred stock discount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03"/>
        </w:trPr>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Class A common stock issued for warrants exercised, net of</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15,358,229</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2</w:t>
            </w:r>
          </w:p>
        </w:tc>
        <w:tc>
          <w:tcPr>
            <w:tcW w:w="60" w:type="dxa"/>
            <w:vAlign w:val="bottom"/>
            <w:shd w:val="clear" w:color="auto" w:fill="CCEEFF"/>
          </w:tcPr>
          <w:p>
            <w:pPr>
              <w:spacing w:after="0"/>
              <w:rPr>
                <w:sz w:val="8"/>
                <w:szCs w:val="8"/>
                <w:color w:val="auto"/>
              </w:rPr>
            </w:pP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176,552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176,554</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176,554</w:t>
            </w:r>
          </w:p>
        </w:tc>
        <w:tc>
          <w:tcPr>
            <w:tcW w:w="0" w:type="dxa"/>
            <w:vAlign w:val="bottom"/>
          </w:tcPr>
          <w:p>
            <w:pPr>
              <w:spacing w:after="0"/>
              <w:rPr>
                <w:sz w:val="1"/>
                <w:szCs w:val="1"/>
                <w:color w:val="auto"/>
              </w:rPr>
            </w:pPr>
          </w:p>
        </w:tc>
      </w:tr>
      <w:tr>
        <w:trPr>
          <w:trHeight w:val="127"/>
        </w:trPr>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redemption cost</w:t>
            </w:r>
          </w:p>
        </w:tc>
        <w:tc>
          <w:tcPr>
            <w:tcW w:w="8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80" w:type="dxa"/>
            <w:vAlign w:val="bottom"/>
          </w:tcPr>
          <w:p>
            <w:pPr>
              <w:ind w:left="80"/>
              <w:spacing w:after="0"/>
              <w:rPr>
                <w:sz w:val="20"/>
                <w:szCs w:val="20"/>
                <w:color w:val="auto"/>
              </w:rPr>
            </w:pPr>
            <w:r>
              <w:rPr>
                <w:rFonts w:ascii="Times New Roman" w:cs="Times New Roman" w:eastAsia="Times New Roman" w:hAnsi="Times New Roman"/>
                <w:sz w:val="9"/>
                <w:szCs w:val="9"/>
                <w:color w:val="auto"/>
              </w:rPr>
              <w:t>Repurchase of Class A common stock</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700" w:type="dxa"/>
            <w:vAlign w:val="bottom"/>
          </w:tcPr>
          <w:p>
            <w:pPr>
              <w:ind w:left="360"/>
              <w:spacing w:after="0"/>
              <w:rPr>
                <w:sz w:val="20"/>
                <w:szCs w:val="20"/>
                <w:color w:val="auto"/>
              </w:rPr>
            </w:pPr>
            <w:r>
              <w:rPr>
                <w:rFonts w:ascii="Times New Roman" w:cs="Times New Roman" w:eastAsia="Times New Roman" w:hAnsi="Times New Roman"/>
                <w:sz w:val="9"/>
                <w:szCs w:val="9"/>
                <w:color w:val="auto"/>
              </w:rPr>
              <w:t>(20,700)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(20,700)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(20,700)</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Class A common stock issued for stock options exercised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18,790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0" w:type="dxa"/>
            <w:vAlign w:val="bottom"/>
          </w:tcPr>
          <w:p>
            <w:pPr>
              <w:spacing w:after="0"/>
              <w:rPr>
                <w:sz w:val="1"/>
                <w:szCs w:val="1"/>
                <w:color w:val="auto"/>
              </w:rPr>
            </w:pPr>
          </w:p>
        </w:tc>
      </w:tr>
      <w:tr>
        <w:trPr>
          <w:trHeight w:val="131"/>
        </w:trPr>
        <w:tc>
          <w:tcPr>
            <w:tcW w:w="2280" w:type="dxa"/>
            <w:vAlign w:val="bottom"/>
          </w:tcPr>
          <w:p>
            <w:pPr>
              <w:ind w:left="80"/>
              <w:spacing w:after="0"/>
              <w:rPr>
                <w:sz w:val="20"/>
                <w:szCs w:val="20"/>
                <w:color w:val="auto"/>
              </w:rPr>
            </w:pPr>
            <w:r>
              <w:rPr>
                <w:rFonts w:ascii="Times New Roman" w:cs="Times New Roman" w:eastAsia="Times New Roman" w:hAnsi="Times New Roman"/>
                <w:sz w:val="9"/>
                <w:szCs w:val="9"/>
                <w:color w:val="auto"/>
              </w:rPr>
              <w:t>Class A common stock issued for vested RSUs and PSUs</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500,580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(3,436)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(3,436)</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Class A common stock issued for Class C shares canceled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1,592,729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(1,592,729)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5"/>
        </w:trPr>
        <w:tc>
          <w:tcPr>
            <w:tcW w:w="2280" w:type="dxa"/>
            <w:vAlign w:val="bottom"/>
          </w:tcPr>
          <w:p>
            <w:pPr>
              <w:ind w:left="80"/>
              <w:spacing w:after="0" w:line="96" w:lineRule="exact"/>
              <w:rPr>
                <w:sz w:val="20"/>
                <w:szCs w:val="20"/>
                <w:color w:val="auto"/>
              </w:rPr>
            </w:pPr>
            <w:r>
              <w:rPr>
                <w:rFonts w:ascii="Times New Roman" w:cs="Times New Roman" w:eastAsia="Times New Roman" w:hAnsi="Times New Roman"/>
                <w:sz w:val="9"/>
                <w:szCs w:val="9"/>
                <w:color w:val="auto"/>
              </w:rPr>
              <w:t>Issuance of Class C common stock related to earn-out</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7,500,000</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780" w:type="dxa"/>
            <w:vAlign w:val="bottom"/>
            <w:gridSpan w:val="2"/>
            <w:vMerge w:val="restart"/>
          </w:tcPr>
          <w:p>
            <w:pPr>
              <w:ind w:left="5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167,525</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167,525</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9"/>
                <w:szCs w:val="9"/>
                <w:color w:val="auto"/>
              </w:rPr>
              <w:t>167,525</w:t>
            </w:r>
          </w:p>
        </w:tc>
        <w:tc>
          <w:tcPr>
            <w:tcW w:w="0" w:type="dxa"/>
            <w:vAlign w:val="bottom"/>
          </w:tcPr>
          <w:p>
            <w:pPr>
              <w:spacing w:after="0"/>
              <w:rPr>
                <w:sz w:val="1"/>
                <w:szCs w:val="1"/>
                <w:color w:val="auto"/>
              </w:rPr>
            </w:pPr>
          </w:p>
        </w:tc>
      </w:tr>
      <w:tr>
        <w:trPr>
          <w:trHeight w:val="124"/>
        </w:trPr>
        <w:tc>
          <w:tcPr>
            <w:tcW w:w="2280" w:type="dxa"/>
            <w:vAlign w:val="bottom"/>
          </w:tcPr>
          <w:p>
            <w:pPr>
              <w:ind w:left="80"/>
              <w:spacing w:after="0"/>
              <w:rPr>
                <w:sz w:val="20"/>
                <w:szCs w:val="20"/>
                <w:color w:val="auto"/>
              </w:rPr>
            </w:pPr>
            <w:r>
              <w:rPr>
                <w:rFonts w:ascii="Times New Roman" w:cs="Times New Roman" w:eastAsia="Times New Roman" w:hAnsi="Times New Roman"/>
                <w:sz w:val="9"/>
                <w:szCs w:val="9"/>
                <w:color w:val="auto"/>
              </w:rPr>
              <w:t>awards (Note 16)</w:t>
            </w:r>
          </w:p>
        </w:tc>
        <w:tc>
          <w:tcPr>
            <w:tcW w:w="8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80" w:type="dxa"/>
            <w:vAlign w:val="bottom"/>
            <w:shd w:val="clear" w:color="auto" w:fill="CCEEFF"/>
          </w:tcPr>
          <w:p>
            <w:pPr>
              <w:ind w:left="80"/>
              <w:spacing w:after="0" w:line="100" w:lineRule="exact"/>
              <w:rPr>
                <w:sz w:val="20"/>
                <w:szCs w:val="20"/>
                <w:color w:val="auto"/>
              </w:rPr>
            </w:pPr>
            <w:r>
              <w:rPr>
                <w:rFonts w:ascii="Times New Roman" w:cs="Times New Roman" w:eastAsia="Times New Roman" w:hAnsi="Times New Roman"/>
                <w:sz w:val="9"/>
                <w:szCs w:val="9"/>
                <w:color w:val="auto"/>
              </w:rPr>
              <w:t>Subsequent remeasurement of redeemable noncontrolling</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(343,267)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904,443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561,176</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561,176</w:t>
            </w:r>
          </w:p>
        </w:tc>
        <w:tc>
          <w:tcPr>
            <w:tcW w:w="0" w:type="dxa"/>
            <w:vAlign w:val="bottom"/>
          </w:tcPr>
          <w:p>
            <w:pPr>
              <w:spacing w:after="0"/>
              <w:rPr>
                <w:sz w:val="1"/>
                <w:szCs w:val="1"/>
                <w:color w:val="auto"/>
              </w:rPr>
            </w:pPr>
          </w:p>
        </w:tc>
      </w:tr>
      <w:tr>
        <w:trPr>
          <w:trHeight w:val="127"/>
        </w:trPr>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interests</w:t>
            </w:r>
          </w:p>
        </w:tc>
        <w:tc>
          <w:tcPr>
            <w:tcW w:w="88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88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80" w:type="dxa"/>
            <w:vAlign w:val="bottom"/>
          </w:tcPr>
          <w:p>
            <w:pPr>
              <w:ind w:left="80"/>
              <w:spacing w:after="0"/>
              <w:rPr>
                <w:sz w:val="20"/>
                <w:szCs w:val="20"/>
                <w:color w:val="auto"/>
              </w:rPr>
            </w:pPr>
            <w:r>
              <w:rPr>
                <w:rFonts w:ascii="Times New Roman" w:cs="Times New Roman" w:eastAsia="Times New Roman" w:hAnsi="Times New Roman"/>
                <w:sz w:val="9"/>
                <w:szCs w:val="9"/>
                <w:color w:val="auto"/>
              </w:rPr>
              <w:t>Net income attributable to noncontrolling interest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462</w:t>
            </w: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Net loss attributable to the Company</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(11,396)</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(11,396)</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(11,396)</w:t>
            </w:r>
          </w:p>
        </w:tc>
        <w:tc>
          <w:tcPr>
            <w:tcW w:w="0" w:type="dxa"/>
            <w:vAlign w:val="bottom"/>
          </w:tcPr>
          <w:p>
            <w:pPr>
              <w:spacing w:after="0"/>
              <w:rPr>
                <w:sz w:val="1"/>
                <w:szCs w:val="1"/>
                <w:color w:val="auto"/>
              </w:rPr>
            </w:pPr>
          </w:p>
        </w:tc>
      </w:tr>
      <w:tr>
        <w:trPr>
          <w:trHeight w:val="136"/>
        </w:trPr>
        <w:tc>
          <w:tcPr>
            <w:tcW w:w="228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Balance, March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119,329,328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7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9"/>
                <w:szCs w:val="9"/>
                <w:b w:val="1"/>
                <w:bCs w:val="1"/>
                <w:color w:val="auto"/>
              </w:rPr>
              <w:t>12</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61,301,804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7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00" w:type="dxa"/>
            <w:vAlign w:val="bottom"/>
          </w:tcPr>
          <w:p>
            <w:pPr>
              <w:ind w:left="360"/>
              <w:spacing w:after="0"/>
              <w:rPr>
                <w:sz w:val="20"/>
                <w:szCs w:val="20"/>
                <w:color w:val="auto"/>
              </w:rPr>
            </w:pPr>
            <w:r>
              <w:rPr>
                <w:rFonts w:ascii="Times New Roman" w:cs="Times New Roman" w:eastAsia="Times New Roman" w:hAnsi="Times New Roman"/>
                <w:sz w:val="9"/>
                <w:szCs w:val="9"/>
                <w:b w:val="1"/>
                <w:bCs w:val="1"/>
                <w:color w:val="auto"/>
              </w:rPr>
              <w:t>(33,525)</w:t>
            </w:r>
          </w:p>
        </w:tc>
        <w:tc>
          <w:tcPr>
            <w:tcW w:w="80" w:type="dxa"/>
            <w:vAlign w:val="bottom"/>
          </w:tcPr>
          <w:p>
            <w:pPr>
              <w:spacing w:after="0"/>
              <w:rPr>
                <w:sz w:val="11"/>
                <w:szCs w:val="11"/>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(103,406)</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(136,913)</w:t>
            </w:r>
          </w:p>
        </w:tc>
        <w:tc>
          <w:tcPr>
            <w:tcW w:w="80" w:type="dxa"/>
            <w:vAlign w:val="bottom"/>
          </w:tcPr>
          <w:p>
            <w:pPr>
              <w:spacing w:after="0"/>
              <w:rPr>
                <w:sz w:val="11"/>
                <w:szCs w:val="11"/>
                <w:color w:val="auto"/>
              </w:rPr>
            </w:pPr>
          </w:p>
        </w:tc>
        <w:tc>
          <w:tcPr>
            <w:tcW w:w="22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1,690</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(135,223)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520" w:top="738" w:right="5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t>INTUITIVE MACHINES,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r>
      <w:tr>
        <w:trPr>
          <w:trHeight w:val="13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9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45"/>
        </w:trPr>
        <w:tc>
          <w:tcPr>
            <w:tcW w:w="8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96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(52,528)</w:t>
            </w:r>
          </w:p>
        </w:tc>
        <w:tc>
          <w:tcPr>
            <w:tcW w:w="80" w:type="dxa"/>
            <w:vAlign w:val="bottom"/>
          </w:tcPr>
          <w:p>
            <w:pPr>
              <w:spacing w:after="0"/>
              <w:rPr>
                <w:sz w:val="12"/>
                <w:szCs w:val="12"/>
                <w:color w:val="auto"/>
              </w:rPr>
            </w:pPr>
          </w:p>
        </w:tc>
        <w:tc>
          <w:tcPr>
            <w:tcW w:w="960" w:type="dxa"/>
            <w:vAlign w:val="bottom"/>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w:t>
            </w:r>
          </w:p>
        </w:tc>
      </w:tr>
      <w:tr>
        <w:trPr>
          <w:trHeight w:val="15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45"/>
        </w:trPr>
        <w:tc>
          <w:tcPr>
            <w:tcW w:w="8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960" w:type="dxa"/>
            <w:vAlign w:val="bottom"/>
          </w:tcPr>
          <w:p>
            <w:pPr>
              <w:spacing w:after="0"/>
              <w:rPr>
                <w:sz w:val="12"/>
                <w:szCs w:val="12"/>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13,048</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w:t>
            </w:r>
          </w:p>
        </w:tc>
      </w:tr>
      <w:tr>
        <w:trPr>
          <w:trHeight w:val="15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Bad debt expense</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357</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8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Amortization of debt discount and issuance costs</w:t>
            </w:r>
          </w:p>
        </w:tc>
        <w:tc>
          <w:tcPr>
            <w:tcW w:w="960" w:type="dxa"/>
            <w:vAlign w:val="bottom"/>
          </w:tcPr>
          <w:p>
            <w:pPr>
              <w:spacing w:after="0"/>
              <w:rPr>
                <w:sz w:val="12"/>
                <w:szCs w:val="12"/>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277</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8,842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2,844</w:t>
            </w:r>
          </w:p>
        </w:tc>
      </w:tr>
      <w:tr>
        <w:trPr>
          <w:trHeight w:val="145"/>
        </w:trPr>
        <w:tc>
          <w:tcPr>
            <w:tcW w:w="8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Change in fair value of earn-out liabilities</w:t>
            </w:r>
          </w:p>
        </w:tc>
        <w:tc>
          <w:tcPr>
            <w:tcW w:w="9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33,369</w:t>
            </w:r>
          </w:p>
        </w:tc>
      </w:tr>
      <w:tr>
        <w:trPr>
          <w:trHeight w:val="15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Change in fair value of warrant liabilities</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9,422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(43,002)</w:t>
            </w:r>
          </w:p>
        </w:tc>
      </w:tr>
      <w:tr>
        <w:trPr>
          <w:trHeight w:val="145"/>
        </w:trPr>
        <w:tc>
          <w:tcPr>
            <w:tcW w:w="8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Change in fair value of contingent consideration liabilities</w:t>
            </w:r>
          </w:p>
        </w:tc>
        <w:tc>
          <w:tcPr>
            <w:tcW w:w="960" w:type="dxa"/>
            <w:vAlign w:val="bottom"/>
          </w:tcPr>
          <w:p>
            <w:pPr>
              <w:spacing w:after="0"/>
              <w:rPr>
                <w:sz w:val="12"/>
                <w:szCs w:val="12"/>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521</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(1,927)</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r>
      <w:tr>
        <w:trPr>
          <w:trHeight w:val="145"/>
        </w:trPr>
        <w:tc>
          <w:tcPr>
            <w:tcW w:w="8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Trade and other receivables, net</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1,275</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15,418</w:t>
            </w:r>
          </w:p>
        </w:tc>
      </w:tr>
      <w:tr>
        <w:trPr>
          <w:trHeight w:val="145"/>
        </w:trPr>
        <w:tc>
          <w:tcPr>
            <w:tcW w:w="8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Inventory, net</w:t>
            </w:r>
          </w:p>
        </w:tc>
        <w:tc>
          <w:tcPr>
            <w:tcW w:w="9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(1,726)</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Contract assets</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(12,642)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13,077</w:t>
            </w:r>
          </w:p>
        </w:tc>
      </w:tr>
      <w:tr>
        <w:trPr>
          <w:trHeight w:val="145"/>
        </w:trPr>
        <w:tc>
          <w:tcPr>
            <w:tcW w:w="8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Prepaid expenses</w:t>
            </w:r>
          </w:p>
        </w:tc>
        <w:tc>
          <w:tcPr>
            <w:tcW w:w="9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(17,685)</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(1,576)</w:t>
            </w:r>
          </w:p>
        </w:tc>
      </w:tr>
      <w:tr>
        <w:trPr>
          <w:trHeight w:val="15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Orbital receivables, net</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7,689</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8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Other assets, net</w:t>
            </w:r>
          </w:p>
        </w:tc>
        <w:tc>
          <w:tcPr>
            <w:tcW w:w="960" w:type="dxa"/>
            <w:vAlign w:val="bottom"/>
          </w:tcPr>
          <w:p>
            <w:pPr>
              <w:spacing w:after="0"/>
              <w:rPr>
                <w:sz w:val="12"/>
                <w:szCs w:val="12"/>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3,012</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w:t>
            </w:r>
          </w:p>
        </w:tc>
      </w:tr>
      <w:tr>
        <w:trPr>
          <w:trHeight w:val="15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26,483</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5,856</w:t>
            </w:r>
          </w:p>
        </w:tc>
      </w:tr>
      <w:tr>
        <w:trPr>
          <w:trHeight w:val="145"/>
        </w:trPr>
        <w:tc>
          <w:tcPr>
            <w:tcW w:w="8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Accounts payable – affiliated companies</w:t>
            </w:r>
          </w:p>
        </w:tc>
        <w:tc>
          <w:tcPr>
            <w:tcW w:w="960" w:type="dxa"/>
            <w:vAlign w:val="bottom"/>
          </w:tcPr>
          <w:p>
            <w:pPr>
              <w:spacing w:after="0"/>
              <w:rPr>
                <w:sz w:val="12"/>
                <w:szCs w:val="12"/>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682</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1,789</w:t>
            </w:r>
          </w:p>
        </w:tc>
      </w:tr>
      <w:tr>
        <w:trPr>
          <w:trHeight w:val="15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Contract liabilities – current and long-term</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(17,119)</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(8,626)</w:t>
            </w:r>
          </w:p>
        </w:tc>
      </w:tr>
      <w:tr>
        <w:trPr>
          <w:trHeight w:val="145"/>
        </w:trPr>
        <w:tc>
          <w:tcPr>
            <w:tcW w:w="8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Securitization liabilities</w:t>
            </w:r>
          </w:p>
        </w:tc>
        <w:tc>
          <w:tcPr>
            <w:tcW w:w="9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(2,692)</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Pension and other postretirement benefits</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(2,763)</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Other liabilities</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(17,294)</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(2,069)</w:t>
            </w:r>
          </w:p>
        </w:tc>
      </w:tr>
      <w:tr>
        <w:trPr>
          <w:trHeight w:val="142"/>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b w:val="1"/>
                <w:bCs w:val="1"/>
                <w:color w:val="auto"/>
              </w:rPr>
              <w:t>Net cash provided by (used in) operating activities</w:t>
            </w:r>
          </w:p>
        </w:tc>
        <w:tc>
          <w:tcPr>
            <w:tcW w:w="9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(54,768)</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19,419</w:t>
            </w:r>
          </w:p>
        </w:tc>
      </w:tr>
      <w:tr>
        <w:trPr>
          <w:trHeight w:val="126"/>
        </w:trPr>
        <w:tc>
          <w:tcPr>
            <w:tcW w:w="822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1"/>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 of property and equipment</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(9,876)</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(6,122)</w:t>
            </w:r>
          </w:p>
        </w:tc>
      </w:tr>
      <w:tr>
        <w:trPr>
          <w:trHeight w:val="145"/>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(444,779)</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9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(454,655)</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(6,122)</w:t>
            </w:r>
          </w:p>
        </w:tc>
      </w:tr>
      <w:tr>
        <w:trPr>
          <w:trHeight w:val="126"/>
        </w:trPr>
        <w:tc>
          <w:tcPr>
            <w:tcW w:w="822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1"/>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Warrants exercised</w:t>
            </w:r>
          </w:p>
        </w:tc>
        <w:tc>
          <w:tcPr>
            <w:tcW w:w="9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176,620</w:t>
            </w:r>
          </w:p>
        </w:tc>
      </w:tr>
      <w:tr>
        <w:trPr>
          <w:trHeight w:val="145"/>
        </w:trPr>
        <w:tc>
          <w:tcPr>
            <w:tcW w:w="8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Redemption of warrants</w:t>
            </w:r>
          </w:p>
        </w:tc>
        <w:tc>
          <w:tcPr>
            <w:tcW w:w="9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5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Transaction costs related to the issuance of securities</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(7,550)</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8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Repurchase of Class A Common Stock</w:t>
            </w:r>
          </w:p>
        </w:tc>
        <w:tc>
          <w:tcPr>
            <w:tcW w:w="9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(20,700)</w:t>
            </w:r>
          </w:p>
        </w:tc>
      </w:tr>
      <w:tr>
        <w:trPr>
          <w:trHeight w:val="15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issuance of securities</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175,000</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Payment of withholding taxes from share-based awards</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(3,505)</w:t>
            </w:r>
          </w:p>
        </w:tc>
      </w:tr>
      <w:tr>
        <w:trPr>
          <w:trHeight w:val="142"/>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9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167,449</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152,349</w:t>
            </w:r>
          </w:p>
        </w:tc>
      </w:tr>
      <w:tr>
        <w:trPr>
          <w:trHeight w:val="136"/>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increase (decrease) in cash, cash equivalents and restricted cash</w:t>
            </w:r>
          </w:p>
        </w:tc>
        <w:tc>
          <w:tcPr>
            <w:tcW w:w="9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(341,974)</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165,646</w:t>
            </w:r>
          </w:p>
        </w:tc>
      </w:tr>
      <w:tr>
        <w:trPr>
          <w:trHeight w:val="15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the period</w:t>
            </w:r>
          </w:p>
        </w:tc>
        <w:tc>
          <w:tcPr>
            <w:tcW w:w="9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585,339</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209,649</w:t>
            </w:r>
          </w:p>
        </w:tc>
      </w:tr>
      <w:tr>
        <w:trPr>
          <w:trHeight w:val="13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end of the period</w:t>
            </w:r>
          </w:p>
        </w:tc>
        <w:tc>
          <w:tcPr>
            <w:tcW w:w="9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243,365</w:t>
            </w:r>
          </w:p>
        </w:tc>
        <w:tc>
          <w:tcPr>
            <w:tcW w:w="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375,295</w:t>
            </w:r>
          </w:p>
        </w:tc>
      </w:tr>
      <w:tr>
        <w:trPr>
          <w:trHeight w:val="1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restricted cash</w:t>
            </w:r>
          </w:p>
        </w:tc>
        <w:tc>
          <w:tcPr>
            <w:tcW w:w="9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11,741</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42"/>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end of the period</w:t>
            </w:r>
          </w:p>
        </w:tc>
        <w:tc>
          <w:tcPr>
            <w:tcW w:w="96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231,624</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373,253</w:t>
            </w:r>
          </w:p>
        </w:tc>
      </w:tr>
      <w:tr>
        <w:trPr>
          <w:trHeight w:val="71"/>
        </w:trPr>
        <w:tc>
          <w:tcPr>
            <w:tcW w:w="82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r>
      <w:tr>
        <w:trPr>
          <w:trHeight w:val="146"/>
        </w:trPr>
        <w:tc>
          <w:tcPr>
            <w:tcW w:w="8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9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r>
      <w:tr>
        <w:trPr>
          <w:trHeight w:val="151"/>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paid for interest</w:t>
            </w:r>
          </w:p>
        </w:tc>
        <w:tc>
          <w:tcPr>
            <w:tcW w:w="96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8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Cash paid for taxes</w:t>
            </w:r>
          </w:p>
        </w:tc>
        <w:tc>
          <w:tcPr>
            <w:tcW w:w="96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70</w:t>
            </w:r>
          </w:p>
        </w:tc>
        <w:tc>
          <w:tcPr>
            <w:tcW w:w="80" w:type="dxa"/>
            <w:vAlign w:val="bottom"/>
          </w:tcPr>
          <w:p>
            <w:pPr>
              <w:spacing w:after="0"/>
              <w:rPr>
                <w:sz w:val="12"/>
                <w:szCs w:val="12"/>
                <w:color w:val="auto"/>
              </w:rPr>
            </w:pPr>
          </w:p>
        </w:tc>
        <w:tc>
          <w:tcPr>
            <w:tcW w:w="960" w:type="dxa"/>
            <w:vAlign w:val="bottom"/>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5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capital expenditures</w:t>
            </w:r>
          </w:p>
        </w:tc>
        <w:tc>
          <w:tcPr>
            <w:tcW w:w="96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10,092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w:t>
            </w:r>
          </w:p>
        </w:tc>
      </w:tr>
      <w:tr>
        <w:trPr>
          <w:trHeight w:val="146"/>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activities:</w:t>
            </w: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1"/>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Class A Common Stock issued in acquisition, at fair value</w:t>
            </w:r>
          </w:p>
        </w:tc>
        <w:tc>
          <w:tcPr>
            <w:tcW w:w="96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403,952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Noncash financing activities:</w:t>
            </w: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1"/>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Class C Common Stock related to earn-out awards (Note 16)</w:t>
            </w:r>
          </w:p>
        </w:tc>
        <w:tc>
          <w:tcPr>
            <w:tcW w:w="96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167,525</w:t>
            </w:r>
          </w:p>
        </w:tc>
      </w:tr>
      <w:tr>
        <w:trPr>
          <w:trHeight w:val="142"/>
        </w:trPr>
        <w:tc>
          <w:tcPr>
            <w:tcW w:w="8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Preferred dividends</w:t>
            </w:r>
          </w:p>
        </w:tc>
        <w:tc>
          <w:tcPr>
            <w:tcW w:w="96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80" w:type="dxa"/>
            <w:vAlign w:val="bottom"/>
          </w:tcPr>
          <w:p>
            <w:pPr>
              <w:spacing w:after="0"/>
              <w:rPr>
                <w:sz w:val="12"/>
                <w:szCs w:val="12"/>
                <w:color w:val="auto"/>
              </w:rPr>
            </w:pPr>
          </w:p>
        </w:tc>
        <w:tc>
          <w:tcPr>
            <w:tcW w:w="960" w:type="dxa"/>
            <w:vAlign w:val="bottom"/>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BUSINESS DESCRIPTION</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Intuitive Machines, Inc. (formerly known as Inflection Point Acquisition Corp. or “IPAX”), collectively with its subsidiaries (the “Company,” “IM,” “Intuitive Machines,” “we,” “us” or “our”) is a space technology, infrastructure, and services company that is contributing to the establishment of cislunar infrastructure and commerce. Cislunar encompasses objects in orbit in the Earth-Moon system and on the Lunar surface. We are focused on establishing the lunar infrastructure and basis for commerce to inform and sustain human presence off Earth. We believe our business is well positioned for continued growth and expansion as we scale these services. Our vision is that our infrastructure services enable our customers to focus on their unique contributions to create a thriving, diverse cislunar economy and expand the commercial space exploration marketplace. IM is currently headquartered in Houston, Texas.</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Intuitive Machines, Inc.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Stock Market LLC (the “Nasdaq”).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IPAX Business Combination</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September 16, 2022, IPAX entered into a certain Business Combination Agreement (the “Business Combination Agreement”) by and between IPAX and Intuitive Machines, LLC, a Delaware limited liability company (formerly, a Texas limited liability company). On February 10, 2023, IPAX filed a notice of deregistration with the Cayman Islands Registrar of Companies, together with the necessary accompanying documents, and filed a certificate of incorporation and certificate of corporate domestication with the Secretary of State of the State of Delaware, pursuant to which IPAX was domesticated and continues as a Delaware corporation, changing its name to “Intuitive Machines, Inc.”</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February 13, 2023 (the “Closing Date”), Intuitive Machines, Inc. and Intuitive Machines, LLC consummated the previously announced business combination (the “Business Combination”) and related transactions (the “Transactions”) contemplated by the Business Combination Agreement. As a result of the Transactions, all of the issued and outstanding common units of Intuitive Machines, LLC were converted into common stock of Intuitive Machines, Inc. using an exchange ratio of 0.5562 shares of Intuitive Machines, Inc. common stock per each unit of Intuitive Machines, LLC Common Unit. In addition, Intuitive Machines, LLC’s share-based compensation plan and related share-based compensation awards were exchanged or converted, as applicable, into common stock of Intuitive Machines, Inc.</w:t>
      </w:r>
    </w:p>
    <w:p>
      <w:pPr>
        <w:spacing w:after="0" w:line="1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connection with the Transactions, the Company was reorganized into an umbrella partnership C corporation (or “Up-C”) structure, in which substantially all of the assets and business of the Company are held by Intuitive Machines, LLC and continue to operate through Intuitive Machines, LLC and its subsidiaries. Intuitive Machines, Inc. is a holding company whose only material asset is its equity ownership interests of Intuitive Machines, LLC. While Intuitive Machines, LLC became a subsidiary of Intuitive Machines, Inc. and Intuitive Machines, Inc. was appointed as its managing member, Intuitive Machines, LLC was deemed to be the acquirer in the Business Combination for accounting purposes. Accordingly, the Business Combination was accounted for as a reverse recapitalization, in which case the consolidated financial statements of the Company represent a continuation of Intuitive Machines, LLC and the issuance of common stock in exchange for the net assets of Intuitive Machines, Inc. was recorded at historical cost with no recognition of goodwill or other intangible assets. Operations prior to the Business Combination are those of Intuitive Machines, LLC. In addition, the number of shares subject to, and the exercise price of, the Company’s outstanding options were adjusted to reflect the Business Combination. The treatment of the Business Combination as a reverse recapitalization was based upon the pre-merger members of Intuitive Machines, LLC holding the majority of the voting interests of Intuitive Machines, Inc., Intuitive Machines, LLC’s existing management team serving as the initial management team of Intuitive Machines, Inc., Intuitive Machines, LLC’s appointment of the majority of the initial board of directors of Intuitive Machines, Inc., and the significance of Intuitive Machines, LLC’s operations prior to the Business Combination which represent the entirety of Company’s operations.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Beginning on February 14, 2023, the Company’s Class A common stock, par value $0.0001 per share (“Class A Common Stock”) and warrants to purchase the Class A Common Stock at an exercise price of $11.50 per share (the “Warrants” as further defined in Note 13) began trading on Nasdaq under the symbols “LUNR” and “LUNRW,” respectively. On February 4, 2025, the Company announced the redemption of all of its outstanding publicly issued Warrants. In connection with the redemption, the unexercised Warrants ceased trading on the Nasdaq and were delisted, with the suspension of trading effective before the market opened on March 6,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 and Principles of Consolidation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unaudited condensed consolidated financial statements and related notes have been prepared in accordance with United States generally accepted accounting principles (“U.S. GAAP”) for interim reporting and pursuant to the rules and regulations of the SEC. Certain information and footnote disclosures normally included in annual financial statements prepared in accordance with U.S. GAAP have been condensed or omitted pursuant to such rules and regulations relating to interim financial statements. Our condensed consolidated financial statements include the accounts of Intuitive Machines, Lanteris Space Holdings LLC (“Lanteris”)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KinetX Inc. (“KinetX”), Space Network Solutions, LLC (“SNS” or “Space Network Solutions”) a majority-owned subsidiary, and IX, LLC, a variable interest entity (“VIE”) for which we are the primary beneficiary. All intercompany balances and transactions have been eliminated in consolidation.</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should be read in conjunction with the Company’s audited consolidated financial statements as of and for the years ended December 31, 2025 and 2024 contained in our Annual Report on Form 10-K, filed with the SEC on March 19, 2026. Operating results for the three months ended March 31, 2026 are not necessarily indicative of the results that may be expected for the year ending December 31, 2026. Management’s opinion is that all adjustments for a fair statement of the results for the interim periods have been made, and all adjustments are of a normal recurring nature or a description of the nature and amount of any adjustments other than normal recurring adjustments have been appropriately disclosed.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Reclassifications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prior period amounts have been reclassified to conform to current period presentation. The Company reclassed certain prior period amounts to a separate line item in the condensed consolidated balance sheets and condensed consolidated statement of operations. These reclassifications did not result in any changes to previously reported net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preparation of our condensed consolidated financial statements in conformity with U.S. GAAP requires us to make estimates and assumptions that affect the amounts reported in the condensed consolidated financial statements and the accompanying notes. Due to the inherent uncertainty involved in making estimates, actual results could differ from those estimates.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bases its estimates and assumptions on historical experience,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reporting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Reporting</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While the Company engages in manufacturing, mission services, and related activities, these operations are highly integrated and are not managed or evaluated separately by the CODM. The Company has determined that it operates in one operating segment and one reportable segment, as the CODM reviews financial information presented on a consolidated basis for purposes of making operating decisions, allocating resources and evaluating financial performance. See Note 21 - Segment Information for additional disclosures on segment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Credit Risks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principally of cash and cash equivalents and accounts receivable. By their nature, all such financial instruments involve risks, including the credit risk of nonperformance by counterparties.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majority of the Company’s cash and cash equivalents are held at major financial institutions. Certain account balances exceed the Federal Deposit Insurance Corporation insurance limits of $250,000 per account. The Company generally does not require collateral to support the obligations of the counterparties and cash levels held at banks are more than federally insured limits. The Company limits its exposure to credit loss by maintaining its cash and cash equivalents with highly rated financial institutions. The Company has not experienced material losses on its deposits of cash and cash equivalents.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monitors the creditworthiness of its customers to whom it grants credit terms in the normal course of its business.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expected credit losses against amounts to reduce the net recognized receivable to the amount it reasonably believes will be collected and revenue recognition is deferred until the amount is collected and the contract is completed. For all other customers, the Company records allowances for credit losses based on the specific analysis of the customer’s ability to pay on an as needed basis.</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Major customers are defined as those individually comprising more than 10% of the Company’s total revenue. There were four major customer that accounted for 36%, 26%, 13%, and 13% of the Company’s total revenue for the three months ended March 31, 2026 and there was one major customer that accounted for 78% of the Company’s total revenue for the three months ended March 31, 2025. As of March 31, 2026, there were four major customers that accounted for 37%, 12%, 19%, and 14% of the accounts receivable balance as of March 31, 2026 and there was three major customer that accounted for 49%, 23%, and 11% of the accounts receivable balance as of December 31, 2025.</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Major suppliers are defined as those individually comprising more than 10% of the annual goods or services purchased. There was one major supplier that accounted for 11% the goods and services we purchased during the three months ended March 31, 2026, and there was no major supplier that accounted for more than 10% of the goods and services purchased during three months ended March 31, 2025. As of March 31, 2026 and December 31, 2025, there was one major supplier that accounted for 19% and 11% of the accounts payable balance,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 and other receivables, net</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Trade and other receivables include amounts billed to customers, unbilled receivables in which the Company’s right to consideration is unconditional and current portion of orbital receivables, net of allowance for expected credit losses. The Company bills customers as work progresses in accordance with agreed-upon contractual terms, either at periodic intervals, upon achievement of contractual milestones or upon deliveries. The Company estimates allowance for credit losses based on the credit worthiness of each customer, historical collections experience and other information, including the aging of the receivables. The Company writes off accounts receivable against the allowance for credit losses when a balance is unlikely to be collected.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Orbital Receivables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Orbital receivables relate to performance incentives due under certain satellite construction contracts that are paid over the in-orbit life of the satellite. Orbital receivables are recognized as revenue when measuring progress under the cost-to-cost method during the construction period. The interest portion of the in-orbit payments is recognized as orbital revenue and included in product revenue in the condensed consolidated statement of operations. Current orbital receivables are included in trade and other receivables, net and the long-term portion of orbital receivables, net is disclosed in the condensed consolidated balance sheets. See Note 5 - Trade and Other Receivables, net for additional information on the orbital receivables.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records an allowance on its orbital receivables when, based on current events and circumstances, it believes it is probable the outstanding amounts will not be collected. The Company utilizes customer credit ratings, expected credit loss and other credit quality indicators, as well as contractual terms to evaluate the collectability of orbital receivables. When qualitative factors indicate that all or a portion of an outstanding orbital receivable is uncollectable, or that all or a portion of an outstanding orbital receivable previously deemed uncollectable is collectable, a fair value assessment is performed using a discounted cash flow model as an indicator to determine whether an increase or decrease in the allowance is necessary. Increases and decreases in the orbital receivables allowance are included in (gain) loss on orbital receivables allowance in the product revenue on the condensed consolidated statements of operations.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 Company does not fulfill its performance obligation associated with its orbital receivables, a write-off of those orbital receivables will occur resulting in a reduction in the contractual value and revenue recognition associated with the performance obligation. The Company has a revolving securitization facility agreement with an international financial institution. Under the terms of the agreement, the Company may offer to sell eligible orbital receivables from time to time with terms of five years or less, discounted to face value using effective interest rates.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orbital receivables that have been securitized remain recognized on the condensed consolidated balance sheets as the Company does not meet the accounting criteria for surrendering control of the receivables. The net proceeds received on the orbital receivables have been recognized as securitization liabilities and are subsequently measured at amortized cost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14" w:name="page15"/>
    <w:bookmarkEnd w:id="14"/>
    <w:p>
      <w:pPr>
        <w:jc w:val="both"/>
        <w:spacing w:after="0" w:line="270" w:lineRule="auto"/>
        <w:rPr>
          <w:sz w:val="20"/>
          <w:szCs w:val="20"/>
          <w:color w:val="auto"/>
        </w:rPr>
      </w:pPr>
      <w:r>
        <w:rPr>
          <w:rFonts w:ascii="Times New Roman" w:cs="Times New Roman" w:eastAsia="Times New Roman" w:hAnsi="Times New Roman"/>
          <w:sz w:val="14"/>
          <w:szCs w:val="14"/>
          <w:color w:val="auto"/>
        </w:rPr>
        <w:t>using the effective interest rate method. Securitization liabilities are presented in other current liabilities and other non-current liabilities on the condensed consolidated balance sheets. The securitized orbital receivables and the securitization liabilities are being drawn down as payments are received from the customers and passed on to the purchaser of the tranche. The Company continues to recognize orbital revenue on the orbital receivables that are subject to the securitization transactions and recognizes interest expense to accrete the securitization liability.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Inventories are measured at the lower of cost or net realizable value and consist primarily of parts and sub-assemblies used in the manufacturing of satellites. The cost of inventories is determined on a first-in-first-out basis or weighted average cost basis, depending on the nature of the inventory. Net realizable value is the estimated selling price in the ordinary course of business, less the estimated costs of completion and selling expense. Inventory is impaired when it is probable inventory values exceed their net realizable value.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Acquisitions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Transaction costs consists of direct legal, consulting, audit and other fees related to the business acquisition of Lanteris as further described herein in Note 3 - Acquisitions. For the three months ended March 31, 2026, transaction costs incurred related to acquisitions totaled approximately $20.0 million and was recorded to general and administrative expenses in our statement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Securities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Transaction costs related to various agreements for the issuance of securities (as further described in Note 12), includes direct legal, broker, accounting and other fees. Transaction costs related to these activities totaled approximately $7.5 million for the three months ended March 31, 2026 and were netted against the proceeds recorded in additional paid in capital.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Warranty and After-Sale Service Costs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Warranty and after-sale service provisions are based on management’s best estimate of the expected obligation using historical warranty data and experience. In connection with our acquisition of Lanteris (as further discussed in Note 3 - Acquisitions), we assumed warranty and after-sale service liabilities which are presented in other current liabilities and other long-term liabilities on our condensed consolidated balance sheets. Warranty and after-sale service costs are recognized within cost of product revenue (excluding depreciation and amortization) in the condensed consolidated statement of operations. The current and non-current portions of the warranty and after-sale service liabilities totaled $11.7 million as of March 31, 2026 and $13.3 million as of January 13, 2026, the acquisition date of Lanteris, with the $1.6 million change attributable to payments and uses of the warranty.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Benefit Pension and Other Postretirement Benefit Plans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assumed defined benefit pension and other postretirement benefit plans for certain employees associated with the recent Lanteris acquisition. Pension and postretirement obligation balances and related costs reflected within the condensed consolidated financial statements include costs directly attributable to plans dedicated to the Company. The pension and other postretirement plan benefits were frozen on December 31, 2013. See Note 15 - Employee Benefit Plans for additional information on the defined benefit and other postretirement plans and Note 3 - Acquisitions for more information on the acquisition of Lanteris.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recognizes the funded status of each pension and other postretirement benefit plan in the condensed consolidated balance sheets. The calculation of pension and other postretirement benefit obligations is performed annually by qualified actuaries using the projected unit credit actuarial cost method. The projected benefit obligation is the sum of the actuarial present value of all pension benefits attributed to benefit service completed to the determination date.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Pension and other postretirement plan liabilities are revalued annually, or when an event occurs that requires remeasurement, based on updated assumptions and information about the individuals covered by the plan. The Company’s net obligation in respect of the pension and other postretirement benefit plans is calculated separately for each plan by estimating the amount of future benefit that employees have earned in the prior periods, discounting that amount and deducting the fair value of associated plan assets.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5" w:name="page16"/>
    <w:bookmarkEnd w:id="15"/>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uses the net asset value (“NAV”) practical expedient to measure the fair value of the plan’s commingled fund investments. These commingled fund investments for which the fair value is measured using the NAV practical expedient are excluded from the fair value hierarchy.</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recognizes the amortization of prior service costs as a component of general and administrative expense. All other costs, including administrative expenses related to frozen plans, are recognized within other income (expense), net. When the benefits of a plan are changed or when a plan is curtailed, the resulting change in the net benefit liability that relates to past service or the gain or loss on curtailment is recognized immediately in accumulated other comprehensive income (loss). The Company recognizes gains or losses on the settlement of a defined benefit plan when settlement occurs.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Company’s pension and other postretirement benefit plans, accumulated actuarial gains and losses in excess of a 10 percent corridor and the prior service cost are amortized on a straight-line basis from the date recognized over the average remaining service period of active participants or over the average life expectancy for plans with significant inactive participants.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unaudited condensed consolidated financial statements as of March 31, 2026 and for the three months ended March 31, 2026 and 2025, and related notes were prepared on the basis of a going concern, which contemplates that the Company will be able to realize assets and discharge liabilities in the normal course of business.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March 31, 2026, the Company had cash and cash equivalents of $231.6 million and working capital of $89.8 million. The Company invests excess cash in highly liquid, low risk interest-bearing overnight sweep and demand deposit accounts with major financial institutions. The Company has historically funded its operations through internally generated cash on hand, proceeds from sales of its capital stock, proceeds from warrant exercises, and proceeds from the issuance of bank debt.</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13, 2026, the Company completed the acquisition of 100% of the issued and outstanding membership interests of Lanteris Space Holdings LLC (“Lanteris”), formerly Maxar Space Systems, a spacecraft manufacturer, from Advent International LLC. The aggregate consideration transferred at the closing of the acquisition was $851.0 million, consisting of $403.3 million in cash plus $43.7 million of transaction bonuses deemed to be part of consideration and the issuance of 22,991,028 shares of the Company’s Class A Common Stock valued at $404.0 million based on the acquisition date closing stock price of $17.57. The Company funded the cash consideration using cash on hand. See Note 3 - Acquisitions for more information on the acquisition of Lanteris.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27, 2026, the Company completed the issuance and sale to certain institutional investors or their affiliates (collectively, the “Investors”) of 11,574,069 shares of the Company’s Class A Common Stock at a price of $15.12 per share for an aggregate purchase price of $175.0 million pursuant to the terms of a definitive securities purchase agreement (the “Securities Purchase Agreement”), and incurred related transaction costs of $7.5 million for the three months ended March 31, 2026. Refer to Note 12 for additional information on this issuance.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believes that the cash and cash equivalents as of March 31, 2026 and the liquidity provided the proceeds of the issuance of securities pursuant to the Securities Purchase Agreement and the issuance of the Convertible Notes (defined in Note 10 - Debt), will be sufficient to fund the short-term liquidity needs and the execution of the business plan through at least the twelve-month period from the date the financial statements are issued.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November 2024, the FASB issued ASU 2024-04, Debt - Debt with Conversion and Other Options (Subtopic 470-20): Induced Conversions of Convertible Debt Instruments, which clarifies the requirements for determining whether to account for certain early settlements of convertible debt instruments as induced conversions or extinguishments. The standard 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6" w:name="page17"/>
    <w:bookmarkEnd w:id="16"/>
    <w:p>
      <w:pPr>
        <w:jc w:val="both"/>
        <w:spacing w:after="0" w:line="287" w:lineRule="auto"/>
        <w:rPr>
          <w:sz w:val="20"/>
          <w:szCs w:val="20"/>
          <w:color w:val="auto"/>
        </w:rPr>
      </w:pPr>
      <w:r>
        <w:rPr>
          <w:rFonts w:ascii="Times New Roman" w:cs="Times New Roman" w:eastAsia="Times New Roman" w:hAnsi="Times New Roman"/>
          <w:sz w:val="14"/>
          <w:szCs w:val="14"/>
          <w:color w:val="auto"/>
        </w:rPr>
        <w:t>effective for fiscal years beginning after December 15, 2025, and interim reporting periods within those fiscal years. Early adoption is permitted. The standard can be applied either prospectively or retrospectively. Management does not expect this new guidance to have a material impact on the Company’s consolidated financial statements.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May 2025, the FASB issued ASU 2025-03, Business Combinations (Topic 805) and Consolidation (Topic 810): Determining the Accounting Acquirer in the Acquisition of a Variable Interest Entity, which changes how companies determine the accounting acquirer in certain business combinations involving variable interest entities. The standard is effective for annual reporting periods beginning after December 15, 2025, and interim periods within those annual reporting periods. The standard can be adopted early and must be applied prospectively to any acquisition transaction that occurs after the initial application date. The Company decided to early adopt this standard as of January 1, 2026, and applied the new guidance when analyzing the acquisition.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July 2025, the FASB issued ASU 2025-05, Financial Instruments - Credit Losses (Topic 326) - Measurement of Credit Losses for Accounts Receivable and Contract Assets which provides all entities a practical expedient option when estimating expected credit losses for current accounts receivable and current contract assets arising from transactions accounted for under Topic 606, including those assets acquired in a transaction accounted for under Topic 805, Business Combinations. ASU 2025-05 is effective for fiscal years beginning after December 15, 2025, and interim reporting periods within those annual reporting periods, and applied prospectively. Early adoption is permitted. The Company has adopted the amendments as of January 1, 2026, with no material impact to its consolidated financial statements.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September 2025, FASB issued ASU 2025-06, Intangibles - Goodwill and Other - Internal-Use Software (Subtopic 350-40): Targeted Improvements to the Accounting for Internal-Use Software. ASU 2025-06 modernizes the accounting for internal-use software costs by eliminating the prescriptive and sequential development stage model and introducing a principles-based framework requiring companies to capitalize internal-use software costs when management commits to funding the software project and it is probable the project will be completed. The amendment is effective for annual reporting periods beginning after December 15, 2027, and interim reporting periods within those annual reporting periods. Early adoption is permitted. The Company has adopted this ASU as of January 1, 2026, with no material impact to its consolidated financial statements.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2025, FASB issued ASU 2025-10, Government Grants (Topic 832) - Accounting for Government Grants Received by Business Entities ASU 2025-10 which establishes authoritative guidance for the accounting of government grants received by business entities. The guidance requires recognition of grants when it is probable that the entity will comply with the related conditions and that the grant will be received. Asset-related grants may be recorded as deferred income or as a reduction of the related asset, while income-related grants are recognized in earnings over the periods in which the related costs are incurred. The amendment is effective for annual reporting periods beginning after December 15, 2028, and interim reporting periods within those annual reporting periods. Early adoption is permitted. The Company is currently evaluating the potential impacts of adopting this ASU on its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Current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and December 31, 2025, other current liabilities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4260" w:type="dxa"/>
            <w:vAlign w:val="bottom"/>
          </w:tcPr>
          <w:p>
            <w:pPr>
              <w:spacing w:after="0"/>
              <w:rPr>
                <w:sz w:val="13"/>
                <w:szCs w:val="13"/>
                <w:color w:val="auto"/>
              </w:rPr>
            </w:pPr>
          </w:p>
        </w:tc>
        <w:tc>
          <w:tcPr>
            <w:tcW w:w="4840" w:type="dxa"/>
            <w:vAlign w:val="bottom"/>
            <w:gridSpan w:val="2"/>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75"/>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37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26,609</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12,818</w:t>
            </w: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liability</w:t>
            </w:r>
          </w:p>
        </w:tc>
        <w:tc>
          <w:tcPr>
            <w:tcW w:w="3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 accruals</w:t>
            </w:r>
          </w:p>
        </w:tc>
        <w:tc>
          <w:tcPr>
            <w:tcW w:w="37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11,458</w:t>
            </w: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insurance financing</w:t>
            </w:r>
          </w:p>
        </w:tc>
        <w:tc>
          <w:tcPr>
            <w:tcW w:w="3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interest payable</w:t>
            </w:r>
          </w:p>
        </w:tc>
        <w:tc>
          <w:tcPr>
            <w:tcW w:w="37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Securitization liabilities - current</w:t>
            </w:r>
          </w:p>
        </w:tc>
        <w:tc>
          <w:tcPr>
            <w:tcW w:w="3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liabilities (Note 3 and 16)</w:t>
            </w:r>
          </w:p>
        </w:tc>
        <w:tc>
          <w:tcPr>
            <w:tcW w:w="37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liability - current</w:t>
            </w:r>
          </w:p>
        </w:tc>
        <w:tc>
          <w:tcPr>
            <w:tcW w:w="3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after-sale service liabilities</w:t>
            </w:r>
          </w:p>
        </w:tc>
        <w:tc>
          <w:tcPr>
            <w:tcW w:w="37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37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7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90,416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2236"/>
              <w:spacing w:after="0"/>
              <w:rPr>
                <w:sz w:val="20"/>
                <w:szCs w:val="20"/>
                <w:color w:val="auto"/>
              </w:rPr>
            </w:pPr>
            <w:r>
              <w:rPr>
                <w:rFonts w:ascii="Times New Roman" w:cs="Times New Roman" w:eastAsia="Times New Roman" w:hAnsi="Times New Roman"/>
                <w:sz w:val="14"/>
                <w:szCs w:val="14"/>
                <w:color w:val="auto"/>
              </w:rPr>
              <w:t>12</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42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6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NOTE 3 -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Lanteris Space Holdings LLC Acquisition</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January 13, 2026, the Company completed the acquisition of 100% of the issued and outstanding membership interests of Lanteris, a spacecraft manufacturer serving national security, civil, and commercial customers. The acquisition expands the Company’s spacecraft manufacturing and space systems capabilities. The acquisition date fair value of consideration transferred totaled approximately $851.0 million consisting of $403.3 million in cash, $43.7 million of cash transaction bonuses (which were included in consideration as they had no required service conditions and were deemed to be for the benefit of the Company), and the issuance of 22,991,028 shares of the Company’s Class A Common Stock valued at $404.0 million, based on the acquisition date closing stock price of $17.57 per share. The Company funded the cash consideration and cash transaction bonuses using cash on hand. The excess of the consideration transferred over the fair value of the acquired net assets was recorded as goodwill which primarily represents expected growth synergies, developed workforce, and future opportunities. The goodwill is partially deductible for income tax purposes. As of March 31, 2026, the Company has incurred acquisition-related costs of $29.4 million (consisting of $10.4 million incurred during the fourth quarter of 2025 and $19.0 million during the first quarter of 2026), which are recorded in general and administrative expense on our condensed consolidated statement of operations.</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purchase consideration, acquisition related costs, and the preliminary estimated fair values of the assets acquired and liabilities assumed by the Company as of the acquisition date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January 13, 2026</w:t>
            </w:r>
          </w:p>
        </w:tc>
      </w:tr>
      <w:tr>
        <w:trPr>
          <w:trHeight w:val="16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consideration</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403,340</w:t>
            </w:r>
          </w:p>
        </w:tc>
      </w:tr>
      <w:tr>
        <w:trPr>
          <w:trHeight w:val="168"/>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Class A Common Stock issued</w:t>
            </w:r>
          </w:p>
        </w:tc>
        <w:tc>
          <w:tcPr>
            <w:tcW w:w="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403,953</w:t>
            </w:r>
          </w:p>
        </w:tc>
      </w:tr>
      <w:tr>
        <w:trPr>
          <w:trHeight w:val="17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bonuses and other adjustments</w:t>
            </w:r>
          </w:p>
        </w:tc>
        <w:tc>
          <w:tcPr>
            <w:tcW w:w="3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43,689</w:t>
            </w:r>
          </w:p>
        </w:tc>
      </w:tr>
      <w:tr>
        <w:trPr>
          <w:trHeight w:val="163"/>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consideration</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850,982</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20"/>
        </w:trPr>
        <w:tc>
          <w:tcPr>
            <w:tcW w:w="90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r>
      <w:tr>
        <w:trPr>
          <w:trHeight w:val="168"/>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w:t>
            </w:r>
          </w:p>
        </w:tc>
      </w:tr>
      <w:tr>
        <w:trPr>
          <w:trHeight w:val="168"/>
        </w:trPr>
        <w:tc>
          <w:tcPr>
            <w:tcW w:w="9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Trade and other receivables</w:t>
            </w: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97,152</w:t>
            </w:r>
          </w:p>
        </w:tc>
      </w:tr>
      <w:tr>
        <w:trPr>
          <w:trHeight w:val="168"/>
        </w:trPr>
        <w:tc>
          <w:tcPr>
            <w:tcW w:w="9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Contract assets</w:t>
            </w:r>
          </w:p>
        </w:tc>
        <w:tc>
          <w:tcPr>
            <w:tcW w:w="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23,144</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Inventory</w:t>
            </w: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56,147</w:t>
            </w:r>
          </w:p>
        </w:tc>
      </w:tr>
      <w:tr>
        <w:trPr>
          <w:trHeight w:val="168"/>
        </w:trPr>
        <w:tc>
          <w:tcPr>
            <w:tcW w:w="9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Advances to suppliers</w:t>
            </w:r>
          </w:p>
        </w:tc>
        <w:tc>
          <w:tcPr>
            <w:tcW w:w="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17,125</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and other current assets</w:t>
            </w: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5,798</w:t>
            </w:r>
          </w:p>
        </w:tc>
      </w:tr>
      <w:tr>
        <w:trPr>
          <w:trHeight w:val="168"/>
        </w:trPr>
        <w:tc>
          <w:tcPr>
            <w:tcW w:w="9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and equipment</w:t>
            </w:r>
          </w:p>
        </w:tc>
        <w:tc>
          <w:tcPr>
            <w:tcW w:w="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162,908</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Intangible assets</w:t>
            </w: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297,000</w:t>
            </w:r>
          </w:p>
        </w:tc>
      </w:tr>
      <w:tr>
        <w:trPr>
          <w:trHeight w:val="168"/>
        </w:trPr>
        <w:tc>
          <w:tcPr>
            <w:tcW w:w="9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32,174</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Orbital receivables, non-current</w:t>
            </w:r>
          </w:p>
        </w:tc>
        <w:tc>
          <w:tcPr>
            <w:tcW w:w="36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223,366</w:t>
            </w:r>
          </w:p>
        </w:tc>
      </w:tr>
      <w:tr>
        <w:trPr>
          <w:trHeight w:val="158"/>
        </w:trPr>
        <w:tc>
          <w:tcPr>
            <w:tcW w:w="9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917,325</w:t>
            </w:r>
          </w:p>
        </w:tc>
      </w:tr>
      <w:tr>
        <w:trPr>
          <w:trHeight w:val="152"/>
        </w:trPr>
        <w:tc>
          <w:tcPr>
            <w:tcW w:w="9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Liabilities:</w:t>
            </w:r>
          </w:p>
        </w:tc>
        <w:tc>
          <w:tcPr>
            <w:tcW w:w="36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r>
      <w:tr>
        <w:trPr>
          <w:trHeight w:val="168"/>
        </w:trPr>
        <w:tc>
          <w:tcPr>
            <w:tcW w:w="9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40,429</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Contract liabilities</w:t>
            </w: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161,716</w:t>
            </w:r>
          </w:p>
        </w:tc>
      </w:tr>
      <w:tr>
        <w:trPr>
          <w:trHeight w:val="168"/>
        </w:trPr>
        <w:tc>
          <w:tcPr>
            <w:tcW w:w="9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17,986</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61,977</w:t>
            </w:r>
          </w:p>
        </w:tc>
      </w:tr>
      <w:tr>
        <w:trPr>
          <w:trHeight w:val="168"/>
        </w:trPr>
        <w:tc>
          <w:tcPr>
            <w:tcW w:w="9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Pension and other postretirement benefits, non-current</w:t>
            </w:r>
          </w:p>
        </w:tc>
        <w:tc>
          <w:tcPr>
            <w:tcW w:w="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54,792</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40,578</w:t>
            </w:r>
          </w:p>
        </w:tc>
      </w:tr>
      <w:tr>
        <w:trPr>
          <w:trHeight w:val="168"/>
        </w:trPr>
        <w:tc>
          <w:tcPr>
            <w:tcW w:w="9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49,535</w:t>
            </w:r>
          </w:p>
        </w:tc>
      </w:tr>
      <w:tr>
        <w:trPr>
          <w:trHeight w:val="163"/>
        </w:trPr>
        <w:tc>
          <w:tcPr>
            <w:tcW w:w="9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427,013</w:t>
            </w:r>
          </w:p>
        </w:tc>
      </w:tr>
      <w:tr>
        <w:trPr>
          <w:trHeight w:val="168"/>
        </w:trPr>
        <w:tc>
          <w:tcPr>
            <w:tcW w:w="9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w:t>
            </w:r>
          </w:p>
        </w:tc>
      </w:tr>
      <w:tr>
        <w:trPr>
          <w:trHeight w:val="16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net identifiable assets acquired</w:t>
            </w:r>
          </w:p>
        </w:tc>
        <w:tc>
          <w:tcPr>
            <w:tcW w:w="36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489,897</w:t>
            </w:r>
          </w:p>
        </w:tc>
      </w:tr>
      <w:tr>
        <w:trPr>
          <w:trHeight w:val="163"/>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361,085</w:t>
            </w:r>
          </w:p>
        </w:tc>
      </w:tr>
      <w:tr>
        <w:trPr>
          <w:trHeight w:val="20"/>
        </w:trPr>
        <w:tc>
          <w:tcPr>
            <w:tcW w:w="9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The following table summarizes the preliminary estimated fair values of intangible assets acquired by class and the related estimated lives (in thousands, except useful life in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Intangible Asset</w:t>
            </w: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Estimated Life in Years</w:t>
            </w:r>
          </w:p>
        </w:tc>
        <w:tc>
          <w:tcPr>
            <w:tcW w:w="360" w:type="dxa"/>
            <w:vAlign w:val="bottom"/>
          </w:tcPr>
          <w:p>
            <w:pPr>
              <w:spacing w:after="0"/>
              <w:rPr>
                <w:sz w:val="14"/>
                <w:szCs w:val="14"/>
                <w:color w:val="auto"/>
              </w:rPr>
            </w:pPr>
          </w:p>
        </w:tc>
        <w:tc>
          <w:tcPr>
            <w:tcW w:w="1880" w:type="dxa"/>
            <w:vAlign w:val="bottom"/>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January 13, 2026</w:t>
            </w:r>
          </w:p>
        </w:tc>
      </w:tr>
      <w:tr>
        <w:trPr>
          <w:trHeight w:val="173"/>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 / trade name</w:t>
            </w:r>
          </w:p>
        </w:tc>
        <w:tc>
          <w:tcPr>
            <w:tcW w:w="8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8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138,000</w:t>
            </w:r>
          </w:p>
        </w:tc>
      </w:tr>
      <w:tr>
        <w:trPr>
          <w:trHeight w:val="18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154,000</w:t>
            </w:r>
          </w:p>
        </w:tc>
      </w:tr>
      <w:tr>
        <w:trPr>
          <w:trHeight w:val="171"/>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intangible assets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297,000</w:t>
            </w:r>
          </w:p>
        </w:tc>
      </w:tr>
      <w:tr>
        <w:trPr>
          <w:trHeight w:val="20"/>
        </w:trPr>
        <w:tc>
          <w:tcPr>
            <w:tcW w:w="6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amounts presented in the tables above represent the preliminary valuation analyses completed to assess the fair values of the assets acquired and liabilities assumed and the amount of goodwill to be recognized as of the acquisition date. These fair values were based on management’s estimates and assumptions but are preliminary in nature and are subject to adjustment as additional information is obtained about the facts and circumstances that existed as of the acquisition date. All values remain preliminary including, but not limited to, intangible assets, including the preliminary assumptions used in their estimates of fair values and their respective estimated useful lives, the valuation of certain tangible and financial assets, working capital accounts, income taxes, and residual goodwill. The final determination of the fair values, purchase consideration, related income tax impacts and residual goodwill will be completed as soon as practicable, and within the measurement period of up to one year from the acquisition date as permitted under GAAP. Any adjustments to provisional amounts that are identified during the measurement period will be recorded in the reporting period in which the adjustment is determined.</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unaudited supplemental pro forma results of operations have been prepared based on the historical information of the Company and Lanteris, and reflects the combined results of operations as if the acquisition had been consummated on January 1, 2025.</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unaudited supplemental pro forma financial information does not give effect to the potential impact of current financial conditions, any anticipated synergies, operating efficiencies or cost savings that we may expect to result from the acquisitions. The unaudited pro forma financial information is for informational purposes only and is not necessarily indicative of what the actual results of operations would have been had these business combinations occurred on January 1, 2025.</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27"/>
        </w:trPr>
        <w:tc>
          <w:tcPr>
            <w:tcW w:w="20" w:type="dxa"/>
            <w:vAlign w:val="bottom"/>
          </w:tcPr>
          <w:p>
            <w:pPr>
              <w:spacing w:after="0"/>
              <w:rPr>
                <w:sz w:val="11"/>
                <w:szCs w:val="11"/>
                <w:color w:val="auto"/>
              </w:rPr>
            </w:pPr>
          </w:p>
        </w:tc>
        <w:tc>
          <w:tcPr>
            <w:tcW w:w="82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360" w:type="dxa"/>
            <w:vAlign w:val="bottom"/>
          </w:tcPr>
          <w:p>
            <w:pPr>
              <w:spacing w:after="0"/>
              <w:rPr>
                <w:sz w:val="11"/>
                <w:szCs w:val="11"/>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199,846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218,156</w:t>
            </w:r>
          </w:p>
        </w:tc>
      </w:tr>
      <w:tr>
        <w:trPr>
          <w:trHeight w:val="180"/>
        </w:trPr>
        <w:tc>
          <w:tcPr>
            <w:tcW w:w="20" w:type="dxa"/>
            <w:vAlign w:val="bottom"/>
          </w:tcPr>
          <w:p>
            <w:pPr>
              <w:spacing w:after="0"/>
              <w:rPr>
                <w:sz w:val="15"/>
                <w:szCs w:val="15"/>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(54,361)</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(47,639)</w:t>
            </w:r>
          </w:p>
        </w:tc>
      </w:tr>
      <w:tr>
        <w:trPr>
          <w:trHeight w:val="180"/>
        </w:trPr>
        <w:tc>
          <w:tcPr>
            <w:tcW w:w="20" w:type="dxa"/>
            <w:vAlign w:val="bottom"/>
            <w:shd w:val="clear" w:color="auto" w:fill="CCEEFF"/>
          </w:tcPr>
          <w:p>
            <w:pPr>
              <w:spacing w:after="0"/>
              <w:rPr>
                <w:sz w:val="15"/>
                <w:szCs w:val="15"/>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the Company</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(39,220)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(60,010)</w:t>
            </w:r>
          </w:p>
        </w:tc>
      </w:tr>
      <w:tr>
        <w:trPr>
          <w:trHeight w:val="184"/>
        </w:trPr>
        <w:tc>
          <w:tcPr>
            <w:tcW w:w="20" w:type="dxa"/>
            <w:vAlign w:val="bottom"/>
          </w:tcPr>
          <w:p>
            <w:pPr>
              <w:spacing w:after="0"/>
              <w:rPr>
                <w:sz w:val="16"/>
                <w:szCs w:val="16"/>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 attributable to Class A common shareholders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(39,382)</w:t>
            </w:r>
          </w:p>
        </w:tc>
        <w:tc>
          <w:tcPr>
            <w:tcW w:w="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(60,157)</w:t>
            </w:r>
          </w:p>
        </w:tc>
      </w:tr>
    </w:tbl>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result of operations of Lanteris has been included in the Company’s condensed consolidated statement of operations since the date of acquisition, January 13, 2026, and includes revenues of $141.6 million and operating income of $0.2 million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color w:val="auto"/>
        </w:rPr>
        <w:t>KinetX Acquisition</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October 1, 2025, the Company completed the stock purchase agreement to acquire 100% of the issued and outstanding capital stock of KinetX. KinetX is a privately-held, Arizona-based aerospace company with more than 30 years of experience delivering flight-proven, deep-space navigation, systems engineering, ground software, and constellation mission design to the U.S. government and international customers. The consideration for the acquisition totaled approximately $31.3 million, consisting of cash consideration of $15.0 million, seller payable adjustments of $1.1 million treated as consideration transferred, and the issuance of 1,104,178 shares of the Company’s Class A Common Stock valued at $11.7 million based on the acquisition date closing stock price of $10.61. Approximately 329,827 shares of Class A Common Stock valued at $3.5 million, were held back in escrow to settle any post-closing adjustments and/or potential claims. The holdback was accounted for as contingent consideration and recorded as a liability based on its estimated fair value as of the acquisition date. The Company funded the cash consideration using cash on hand. Goodwill primarily represents expected synergies, assembled workforce, and future growth opportunities. The goodwill is not fully deductible for income tax purposes.</w:t>
      </w:r>
    </w:p>
    <w:p>
      <w:pPr>
        <w:spacing w:after="0" w:line="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following table presents the purchase consideration and the preliminary estimated fair values of the assets acquired and liabilities assumed by the Company as of the acquisition date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October 1, 2025</w:t>
            </w:r>
          </w:p>
        </w:tc>
      </w:tr>
      <w:tr>
        <w:trPr>
          <w:trHeight w:val="17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consideration</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Class A Common Stock issued</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holdback in escrow</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Transaction costs and other adjustments payable to the seller</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w:t>
            </w: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consideration</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9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80"/>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r>
      <w:tr>
        <w:trPr>
          <w:trHeight w:val="180"/>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assets</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80"/>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w:t>
            </w:r>
          </w:p>
        </w:tc>
      </w:tr>
      <w:tr>
        <w:trPr>
          <w:trHeight w:val="180"/>
        </w:trPr>
        <w:tc>
          <w:tcPr>
            <w:tcW w:w="9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71"/>
        </w:trPr>
        <w:tc>
          <w:tcPr>
            <w:tcW w:w="9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16,748</w:t>
            </w:r>
          </w:p>
        </w:tc>
      </w:tr>
      <w:tr>
        <w:trPr>
          <w:trHeight w:val="16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0"/>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liability, current</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r>
      <w:tr>
        <w:trPr>
          <w:trHeight w:val="180"/>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38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71"/>
        </w:trPr>
        <w:tc>
          <w:tcPr>
            <w:tcW w:w="9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4,159</w:t>
            </w:r>
          </w:p>
        </w:tc>
      </w:tr>
      <w:tr>
        <w:trPr>
          <w:trHeight w:val="171"/>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net identifiable assets acquired</w:t>
            </w:r>
          </w:p>
        </w:tc>
        <w:tc>
          <w:tcPr>
            <w:tcW w:w="38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12,589</w:t>
            </w:r>
          </w:p>
        </w:tc>
      </w:tr>
      <w:tr>
        <w:trPr>
          <w:trHeight w:val="17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18,756</w:t>
            </w:r>
          </w:p>
        </w:tc>
      </w:tr>
      <w:tr>
        <w:trPr>
          <w:trHeight w:val="20"/>
        </w:trPr>
        <w:tc>
          <w:tcPr>
            <w:tcW w:w="9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preliminary estimated fair values of intangible assets acquired by class and the related estimated lives (in thousands, except useful life in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Intangible Asset</w:t>
            </w: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Estimated Life in Years</w:t>
            </w:r>
          </w:p>
        </w:tc>
        <w:tc>
          <w:tcPr>
            <w:tcW w:w="380" w:type="dxa"/>
            <w:vAlign w:val="bottom"/>
          </w:tcPr>
          <w:p>
            <w:pPr>
              <w:spacing w:after="0"/>
              <w:rPr>
                <w:sz w:val="14"/>
                <w:szCs w:val="14"/>
                <w:color w:val="auto"/>
              </w:rPr>
            </w:pPr>
          </w:p>
        </w:tc>
        <w:tc>
          <w:tcPr>
            <w:tcW w:w="1860" w:type="dxa"/>
            <w:vAlign w:val="bottom"/>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rPr>
              <w:t>October 1, 2025</w:t>
            </w:r>
          </w:p>
        </w:tc>
        <w:tc>
          <w:tcPr>
            <w:tcW w:w="0" w:type="dxa"/>
            <w:vAlign w:val="bottom"/>
          </w:tcPr>
          <w:p>
            <w:pPr>
              <w:spacing w:after="0"/>
              <w:rPr>
                <w:sz w:val="1"/>
                <w:szCs w:val="1"/>
                <w:color w:val="auto"/>
              </w:rPr>
            </w:pPr>
          </w:p>
        </w:tc>
      </w:tr>
      <w:tr>
        <w:trPr>
          <w:trHeight w:val="17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3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5420" w:type="dxa"/>
            <w:vAlign w:val="bottom"/>
            <w:tcBorders>
              <w:bottom w:val="single" w:sz="8" w:color="CCEEFF"/>
            </w:tcBorders>
            <w:gridSpan w:val="3"/>
          </w:tcPr>
          <w:p>
            <w:pPr>
              <w:jc w:val="center"/>
              <w:ind w:left="3129"/>
              <w:spacing w:after="0"/>
              <w:rPr>
                <w:sz w:val="20"/>
                <w:szCs w:val="20"/>
                <w:color w:val="auto"/>
              </w:rPr>
            </w:pPr>
            <w:r>
              <w:rPr>
                <w:rFonts w:ascii="Times New Roman" w:cs="Times New Roman" w:eastAsia="Times New Roman" w:hAnsi="Times New Roman"/>
                <w:sz w:val="14"/>
                <w:szCs w:val="14"/>
                <w:color w:val="auto"/>
                <w:w w:val="99"/>
              </w:rPr>
              <w:t>10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intangible assets</w:t>
            </w:r>
          </w:p>
        </w:tc>
        <w:tc>
          <w:tcPr>
            <w:tcW w:w="3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82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35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2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4"/>
          <w:szCs w:val="14"/>
          <w:color w:val="auto"/>
        </w:rPr>
        <w:t>The amounts presented in the tables above represent preliminary valuation analyses completed to assess the fair values of the assets acquired and liabilities assumed and the amount of goodwill to be recognized as of the acquisition date. These fair values were based on management’s estimates and assumptions but are preliminary in nature and are subject to adjustment as additional information is obtained about the facts and circumstances that existed as of the acquisition date. All values remain preliminary including, but not limited to, intangible assets, including the preliminary assumptions used in their estimates of fair values and their respective estimated useful lives, the valuation of certain tangible assets, working capital accounts, income taxes, and residual goodwill. The final determination of the fair values, purchase consideration, related income tax impacts and residual goodwill will be completed as soon as practicable, and within the measurement period of up to one year from the acquisition date as permitted under GAAP. Any adjustments to provisional amounts that are identified during the measurement period will be recorded in the reporting period in which the adjustment is determined.</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result of operations of KinetX has been included in the Company’s condensed consolidated statement of operations since the date of acquisition, October 1, 2025, and includes revenues of $1.5 million and the operating loss was nil for the three months ended March 31, 2026.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4 - REVENUE</w:t>
            </w: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40"/>
        </w:trPr>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Disaggregated Revenue</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6"/>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The</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following</w:t>
            </w: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table</w:t>
            </w: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disaggregates</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our</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revenue</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contract</w:t>
            </w: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type</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w:t>
            </w:r>
          </w:p>
        </w:tc>
        <w:tc>
          <w:tcPr>
            <w:tcW w:w="52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three</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months</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ended</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March</w:t>
            </w: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31,</w:t>
            </w:r>
          </w:p>
        </w:tc>
        <w:tc>
          <w:tcPr>
            <w:tcW w:w="46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8"/>
              </w:rPr>
              <w:t>and</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thousands):</w:t>
            </w:r>
          </w:p>
        </w:tc>
      </w:tr>
      <w:tr>
        <w:trPr>
          <w:trHeight w:val="171"/>
        </w:trPr>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54"/>
        </w:trPr>
        <w:tc>
          <w:tcPr>
            <w:tcW w:w="36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66"/>
        </w:trPr>
        <w:tc>
          <w:tcPr>
            <w:tcW w:w="1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 by contract type</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7"/>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Fixed price</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162,087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460" w:type="dxa"/>
            <w:vAlign w:val="bottom"/>
            <w:gridSpan w:val="2"/>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61 %</w:t>
            </w:r>
          </w:p>
        </w:tc>
      </w:tr>
      <w:tr>
        <w:trPr>
          <w:trHeight w:val="184"/>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reimbursable</w:t>
            </w: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r>
      <w:tr>
        <w:trPr>
          <w:trHeight w:val="177"/>
        </w:trPr>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Time and materials</w:t>
            </w:r>
          </w:p>
        </w:tc>
        <w:tc>
          <w:tcPr>
            <w:tcW w:w="4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174"/>
        </w:trPr>
        <w:tc>
          <w:tcPr>
            <w:tcW w:w="26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Revenue from contracts with customers</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183,630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77"/>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 revenue</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99"/>
        </w:trPr>
        <w:tc>
          <w:tcPr>
            <w:tcW w:w="11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6300" w:type="dxa"/>
            <w:vAlign w:val="bottom"/>
            <w:tcBorders>
              <w:top w:val="single" w:sz="8" w:color="CCEEFF"/>
            </w:tcBorders>
            <w:gridSpan w:val="12"/>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503"/>
        </w:trPr>
        <w:tc>
          <w:tcPr>
            <w:tcW w:w="77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The following table disaggregates our revenue by customer type for the three months ended March 31, 2026 and 2025 (in thousands):</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54"/>
        </w:trPr>
        <w:tc>
          <w:tcPr>
            <w:tcW w:w="36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66"/>
        </w:trPr>
        <w:tc>
          <w:tcPr>
            <w:tcW w:w="1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 by customer type</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7"/>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Commercial</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61,089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460" w:type="dxa"/>
            <w:vAlign w:val="bottom"/>
            <w:gridSpan w:val="2"/>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184"/>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Civil</w:t>
            </w: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71,673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83 %</w:t>
            </w:r>
          </w:p>
        </w:tc>
      </w:tr>
      <w:tr>
        <w:trPr>
          <w:trHeight w:val="177"/>
        </w:trPr>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National security</w:t>
            </w:r>
          </w:p>
        </w:tc>
        <w:tc>
          <w:tcPr>
            <w:tcW w:w="4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50,868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4"/>
        </w:trPr>
        <w:tc>
          <w:tcPr>
            <w:tcW w:w="26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Revenue from contracts with customers</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183,630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77"/>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 revenue</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99"/>
        </w:trPr>
        <w:tc>
          <w:tcPr>
            <w:tcW w:w="11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geographically disaggregate our revenues based on the customer’s country of domicile. Most of our revenues are derived from customers in the U.S., and our revenues from foreign customers were nil and 8% of total revenues for the three months ended March 31, 2026 and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Contract assets primarily relate to deferred contract costs for subcontracted launch services, as well as work completed not yet billed for performance obligations that are satisfied over time. Deferred contract costs and unbilled receivables are recorded contract assets on our condensed consolidated balance sheets. Contract assets related to deferred contract costs are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4"/>
          <w:szCs w:val="14"/>
          <w:color w:val="auto"/>
        </w:rPr>
        <w:t>amortized straight-line across the life of the long-term service arrangement. Contract assets related to work completed for performance obligations that are satisfied over time are transferred to receivables when the right to consideration becomes unconditional. Contract liabilities relate to billings or consideration received in advance of performance (obligation to transfer goods or services to a customer) under the contract as well as provisions for loss contracts. Contract liabilities are recognized as revenue when the performance obligation has been performed. Current deferred revenue and provisions for loss contracts are recorded in current contract liabilities on our condensed consolidated balance sheets. Long-term deferred revenue and provisions for loss contracts are recorded in long-term contract liabilities on our condensed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contract assets as of March 31, 2026 and December 31, 2025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6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2260" w:type="dxa"/>
            <w:vAlign w:val="bottom"/>
            <w:tcBorders>
              <w:bottom w:val="single" w:sz="8" w:color="CCEEFF"/>
            </w:tcBorders>
          </w:tcPr>
          <w:p>
            <w:pPr>
              <w:spacing w:after="0"/>
              <w:rPr>
                <w:sz w:val="13"/>
                <w:szCs w:val="13"/>
                <w:color w:val="auto"/>
              </w:rPr>
            </w:pPr>
          </w:p>
        </w:tc>
        <w:tc>
          <w:tcPr>
            <w:tcW w:w="59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5"/>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8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Unbilled receivables</w:t>
            </w:r>
            <w:r>
              <w:rPr>
                <w:rFonts w:ascii="Times New Roman" w:cs="Times New Roman" w:eastAsia="Times New Roman" w:hAnsi="Times New Roman"/>
                <w:sz w:val="18"/>
                <w:szCs w:val="18"/>
                <w:color w:val="auto"/>
                <w:vertAlign w:val="superscript"/>
              </w:rPr>
              <w:t>(1)</w:t>
            </w: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41,320</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12,228</w:t>
            </w: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costs</w:t>
            </w:r>
          </w:p>
        </w:tc>
        <w:tc>
          <w:tcPr>
            <w:tcW w:w="10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48,022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12,236</w:t>
            </w:r>
          </w:p>
        </w:tc>
      </w:tr>
      <w:tr>
        <w:trPr>
          <w:trHeight w:val="20"/>
        </w:trPr>
        <w:tc>
          <w:tcPr>
            <w:tcW w:w="22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2"/>
        </w:trPr>
        <w:tc>
          <w:tcPr>
            <w:tcW w:w="2260" w:type="dxa"/>
            <w:vAlign w:val="bottom"/>
            <w:tcBorders>
              <w:bottom w:val="single" w:sz="8" w:color="auto"/>
            </w:tcBorders>
          </w:tcPr>
          <w:p>
            <w:pPr>
              <w:spacing w:after="0"/>
              <w:rPr>
                <w:sz w:val="12"/>
                <w:szCs w:val="12"/>
                <w:color w:val="auto"/>
              </w:rPr>
            </w:pPr>
          </w:p>
        </w:tc>
        <w:tc>
          <w:tcPr>
            <w:tcW w:w="5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bl>
    <w:p>
      <w:pPr>
        <w:spacing w:after="0" w:line="12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color w:val="auto"/>
        </w:rPr>
        <w:t>(1)</w:t>
        <w:tab/>
        <w:t>The balance as of March 31, 2026 includes approximately $23.5 million related to Lanteris, which was recently acquired on January 13, 2026. See Note 3 for additional information on the Lanteris acquisition.</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Amortization expense associated with deferred contract costs for subcontracted launch services was recorded in cost of revenue and was $7.2 million and $8.0 million for the three months ended March 31, 2026 and 2025, respectively. Launch delay fees are recorded directly to the cost of revenue and was $1.4 million for the three months ended March 31, 2025 and no launch delay fees were incurred for the three months ended March 31,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contract liabilities as of March 31, 2026 and December 31, 2025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6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40" w:type="dxa"/>
            <w:vAlign w:val="bottom"/>
          </w:tcPr>
          <w:p>
            <w:pPr>
              <w:spacing w:after="0"/>
              <w:rPr>
                <w:sz w:val="11"/>
                <w:szCs w:val="11"/>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2260" w:type="dxa"/>
            <w:vAlign w:val="bottom"/>
            <w:tcBorders>
              <w:bottom w:val="single" w:sz="8" w:color="CCEEFF"/>
            </w:tcBorders>
          </w:tcPr>
          <w:p>
            <w:pPr>
              <w:spacing w:after="0"/>
              <w:rPr>
                <w:sz w:val="13"/>
                <w:szCs w:val="13"/>
                <w:color w:val="auto"/>
              </w:rPr>
            </w:pPr>
          </w:p>
        </w:tc>
        <w:tc>
          <w:tcPr>
            <w:tcW w:w="59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5"/>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liabilities – current</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8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Deferred revenue</w:t>
            </w:r>
            <w:r>
              <w:rPr>
                <w:rFonts w:ascii="Times New Roman" w:cs="Times New Roman" w:eastAsia="Times New Roman" w:hAnsi="Times New Roman"/>
                <w:sz w:val="18"/>
                <w:szCs w:val="18"/>
                <w:color w:val="auto"/>
                <w:vertAlign w:val="superscript"/>
              </w:rPr>
              <w:t>(1)</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198,329</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45,712</w:t>
            </w: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loss provision</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w:t>
            </w:r>
          </w:p>
        </w:tc>
      </w:tr>
      <w:tr>
        <w:trPr>
          <w:trHeight w:val="18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Accrued launch costs</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4,660</w:t>
            </w:r>
          </w:p>
        </w:tc>
      </w:tr>
      <w:tr>
        <w:trPr>
          <w:trHeight w:val="171"/>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contract liabilities – current</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205,575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57,368</w:t>
            </w:r>
          </w:p>
        </w:tc>
      </w:tr>
      <w:tr>
        <w:trPr>
          <w:trHeight w:val="18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liabilities – long-term</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w:t>
            </w:r>
          </w:p>
        </w:tc>
      </w:tr>
      <w:tr>
        <w:trPr>
          <w:trHeight w:val="18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Contract loss provision</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r>
      <w:tr>
        <w:trPr>
          <w:trHeight w:val="171"/>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contract liabilities – long-term</w:t>
            </w: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w:t>
            </w:r>
          </w:p>
        </w:tc>
      </w:tr>
      <w:tr>
        <w:trPr>
          <w:trHeight w:val="17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contract liabilities</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208,306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63,709</w:t>
            </w:r>
          </w:p>
        </w:tc>
      </w:tr>
      <w:tr>
        <w:trPr>
          <w:trHeight w:val="20"/>
        </w:trPr>
        <w:tc>
          <w:tcPr>
            <w:tcW w:w="22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2"/>
        </w:trPr>
        <w:tc>
          <w:tcPr>
            <w:tcW w:w="2260" w:type="dxa"/>
            <w:vAlign w:val="bottom"/>
            <w:tcBorders>
              <w:bottom w:val="single" w:sz="8" w:color="auto"/>
            </w:tcBorders>
          </w:tcPr>
          <w:p>
            <w:pPr>
              <w:spacing w:after="0"/>
              <w:rPr>
                <w:sz w:val="12"/>
                <w:szCs w:val="12"/>
                <w:color w:val="auto"/>
              </w:rPr>
            </w:pPr>
          </w:p>
        </w:tc>
        <w:tc>
          <w:tcPr>
            <w:tcW w:w="5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bl>
    <w:p>
      <w:pPr>
        <w:spacing w:after="0" w:line="114" w:lineRule="exact"/>
        <w:rPr>
          <w:sz w:val="20"/>
          <w:szCs w:val="20"/>
          <w:color w:val="auto"/>
        </w:rPr>
      </w:pPr>
    </w:p>
    <w:p>
      <w:pPr>
        <w:ind w:left="260" w:hanging="255"/>
        <w:spacing w:after="0" w:line="288" w:lineRule="auto"/>
        <w:tabs>
          <w:tab w:leader="none" w:pos="27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as of March 31, 2026 includes approximately $160.2 million in contract liabilities, current, related to Lanteris, which was recently acquired on January 13, 2026. See Note 3 for additional information on the Lanteris acquisition.</w:t>
      </w:r>
    </w:p>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recognized from amounts included in contract liabilities at the beginning of the period was $11.2 million and $14.9 million during the three months ended March 31, 2026 and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Contracts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contract loss occurs when the current estimate of the consideration that we expect to receive is less than the current estimate of total estimating costs to complete the contract. For purposes of determining the existence of or amount of a contract loss, we consider total contract consideration, including any variable consideration constrained for revenue recognition purposes. We may experience favorable or unfavorable changes to contract losses from time to time due to changes in estimated contract costs and modifications that result in changes to contract price. We recorded net losses related to contracts with customers of and $2.7 million and $1.3 million for the three months ended March 31, 2026 and 2025,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The status of these loss contracts was as follows:</w:t>
      </w:r>
    </w:p>
    <w:p>
      <w:pPr>
        <w:spacing w:after="0" w:line="115" w:lineRule="exact"/>
        <w:rPr>
          <w:sz w:val="20"/>
          <w:szCs w:val="20"/>
          <w:color w:val="auto"/>
        </w:rPr>
      </w:pPr>
    </w:p>
    <w:p>
      <w:pPr>
        <w:jc w:val="both"/>
        <w:ind w:left="640" w:hanging="317"/>
        <w:spacing w:after="0" w:line="258" w:lineRule="auto"/>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IM-2 mission contract for lunar payload services, became a loss contract in 2023 due to estimated contract costs exceeding the estimated amount of consideration that we expected to receive. The IM-2 mission associated with this contract was completed in March 2025. For the three months ended March 31, 2025, changes in estimated contract costs resulted in an $1.0 million in contract loss. During the third quarter of 2025, the IM-2 mission contract was closed-out and we recognized revenue of approximately $5.5 million was recognized in revenue. As of December 31, 2025, there were no contract loss provisions remaining recorded in contract liabilities, current in our condensed consolidated balance sheets.</w:t>
      </w:r>
    </w:p>
    <w:p>
      <w:pPr>
        <w:spacing w:after="0" w:line="1" w:lineRule="exact"/>
        <w:rPr>
          <w:rFonts w:ascii="Times New Roman" w:cs="Times New Roman" w:eastAsia="Times New Roman" w:hAnsi="Times New Roman"/>
          <w:sz w:val="12"/>
          <w:szCs w:val="12"/>
          <w:color w:val="auto"/>
        </w:rPr>
      </w:pPr>
    </w:p>
    <w:p>
      <w:pPr>
        <w:jc w:val="both"/>
        <w:ind w:left="640" w:hanging="317"/>
        <w:spacing w:after="0" w:line="257" w:lineRule="auto"/>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IM-3 mission contract for lunar payload services became a loss contract in 2021 due to estimated contract costs exceeding the estimated amount of consideration that we expected to receive. For the three months ended March 31, 2026 and 2025, changes in estimated contract costs resulted in an additional $2.8 million and $0.2 million in contract loss, respectively. The period of performance for this contract currently runs through March 2027. As of March 31, 2026, this contract was approximately 89% complete. As of March 31, 2026 and December 31, 2025, the contract loss provision recorded in contract liabilities, current was $5.2 million and $6.5 million, respectively in our condensed consolidated balance sheets.</w:t>
      </w:r>
    </w:p>
    <w:p>
      <w:pPr>
        <w:spacing w:after="0" w:line="144" w:lineRule="exact"/>
        <w:rPr>
          <w:rFonts w:ascii="Times New Roman" w:cs="Times New Roman" w:eastAsia="Times New Roman" w:hAnsi="Times New Roman"/>
          <w:sz w:val="12"/>
          <w:szCs w:val="12"/>
          <w:color w:val="auto"/>
        </w:rPr>
      </w:pPr>
    </w:p>
    <w:p>
      <w:pPr>
        <w:jc w:val="both"/>
        <w:ind w:left="640" w:hanging="317"/>
        <w:spacing w:after="0" w:line="261"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IM-4 mission contract for lunar payload services, became a loss contract during the second quarter of 2025 due to estimated contract costs exceeding the estimated amount of consideration that we expect to receive. For the three months ended March 31, 2026, changes in estimated contract costs resulted in a favorable change in contract loss of $51 thousand. As of March 31, 2026 this contract was approximately 42% complete. The period of performance for this contract currently runs through August 2028. As of March 31, 2026 and December 31, 2025, the contract loss provision recorded in contract liabilities, current was $0.5 million for both periods. The contract loss provision recorded in contract liabilities, non-current was $0.3 million and $0.4 million, respectively, in our condensed consolidated balance sheets.</w:t>
      </w:r>
    </w:p>
    <w:p>
      <w:pPr>
        <w:spacing w:after="0" w:line="9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loss contracts are individually and collectively immaterial.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Remaining Performance Obligations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Remaining performance obligations represent the remaining transaction price of firm orders for which work has not been performed and excludes unexercised contract options. As of March 31, 2026, the aggregate amount of the transaction price allocated to remaining fixed price performance obligations was $792.3 million. The Company expects to recognize revenue on approximately 60-65% of the remaining performance obligations over the remaining 9 months, 25-30% in 2027 and the remaining thereafter over the next 3 years. Remaining performance obligations do not include variable consideration that was determined to be constrained as of March 31, 2026 due to the uncertainty of achieving performance milestones or other factors not yet resolved.</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time and materials contracts and cost reimbursable contracts, we have adopted the practical expedient that allows us to recognize revenue based on our right to invoice; therefore, we do not report unfulfilled performance obligations for time and materials and cost reimbursable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Grant Revenue and Related Matters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April 2025, the Texas Space Commission (“TSC”) selected Intuitive Machines for a grant up to $10.0 million from the Space Exploration and Research Fund. This funding supports the development of an Earth reentry vehicle and orbital fabrication lab designed to enable microgravity biomanufacturing and is intended to serve as a critical risk-reduction platform for the Company’s future lunar sample return missions. Under the TSC grant, the Company will apply up to $10.0 million in funds pursuant to budget periods defined in the TSC award through June 30, 2026 as reimbursement for costs incurred in completing the tasks, specified by the Company, to complete the design of the Earth reentry vehicle. The TSC can terminate the TSC award for convenience. Under such a termination, the Company will be permitted to seek reimbursement of valid costs incurred through the date of termination. During the three months ended March 31, 2026, the Company recognized grant revenue of $3.1 million and corresponding cost of grant revenue on the condensed consolidated statement of operations.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NOTE 5 - TRADE AND OTHER RECEIVABLES,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40" w:type="dxa"/>
            <w:vAlign w:val="bottom"/>
          </w:tcPr>
          <w:p>
            <w:pPr>
              <w:spacing w:after="0"/>
              <w:rPr>
                <w:sz w:val="11"/>
                <w:szCs w:val="11"/>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12,637</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Orbital receivables, current</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39,256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receivables</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(3,295)</w:t>
            </w:r>
          </w:p>
        </w:tc>
      </w:tr>
      <w:tr>
        <w:trPr>
          <w:trHeight w:val="196"/>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and other receivables, net</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105,788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Orbital Receivables</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connection with our acquisition of Lanteris in January 2026, the Company acquired orbital receivables. As of March 31, 2026, non-current orbital receivables, net of allowances was $217.5 million.</w:t>
      </w:r>
    </w:p>
    <w:p>
      <w:pPr>
        <w:spacing w:after="0" w:line="3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orbital receivables from 12 customers of which there were two major customers that respectively accounted for 33% and 30% of the aggregate total of the orbital receivables, current and non-current, net of allowances as of March 31, 2026. During the three months ended March 31, 2026, the Company did not sell orbital receivables.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expected timing of total contractual cash flows, including principal and interest payments for orbital receivables is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3"/>
                <w:szCs w:val="13"/>
                <w:color w:val="auto"/>
              </w:rPr>
            </w:pPr>
          </w:p>
        </w:tc>
        <w:tc>
          <w:tcPr>
            <w:tcW w:w="820" w:type="dxa"/>
            <w:vAlign w:val="bottom"/>
            <w:gridSpan w:val="2"/>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2030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Thereafter</w:t>
            </w:r>
          </w:p>
        </w:tc>
      </w:tr>
      <w:tr>
        <w:trPr>
          <w:trHeight w:val="170"/>
        </w:trPr>
        <w:tc>
          <w:tcPr>
            <w:tcW w:w="426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Contractual cash flows from orbital receivables</w:t>
            </w:r>
          </w:p>
        </w:tc>
        <w:tc>
          <w:tcPr>
            <w:tcW w:w="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BFE4FF"/>
              </w:rPr>
              <w:t>$</w:t>
            </w:r>
          </w:p>
        </w:tc>
        <w:tc>
          <w:tcPr>
            <w:tcW w:w="3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right w:val="single" w:sz="8" w:color="CCEE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89"/>
                <w:shd w:val="clear" w:color="auto" w:fill="BFE4FF"/>
              </w:rPr>
              <w:t>293,753</w:t>
            </w: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BFE4FF"/>
              </w:rPr>
              <w:t>$</w:t>
            </w: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right w:val="single" w:sz="8" w:color="CCEE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89"/>
                <w:shd w:val="clear" w:color="auto" w:fill="BFE4FF"/>
              </w:rPr>
              <w:t>37,453</w:t>
            </w: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BFE4FF"/>
              </w:rPr>
              <w:t>$</w:t>
            </w:r>
          </w:p>
        </w:tc>
        <w:tc>
          <w:tcPr>
            <w:tcW w:w="4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right w:val="single" w:sz="8" w:color="CCEE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4"/>
                <w:shd w:val="clear" w:color="auto" w:fill="BFE4FF"/>
              </w:rPr>
              <w:t>49,032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BFE4FF"/>
              </w:rPr>
              <w:t>$</w:t>
            </w:r>
          </w:p>
        </w:tc>
        <w:tc>
          <w:tcPr>
            <w:tcW w:w="4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right w:val="single" w:sz="8" w:color="CCEE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4"/>
                <w:shd w:val="clear" w:color="auto" w:fill="BFE4FF"/>
              </w:rPr>
              <w:t>38,423</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BFE4FF"/>
              </w:rPr>
              <w:t>$</w:t>
            </w: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right w:val="single" w:sz="8" w:color="CCEE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4"/>
                <w:shd w:val="clear" w:color="auto" w:fill="BFE4FF"/>
              </w:rPr>
              <w:t>33,569</w:t>
            </w: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BFE4FF"/>
              </w:rPr>
              <w:t>$</w:t>
            </w: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right w:val="single" w:sz="8" w:color="CCEE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89"/>
                <w:shd w:val="clear" w:color="auto" w:fill="BFE4FF"/>
              </w:rPr>
              <w:t>30,200</w:t>
            </w: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BFE4FF"/>
              </w:rPr>
              <w:t>$</w:t>
            </w:r>
          </w:p>
        </w:tc>
        <w:tc>
          <w:tcPr>
            <w:tcW w:w="6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right w:val="single" w:sz="8" w:color="CCEE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4"/>
                <w:shd w:val="clear" w:color="auto" w:fill="BFE4FF"/>
              </w:rPr>
              <w:t>105,076</w:t>
            </w:r>
          </w:p>
        </w:tc>
      </w:tr>
    </w:tbl>
    <w:p>
      <w:pPr>
        <w:spacing w:after="0" w:line="2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Securitization liabilities current and non-current are included in other current liabilities, and other non-current liabilities, respectively, in our condensed consolidated balance sheet are as follows (in thousands):</w:t>
      </w:r>
    </w:p>
    <w:tbl>
      <w:tblPr>
        <w:tblLayout w:type="fixed"/>
        <w:tblInd w:w="0" w:type="dxa"/>
        <w:tblCellMar>
          <w:top w:w="0" w:type="dxa"/>
          <w:left w:w="0" w:type="dxa"/>
          <w:bottom w:w="0" w:type="dxa"/>
          <w:right w:w="0" w:type="dxa"/>
        </w:tblCellMar>
      </w:tblPr>
      <w:tr>
        <w:trPr>
          <w:trHeight w:val="115"/>
        </w:trPr>
        <w:tc>
          <w:tcPr>
            <w:tcW w:w="8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58"/>
              <w:spacing w:after="0" w:line="115"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w:t>
            </w: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24,869</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portion</w:t>
            </w:r>
          </w:p>
        </w:tc>
        <w:tc>
          <w:tcPr>
            <w:tcW w:w="10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35,423</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securitization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2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a roll-forward of the Company’s allowance for credit losses related to our trade receivables (in thousands):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220" w:type="dxa"/>
            <w:vAlign w:val="bottom"/>
          </w:tcPr>
          <w:p>
            <w:pPr>
              <w:spacing w:after="0"/>
              <w:rPr>
                <w:sz w:val="14"/>
                <w:szCs w:val="14"/>
                <w:color w:val="auto"/>
              </w:rPr>
            </w:pPr>
          </w:p>
        </w:tc>
        <w:tc>
          <w:tcPr>
            <w:tcW w:w="2520" w:type="dxa"/>
            <w:vAlign w:val="bottom"/>
            <w:tcBorders>
              <w:bottom w:val="single" w:sz="8" w:color="auto"/>
            </w:tcBorders>
            <w:gridSpan w:val="5"/>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2026</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INVENTORY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acquired inventory in connection with its acquisition of Lanteris in January 2026, as further discussed in Note 3. As of March 31, 2026, inventories consisted of the following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0" w:type="dxa"/>
            <w:vAlign w:val="bottom"/>
          </w:tcPr>
          <w:p>
            <w:pPr>
              <w:spacing w:after="0"/>
              <w:rPr>
                <w:sz w:val="1"/>
                <w:szCs w:val="1"/>
                <w:color w:val="auto"/>
              </w:rPr>
            </w:pPr>
          </w:p>
        </w:tc>
      </w:tr>
      <w:tr>
        <w:trPr>
          <w:trHeight w:val="154"/>
        </w:trPr>
        <w:tc>
          <w:tcPr>
            <w:tcW w:w="3360" w:type="dxa"/>
            <w:vAlign w:val="bottom"/>
            <w:tcBorders>
              <w:bottom w:val="single" w:sz="8" w:color="CCEEFF"/>
            </w:tcBorders>
          </w:tcPr>
          <w:p>
            <w:pPr>
              <w:spacing w:after="0"/>
              <w:rPr>
                <w:sz w:val="13"/>
                <w:szCs w:val="13"/>
                <w:color w:val="auto"/>
              </w:rPr>
            </w:pPr>
          </w:p>
        </w:tc>
        <w:tc>
          <w:tcPr>
            <w:tcW w:w="6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1"/>
                <w:szCs w:val="11"/>
                <w:b w:val="1"/>
                <w:bCs w:val="1"/>
                <w:color w:val="auto"/>
              </w:rPr>
              <w:t>2026</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6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41,877</w:t>
            </w:r>
          </w:p>
        </w:tc>
        <w:tc>
          <w:tcPr>
            <w:tcW w:w="0" w:type="dxa"/>
            <w:vAlign w:val="bottom"/>
          </w:tcPr>
          <w:p>
            <w:pPr>
              <w:spacing w:after="0"/>
              <w:rPr>
                <w:sz w:val="1"/>
                <w:szCs w:val="1"/>
                <w:color w:val="auto"/>
              </w:rPr>
            </w:pPr>
          </w:p>
        </w:tc>
      </w:tr>
      <w:tr>
        <w:trPr>
          <w:trHeight w:val="18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Work in progress</w:t>
            </w:r>
          </w:p>
        </w:tc>
        <w:tc>
          <w:tcPr>
            <w:tcW w:w="6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15,996</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Inventory</w:t>
            </w:r>
          </w:p>
        </w:tc>
        <w:tc>
          <w:tcPr>
            <w:tcW w:w="6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jc w:val="right"/>
              <w:ind w:right="3669"/>
              <w:spacing w:after="0"/>
              <w:rPr>
                <w:sz w:val="20"/>
                <w:szCs w:val="20"/>
                <w:color w:val="auto"/>
              </w:rPr>
            </w:pPr>
            <w:r>
              <w:rPr>
                <w:rFonts w:ascii="Times New Roman" w:cs="Times New Roman" w:eastAsia="Times New Roman" w:hAnsi="Times New Roman"/>
                <w:sz w:val="14"/>
                <w:szCs w:val="14"/>
                <w:color w:val="auto"/>
              </w:rPr>
              <w:t>19</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336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60" w:type="dxa"/>
            <w:vAlign w:val="bottom"/>
            <w:tcBorders>
              <w:bottom w:val="single" w:sz="8" w:color="9A9A9A"/>
            </w:tcBorders>
          </w:tcPr>
          <w:p>
            <w:pPr>
              <w:spacing w:after="0"/>
              <w:rPr>
                <w:sz w:val="7"/>
                <w:szCs w:val="7"/>
                <w:color w:val="auto"/>
              </w:rPr>
            </w:pPr>
          </w:p>
        </w:tc>
        <w:tc>
          <w:tcPr>
            <w:tcW w:w="6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NOTE 7 - PROPERTY AND EQUIPMENT, NET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and December 31, 2025, property and equipment, net consisted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8"/>
        </w:trPr>
        <w:tc>
          <w:tcPr>
            <w:tcW w:w="80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6"/>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2026 </w:t>
            </w:r>
            <w:r>
              <w:rPr>
                <w:rFonts w:ascii="Times New Roman" w:cs="Times New Roman" w:eastAsia="Times New Roman" w:hAnsi="Times New Roman"/>
                <w:sz w:val="14"/>
                <w:szCs w:val="14"/>
                <w:b w:val="1"/>
                <w:bCs w:val="1"/>
                <w:color w:val="auto"/>
                <w:vertAlign w:val="superscript"/>
              </w:rPr>
              <w:t>(1)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Vehicles and trailers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Computers and software</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7,931</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9,632</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113,906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54,964</w:t>
            </w:r>
          </w:p>
        </w:tc>
      </w:tr>
      <w:tr>
        <w:trPr>
          <w:trHeight w:val="171"/>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76,106</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(7,556)</w:t>
            </w:r>
          </w:p>
        </w:tc>
      </w:tr>
      <w:tr>
        <w:trPr>
          <w:trHeight w:val="196"/>
        </w:trPr>
        <w:tc>
          <w:tcPr>
            <w:tcW w:w="8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244,220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142811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285" w:lineRule="exact"/>
        <w:rPr>
          <w:sz w:val="20"/>
          <w:szCs w:val="20"/>
          <w:color w:val="auto"/>
        </w:rPr>
      </w:pPr>
    </w:p>
    <w:p>
      <w:pPr>
        <w:ind w:left="260" w:hanging="255"/>
        <w:spacing w:after="0" w:line="288" w:lineRule="auto"/>
        <w:tabs>
          <w:tab w:leader="none" w:pos="29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as of March 31, 2026 includes approximately $158.6 million of property and equipment, net (of which $43.3 million is for construction in progress) related to Lanteris which was recently acquired on January 13, 2026. See Note 3 for additional information on the Lanteris acquisition.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depreciation expense related to property and equipment for the three months ended March 31, 2026 and 2025 was $7.2 million and $0.6 million, respectively.</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March 31, 2026, construction in progress includes $66.7 million in capitalized costs associated with the fabrication and development of communications satellites and ground network assets, primarily in support of the NASA Near Space Network (“NSN”) contract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GOODWILL AND INTANGIBLE ASSETS,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Company’s goodwill balance as of March 31, 2026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Impairment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Net Carrying Amount</w:t>
            </w:r>
          </w:p>
        </w:tc>
      </w:tr>
      <w:tr>
        <w:trPr>
          <w:trHeight w:val="18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18,697</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18,697</w:t>
            </w:r>
          </w:p>
        </w:tc>
      </w:tr>
      <w:tr>
        <w:trPr>
          <w:trHeight w:val="180"/>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Lanteris (Note 3)</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361,085</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361,085</w:t>
            </w:r>
          </w:p>
        </w:tc>
      </w:tr>
      <w:tr>
        <w:trPr>
          <w:trHeight w:val="18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 related to KinetX acquisition</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379,840</w:t>
            </w:r>
          </w:p>
        </w:tc>
        <w:tc>
          <w:tcPr>
            <w:tcW w:w="80" w:type="dxa"/>
            <w:vAlign w:val="bottom"/>
          </w:tcPr>
          <w:p>
            <w:pPr>
              <w:spacing w:after="0"/>
              <w:rPr>
                <w:sz w:val="14"/>
                <w:szCs w:val="14"/>
                <w:color w:val="auto"/>
              </w:rPr>
            </w:pPr>
          </w:p>
        </w:tc>
        <w:tc>
          <w:tcPr>
            <w:tcW w:w="1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379,840</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net consist of the following as of March 31, 2026 and December 31, 2025 (in thousands, except useful life in years):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Weighted average useful life</w:t>
            </w:r>
          </w:p>
        </w:tc>
        <w:tc>
          <w:tcPr>
            <w:tcW w:w="16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00" w:type="dxa"/>
            <w:vAlign w:val="bottom"/>
          </w:tcPr>
          <w:p>
            <w:pPr>
              <w:spacing w:after="0"/>
              <w:rPr>
                <w:sz w:val="13"/>
                <w:szCs w:val="13"/>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60" w:type="dxa"/>
            <w:vAlign w:val="bottom"/>
          </w:tcPr>
          <w:p>
            <w:pPr>
              <w:spacing w:after="0"/>
              <w:rPr>
                <w:sz w:val="13"/>
                <w:szCs w:val="13"/>
                <w:color w:val="auto"/>
              </w:rPr>
            </w:pP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0" w:type="dxa"/>
            <w:vAlign w:val="bottom"/>
          </w:tcPr>
          <w:p>
            <w:pPr>
              <w:spacing w:after="0"/>
              <w:rPr>
                <w:sz w:val="1"/>
                <w:szCs w:val="1"/>
                <w:color w:val="auto"/>
              </w:rPr>
            </w:pPr>
          </w:p>
        </w:tc>
      </w:tr>
      <w:tr>
        <w:trPr>
          <w:trHeight w:val="155"/>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Acquired intangible assets</w:t>
            </w: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 / trade name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137,883</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165,400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162,497</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304,130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472"/>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46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54"/>
        </w:trPr>
        <w:tc>
          <w:tcPr>
            <w:tcW w:w="4680" w:type="dxa"/>
            <w:vAlign w:val="bottom"/>
          </w:tcPr>
          <w:p>
            <w:pPr>
              <w:spacing w:after="0"/>
              <w:rPr>
                <w:sz w:val="13"/>
                <w:szCs w:val="13"/>
                <w:color w:val="auto"/>
              </w:rPr>
            </w:pP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Weighted average useful life</w:t>
            </w:r>
          </w:p>
        </w:tc>
        <w:tc>
          <w:tcPr>
            <w:tcW w:w="16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00" w:type="dxa"/>
            <w:vAlign w:val="bottom"/>
          </w:tcPr>
          <w:p>
            <w:pPr>
              <w:spacing w:after="0"/>
              <w:rPr>
                <w:sz w:val="13"/>
                <w:szCs w:val="13"/>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60" w:type="dxa"/>
            <w:vAlign w:val="bottom"/>
          </w:tcPr>
          <w:p>
            <w:pPr>
              <w:spacing w:after="0"/>
              <w:rPr>
                <w:sz w:val="13"/>
                <w:szCs w:val="13"/>
                <w:color w:val="auto"/>
              </w:rPr>
            </w:pPr>
          </w:p>
        </w:tc>
        <w:tc>
          <w:tcPr>
            <w:tcW w:w="142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Net Carrying Amount</w:t>
            </w:r>
          </w:p>
        </w:tc>
      </w:tr>
      <w:tr>
        <w:trPr>
          <w:trHeight w:val="155"/>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Acquired intangible assets</w:t>
            </w: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11,115</w:t>
            </w:r>
          </w:p>
        </w:tc>
      </w:tr>
      <w:tr>
        <w:trPr>
          <w:trHeight w:val="171"/>
        </w:trPr>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12,968</w:t>
            </w:r>
          </w:p>
        </w:tc>
      </w:tr>
      <w:tr>
        <w:trPr>
          <w:trHeight w:val="20"/>
        </w:trPr>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acquired intangible assets are amortized to expense on a straight-line basis over their estimated useful lives. Amortization expense was $5.8 million and zero for the three months ended March 31, 2026 and 2025, respectively. During the three months ended March 31, 2026 and 2025, the Company did not recognize any impairment losses related to intangible assets. As of March 31, 2026, estimated future amortization expense for acquired intangible assets is approximately $17.5 million for the remainder of 2026 and $18.3 million per year for each of the years from 2027 through 2030.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our acquired intangible assets, see Note 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LEASES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real estate for administrative office space, research, marketing and light manufacturing operations of the lessee’s aerospace related research and development business under operating leases.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operating and finance leases for real estate and equipment with remaining lease terms ranging from 7 months to 271 months, some of which contain options to extend and some of which contain options to terminate the lease without cause at the option of lessee.</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There are no restrictions or covenants imposed by any of the leases, and none of the Company’s leases contain material residual value guarantees.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components of total lease expense recorded in cost of product revenue (excluding depreciation and amortization) and general and administrative expense (excluding depreciation and amortization) are as follows (in thousands):</w:t>
      </w:r>
    </w:p>
    <w:p>
      <w:pPr>
        <w:sectPr>
          <w:pgSz w:w="11900" w:h="16838" w:orient="portrait"/>
          <w:cols w:equalWidth="0" w:num="1">
            <w:col w:w="11280"/>
          </w:cols>
          <w:pgMar w:left="300" w:top="905" w:right="3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cost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Finance lease cost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Variable lease cost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Short-term lease cost</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lease cost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supplemental cash flow information are as follows (in thousands):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9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2"/>
        </w:trPr>
        <w:tc>
          <w:tcPr>
            <w:tcW w:w="190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r>
      <w:tr>
        <w:trPr>
          <w:trHeight w:val="180"/>
        </w:trPr>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19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w:t>
            </w:r>
          </w:p>
        </w:tc>
      </w:tr>
      <w:tr>
        <w:trPr>
          <w:trHeight w:val="20"/>
        </w:trPr>
        <w:tc>
          <w:tcPr>
            <w:tcW w:w="19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20"/>
        </w:trPr>
        <w:tc>
          <w:tcPr>
            <w:tcW w:w="3580" w:type="dxa"/>
            <w:vAlign w:val="bottom"/>
            <w:tcBorders>
              <w:bottom w:val="single" w:sz="8" w:color="auto"/>
            </w:tcBorders>
            <w:gridSpan w:val="4"/>
          </w:tcPr>
          <w:p>
            <w:pPr>
              <w:ind w:left="18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49"/>
        </w:trPr>
        <w:tc>
          <w:tcPr>
            <w:tcW w:w="190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2026</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073"/>
              <w:spacing w:after="0"/>
              <w:rPr>
                <w:sz w:val="20"/>
                <w:szCs w:val="20"/>
                <w:color w:val="auto"/>
              </w:rPr>
            </w:pPr>
            <w:r>
              <w:rPr>
                <w:rFonts w:ascii="Times New Roman" w:cs="Times New Roman" w:eastAsia="Times New Roman" w:hAnsi="Times New Roman"/>
                <w:sz w:val="11"/>
                <w:szCs w:val="11"/>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-1124585</wp:posOffset>
            </wp:positionV>
            <wp:extent cx="7161530" cy="121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-889000</wp:posOffset>
            </wp:positionV>
            <wp:extent cx="7161530" cy="114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-659765</wp:posOffset>
            </wp:positionV>
            <wp:extent cx="7161530" cy="134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20" w:space="720"/>
            <w:col w:w="5140"/>
          </w:cols>
          <w:pgMar w:left="300" w:top="905"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6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Operating Leases</w:t>
            </w: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Finance Leases</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Operating Leases</w:t>
            </w: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Finance Leases</w:t>
            </w:r>
          </w:p>
        </w:tc>
      </w:tr>
      <w:tr>
        <w:trPr>
          <w:trHeight w:val="157"/>
        </w:trPr>
        <w:tc>
          <w:tcPr>
            <w:tcW w:w="6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84"/>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10,463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601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w:t>
            </w:r>
          </w:p>
        </w:tc>
      </w:tr>
      <w:tr>
        <w:trPr>
          <w:trHeight w:val="177"/>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12</w:t>
            </w:r>
          </w:p>
        </w:tc>
      </w:tr>
      <w:tr>
        <w:trPr>
          <w:trHeight w:val="18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remaining lease term (months)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4"/>
        </w:trPr>
        <w:tc>
          <w:tcPr>
            <w:tcW w:w="6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discount rate</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5" w:right="319" w:bottom="1440" w:gutter="0" w:footer="0" w:header="0"/>
          <w:type w:val="continuous"/>
        </w:sectPr>
      </w:pPr>
    </w:p>
    <w:bookmarkStart w:id="26" w:name="page27"/>
    <w:bookmarkEnd w:id="26"/>
    <w:p>
      <w:pPr>
        <w:jc w:val="both"/>
        <w:spacing w:after="0" w:line="287" w:lineRule="auto"/>
        <w:rPr>
          <w:sz w:val="20"/>
          <w:szCs w:val="20"/>
          <w:color w:val="auto"/>
        </w:rPr>
      </w:pPr>
      <w:r>
        <w:rPr>
          <w:rFonts w:ascii="Times New Roman" w:cs="Times New Roman" w:eastAsia="Times New Roman" w:hAnsi="Times New Roman"/>
          <w:sz w:val="14"/>
          <w:szCs w:val="14"/>
          <w:color w:val="auto"/>
        </w:rPr>
        <w:t>The operating and finance lease ROU assets, current operating lease liabilities, current finance lease liabilities, non-current operating lease liabilities, and non-current finance lease liabilities are disclosed in our condensed consolidated balance sheets.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includes the estimated future undiscounted cash flows for operating and finance leases as of March 31, 2026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240" w:type="dxa"/>
            <w:vAlign w:val="bottom"/>
          </w:tcPr>
          <w:p>
            <w:pPr>
              <w:spacing w:after="0"/>
              <w:rPr>
                <w:sz w:val="11"/>
                <w:szCs w:val="11"/>
                <w:color w:val="auto"/>
              </w:rPr>
            </w:pPr>
          </w:p>
        </w:tc>
        <w:tc>
          <w:tcPr>
            <w:tcW w:w="1240" w:type="dxa"/>
            <w:vAlign w:val="bottom"/>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Finance</w:t>
            </w:r>
          </w:p>
        </w:tc>
        <w:tc>
          <w:tcPr>
            <w:tcW w:w="0" w:type="dxa"/>
            <w:vAlign w:val="bottom"/>
          </w:tcPr>
          <w:p>
            <w:pPr>
              <w:spacing w:after="0"/>
              <w:rPr>
                <w:sz w:val="1"/>
                <w:szCs w:val="1"/>
                <w:color w:val="auto"/>
              </w:rPr>
            </w:pPr>
          </w:p>
        </w:tc>
      </w:tr>
      <w:tr>
        <w:trPr>
          <w:trHeight w:val="153"/>
        </w:trPr>
        <w:tc>
          <w:tcPr>
            <w:tcW w:w="8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0" w:type="dxa"/>
            <w:vAlign w:val="bottom"/>
          </w:tcPr>
          <w:p>
            <w:pPr>
              <w:spacing w:after="0"/>
              <w:rPr>
                <w:sz w:val="1"/>
                <w:szCs w:val="1"/>
                <w:color w:val="auto"/>
              </w:rPr>
            </w:pPr>
          </w:p>
        </w:tc>
      </w:tr>
      <w:tr>
        <w:trPr>
          <w:trHeight w:val="175"/>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2026</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22,825</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60,897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144,588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54,097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90,491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 DEBT</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our outstanding debt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40" w:type="dxa"/>
            <w:vAlign w:val="bottom"/>
          </w:tcPr>
          <w:p>
            <w:pPr>
              <w:spacing w:after="0"/>
              <w:rPr>
                <w:sz w:val="20"/>
                <w:szCs w:val="20"/>
                <w:color w:val="auto"/>
              </w:rPr>
            </w:pPr>
          </w:p>
        </w:tc>
        <w:tc>
          <w:tcPr>
            <w:tcW w:w="124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82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2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345,000</w:t>
            </w:r>
          </w:p>
        </w:tc>
        <w:tc>
          <w:tcPr>
            <w:tcW w:w="0" w:type="dxa"/>
            <w:vAlign w:val="bottom"/>
          </w:tcPr>
          <w:p>
            <w:pPr>
              <w:spacing w:after="0"/>
              <w:rPr>
                <w:sz w:val="1"/>
                <w:szCs w:val="1"/>
                <w:color w:val="auto"/>
              </w:rPr>
            </w:pP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unamortized debt discount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(8,803)</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22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335,844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335,335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Notes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August 18, 2025, the Company issued $345.0 million aggregate principal amount of 2.500% convertible senior notes due 2030 (the “Convertible Notes”). The Convertible Notes are general, unsecured obligations of the Company and bear interest at a fixed rate of 2.500% per year, payable semiannually in arrears on April 1 and October 1 of each year, beginning on April 1, 2026. The Convertible Notes will mature on October 1, 2030, unless earlier converted, redeemed, or repurchased.</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Convertible Notes are convertible at the option of the holders at any time prior to the close of business on the business day immediately preceding July 1, 2030 only under the following conditions: (1) during any calendar quarter commencing after the calendar quarter ending on December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(the “Measurement Period”) in which the trading price per $1,000 principal amount of the Convertible Notes for each trading day of the Measurement Period was less than 98% of the product of the last reported sale price of the Class A Common Stock and the conversion rate on each such trading day; (3) if the Company issues a notice of redemption, at any time prior to the close of business on the scheduled trading day immediately preceding the redemption date; or (4) upon the occurrence of specified corporate events. On or after July 1, 2030 until the close of business on the second scheduled trading day immediately preceding the maturity date, holders may convert all or any portion of their notes at any time, in integral multiples of $1,000 principal amount, at the option of the holder regardless of the foregoing conditions. Upon conversion, the Company may satisfy its conversion obligation by paying or delivering, as the case may be, cash, shares of Class A Common Stock or a combination of cash and shares of Class A Common Stock, at the Company’s election.</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may not redeem the notes prior to October 6, 2028. The Company may redeem for cash all or any portion of the notes, at the Company’s option, on or after October 6, 2028 and prior to the 26th scheduled trading day immediately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27" w:name="page28"/>
    <w:bookmarkEnd w:id="27"/>
    <w:p>
      <w:pPr>
        <w:jc w:val="both"/>
        <w:spacing w:after="0" w:line="257" w:lineRule="auto"/>
        <w:rPr>
          <w:sz w:val="20"/>
          <w:szCs w:val="20"/>
          <w:color w:val="auto"/>
        </w:rPr>
      </w:pPr>
      <w:r>
        <w:rPr>
          <w:rFonts w:ascii="Times New Roman" w:cs="Times New Roman" w:eastAsia="Times New Roman" w:hAnsi="Times New Roman"/>
          <w:sz w:val="14"/>
          <w:szCs w:val="14"/>
          <w:color w:val="auto"/>
        </w:rPr>
        <w:t>preceding the maturity date, but only if the “liquidity condition” (as defined below) is satisfied and the last reported sale price of the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The “liquidity condition” is satisfied if the Company has filed all reports and other materials required to be filed by Section 13 or 15(d) of the Exchange Act, as applicable, during the preceding 12 months, after giving effect to all applicable grace periods thereunder and other than current reports on Form 8-K; or if the Company has elected to settle all conversions by cash settlement. If the Company redeems less than all the outstanding Convertible Notes, at least $75.0 million aggregate principal amount must be outstanding and not subject to redemption as of, and after giving effect to, delivery of the relevant notice of redemption (unless the Company makes an “all notes election” with respect to such partial redemption, in which case such partial redemption limitation shall not apply). No sinking fund is provided for the notes.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initial conversion rate for the Convertible Notes is 76.2631 shares of Class A Common Stock per $1,000 principal amount of the notes, which represents an initial conversion price of approximately $13.1125 per share of Class A Common Stock. The conversion rate and conversion price are subject to customary adjustments upon the occurrence of certain events. In addition, holders who convert their notes in connection with a make-whole fundamental change or a notice of redemption may be entitled to an increase in the conversion rate. For the potential dilutive impact of the Convertible Notes if-converted, refer to Note 17 - Net Loss per Share.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Convertible Notes include customary covenants and certain events of default after which the notes may be declared immediately due and payable and set forth certain types of bankruptcy or insolvency events of default involving the Company after which the notes become automatically due and payable. As of March 31, 2026, the Company was in compliance with all debt covenant requirements related to the Convertible Notes.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March 31, 2026, the aggregate fair value of the Convertible Notes was $607.6 million based on an observable market quote in an active market (Level 2 inputs). Debt discount and issuance costs are comprised of costs incurred in connection with debt issuance and are presented in the accompanying condensed consolidated balance sheet as a deduction to the carrying amount of the debt and amortized using the effective interest method to interest expense over the term of the debt. The conversion feature was evaluated under ASC 815, “Derivatives and Hedging” and ASC 470-20 “Debt with Conversion and Other Options” and was not separated as a derivative because it met the equity scope exception; therefore, the Convertible Notes are accounted for entirely as a liability. During the three months ended March 31, 2026, the effective interest rate on the Convertible Notes, including the impact of the debt discount and issuance costs, was approximately 3.09% and the Company recognized $2.7 million of interest expense related to the Convertible Notes which included the amortization of the debt discount and issuance costs of $0.5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Capped Calls</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August 18, 2025, in connection with the issuance of the Convertible Notes (as described above), the Company entered into capped call transactions (the “Capped Calls”) with certain financial institutions at an aggregate cost of approximately $36.8 million. The Capped Calls cover, subject to anti-dilution adjustments, the number of Class A Common Stock underlying the Convertible Notes. The Capped Calls can be settled in cash or shares at the Company’s option and are expected generally to reduce the potential dilution to the Class A Common Stock upon any conversion of the Convertible Notes and/or offset any cash payments the Company is required to make in excess of the principal amount of the Convertible Notes. The Capped Calls have an initial strike price of $13.1125 and an initial cap price of $20.9800 per share, which are subject to certain adjustments under the terms of the Capped Calls. The Capped Calls meet the criteria for equity classification under ASC 815-40 as they are indexed to the Company’s own stock and require settlement in shares or cash at the Company’s option. The Capped Calls cover approximately 26,310,770 of Class A Common Stock. These instruments are excluded from diluted earnings per share calculations as they are currently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Stifel Loan Agreement</w:t>
      </w:r>
    </w:p>
    <w:p>
      <w:pPr>
        <w:spacing w:after="0" w:line="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March 4, 2025, we entered into a loan and security agreement (the “Loan Agreement”) with Stifel Bank. The Loan Agreement provides for a secured revolving credit facility in an aggregate principal amount of up to $40.0 million (the “Revolving Facility”). The proceeds of the loans (and any letters of credit issued thereunder) may be used for the funding of growth initiatives, including working capital needs and general corporate purposes as the Company continues to focus on minimizing its cost of capital while maximizing available funding alternatives. Amounts outstanding under the Revolving Facility bear interest at a rate per annum equal to the greater of (a) Term SOFR (secured overnight financing rate) plus 2.75% and (b) 6.00% and requires the Company to meet certain financial and other covenants. The Loan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8" w:name="page29"/>
    <w:bookmarkEnd w:id="28"/>
    <w:p>
      <w:pPr>
        <w:jc w:val="both"/>
        <w:spacing w:after="0" w:line="271" w:lineRule="auto"/>
        <w:rPr>
          <w:sz w:val="20"/>
          <w:szCs w:val="20"/>
          <w:color w:val="auto"/>
        </w:rPr>
      </w:pPr>
      <w:r>
        <w:rPr>
          <w:rFonts w:ascii="Times New Roman" w:cs="Times New Roman" w:eastAsia="Times New Roman" w:hAnsi="Times New Roman"/>
          <w:sz w:val="14"/>
          <w:szCs w:val="14"/>
          <w:color w:val="auto"/>
        </w:rPr>
        <w:t>Agreement matures on April 30, 2027 (the “Maturity Date”). Subject to certain conditions in the Loan Agreement, amounts borrowed thereunder may be repaid and reborrowed at any time prior to the Maturity Date.</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January 12, 2026, the Company and Stifel Bank entered into a waiver, in respect to the Loan Agreement pursuant to which Stifel Bank consented to the acquisition of Lanteris (as discussed in Note 3) and halted any borrowing and covenant obligations by the Company under the Revolving Facility. As of March 31, 2026, there was no outstanding debt under the Stifel Loan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INCOME TAXES</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Company is a corporation and thus is subject to United States (“U.S.”) federal, state and local income taxes. Intuitive Machines, LLC is a partnership for U.S. federal income tax purposes and therefore does not pay U.S. federal income tax on its taxable income. Instead, the Intuitive Machines, LLC unitholders, including the Company, are liable for U.S. federal income tax on their respective shares of Intuitive Machines, LLC’s taxable income. Intuitive Machines, LLC is liable for income taxes in those states which tax entities classified as partnerships for U.S. federal income tax purposes.</w:t>
      </w:r>
    </w:p>
    <w:p>
      <w:pPr>
        <w:spacing w:after="0" w:line="3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2026, we recognized $2 thousand U.S. federal and state expense for income taxes. For the three months ended March 31, 2025, we recognized no U.S. federal and state expense for income taxes. Our effective combined U.S. federal and state income tax rates were 0.00% for both periods.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conjunction with the consummation of the Transactions, Intuitive Machines, Inc. entered into a tax receivable agreement (the “TRA”). Pursuant to the TRA, the Company is required to pay the TRA Holders (certain Intuitive Machines, LLC members and related parties to the Company) 85% of the amount of the cash tax savings, if any, in U.S. federal, state, and local taxes that are based on, or measured with respect to, net income or profits, and any interest related thereto that the Company realizes, or is deemed to realize, as a result of certain tax attributes, including:</w:t>
      </w:r>
    </w:p>
    <w:p>
      <w:pPr>
        <w:spacing w:after="0" w:line="51"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tax basis in certain assets of Intuitive Machines, LLC and its subsidiaries;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basis adjustments resulting from taxable exchanges of Intuitive Machines, LLC Common Units acquired by the Company;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tax benefits realized by the Company as a result of the Business Combination;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deductions in respect of portions of certain payments made under the TRA.</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such payments to the TRA Holders are the obligations of the Company, and not that of Intuitive Machines, LLC. As of March 31, 2026, based primarily on historical losses of the Company, management has determined it is more-likely-than-not that the Company will be unable to utilize its deferred tax assets subject to the TRA; therefore, management applies a full valuation allowance to deferred tax asset for a corresponding liability under the TRA related to the tax savings the Company may realize from the utilization of tax deductions related to basis adjustments created by the transactions in the Business Combination Agreement. As of March 31, 2026, management does not expect a TRA liability to be recorded.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We have assessed the impact of the OBBBA and determined that the impact on our condensed consolidated financial statements is not material.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NOTE 12 - MEZZANINE EQUITY AND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reflects share information about the Company’s capital stock as of March 31, 2026.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Authorized</w:t>
            </w: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7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0.0001</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162,010,801</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(2,191,080)</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159,819,721</w:t>
            </w: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80" w:type="dxa"/>
            <w:vAlign w:val="bottom"/>
          </w:tcPr>
          <w:p>
            <w:pPr>
              <w:spacing w:after="0"/>
              <w:rPr>
                <w:sz w:val="15"/>
                <w:szCs w:val="15"/>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C Common Stock</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0.0001</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56,994,367</w:t>
            </w: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56,994,367</w:t>
            </w: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5"/>
                <w:szCs w:val="15"/>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6"/>
        </w:trPr>
        <w:tc>
          <w:tcPr>
            <w:tcW w:w="37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725,000,000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219,010,168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216,819,088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Purchase Agreement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27, 2026, the Company completed the issuance and sale to the Investors of 11,574,069 shares of Class A Common Stock at a price of $15.12 per share for an aggregate purchase price of $175.0 million pursuant to the terms of the Securities Purchase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Series A Preferred Stock </w:t>
      </w:r>
      <w:r>
        <w:rPr>
          <w:rFonts w:ascii="Times New Roman" w:cs="Times New Roman" w:eastAsia="Times New Roman" w:hAnsi="Times New Roman"/>
          <w:sz w:val="14"/>
          <w:szCs w:val="14"/>
          <w:i w:val="1"/>
          <w:iCs w:val="1"/>
          <w:color w:val="auto"/>
        </w:rPr>
        <w:t>(Mezzanine Equity)</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342F2F"/>
        </w:rPr>
        <w:t xml:space="preserve">As a result of the Private Placement Transaction on September 5, 2023 (as discussed below) and in accordance with the terms of the Certificate of Designation, the Series A Preferred Stock conversion price was reduced from </w:t>
      </w:r>
      <w:r>
        <w:rPr>
          <w:rFonts w:ascii="Times New Roman" w:cs="Times New Roman" w:eastAsia="Times New Roman" w:hAnsi="Times New Roman"/>
          <w:sz w:val="14"/>
          <w:szCs w:val="14"/>
          <w:color w:val="000000"/>
        </w:rPr>
        <w:t>$12.00</w:t>
      </w:r>
      <w:r>
        <w:rPr>
          <w:rFonts w:ascii="Times New Roman" w:cs="Times New Roman" w:eastAsia="Times New Roman" w:hAnsi="Times New Roman"/>
          <w:sz w:val="14"/>
          <w:szCs w:val="14"/>
          <w:color w:val="342F2F"/>
        </w:rPr>
        <w:t xml:space="preserve"> per share to $5.10 per share. Additionally, as a result of </w:t>
      </w:r>
      <w:r>
        <w:rPr>
          <w:rFonts w:ascii="Times New Roman" w:cs="Times New Roman" w:eastAsia="Times New Roman" w:hAnsi="Times New Roman"/>
          <w:sz w:val="14"/>
          <w:szCs w:val="14"/>
          <w:color w:val="000000"/>
        </w:rPr>
        <w:t>the Warrant Exercise Agreement on January 10, 2024 in conjunction with the warrant transactions</w:t>
      </w:r>
      <w:r>
        <w:rPr>
          <w:rFonts w:ascii="Times New Roman" w:cs="Times New Roman" w:eastAsia="Times New Roman" w:hAnsi="Times New Roman"/>
          <w:sz w:val="14"/>
          <w:szCs w:val="14"/>
          <w:color w:val="342F2F"/>
        </w:rPr>
        <w:t xml:space="preserve"> </w:t>
      </w:r>
      <w:r>
        <w:rPr>
          <w:rFonts w:ascii="Times New Roman" w:cs="Times New Roman" w:eastAsia="Times New Roman" w:hAnsi="Times New Roman"/>
          <w:sz w:val="14"/>
          <w:szCs w:val="14"/>
          <w:color w:val="000000"/>
        </w:rPr>
        <w:t>discussed in Note 13, the Series A Preferred Stock conversion price was further reduced from $5.10 per share to $3.00 per share.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Redeemable Noncontrolling Interests </w:t>
      </w:r>
      <w:r>
        <w:rPr>
          <w:rFonts w:ascii="Times New Roman" w:cs="Times New Roman" w:eastAsia="Times New Roman" w:hAnsi="Times New Roman"/>
          <w:sz w:val="14"/>
          <w:szCs w:val="14"/>
          <w:i w:val="1"/>
          <w:iCs w:val="1"/>
          <w:color w:val="auto"/>
        </w:rPr>
        <w:t>(Mezzanine Equity)</w:t>
      </w:r>
    </w:p>
    <w:p>
      <w:pPr>
        <w:spacing w:after="0" w:line="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As of March 31, 2026, the prior investors of Intuitive Machines, LLC own 26.3% of the outstanding common units of Intuitive Machines, LLC. The prior investors of Intuitive Machines, LLC have the right to exchange their common units in Intuitive Machines, LLC (along with the cancellation of the paired shares of Class B Common Stock or Class C Common Stock in Intuitive Machines, Inc.) for shares of Class A Common Stock on a one-to-one basis or cash proceeds for an equivalent amount. The option to redeem Intuitive Machines, LLC’s common units for cash proceeds must be approved by the Board. The ability to put common units is solely within the control of the holder of the redeemable noncontrolling interests. If the prior investors elect the redemption to be settled in cash, the cash used to settle the redemption must be funded through a private or public offering of Class A Common Stock and subject to the Company’s Board approval.</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financial results of Intuitive Machines, LLC and its subsidiaries are consolidated with Intuitive Machines, Inc. with the redeemable noncontrolling interests' share of our net loss separately allocated.</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WARRANTS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Investor Warrants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conjunction with the issuance of Series A Preferred Stock at closing of the Business Combination, the Company issued 541,667 Preferred Investor Warrants (of which, 104,157 are owned by a related party, Ghaffarian Enterprises, LLC) to purchase one share of the Company’s Class A Common Stock with an exercise price of $15.00, subject to adjustment. The Company evaluated the terms of the Preferred Investor Warrants and determined they meet the criteria to be classified in shareholders’ equity upon issuance.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Preferred Investor Warrants were immediately exercisable upon issuance and expire five years from the closing of the Business Combination. The Preferred Investor Warrants include customary cash and cashless exercise provisions and may be exercised on a cashless basis if, at any time after the six month anniversary of the Closing Date, there is not an effective registration statement with respect to the Class A Common Stock. The Preferred Investor Warrants have the same terms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auto"/>
        </w:rPr>
        <w:t>and conditions as the Public Warrants. The Preferred Investor Warrants do not entitle the holder to any voting rights, dividends or other rights as a shareholder of the Company prior to exercise.</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result of the Private Placement Transaction on September 5, 2023 discussed in Note 12 and in accordance with the terms of the Certificate of Designation, the Preferred Investor Warrants exercise price was reduced from $15.00 to $11.50 per share and the aggregate number of shares of Class A Common Stock issuable upon exercise of the Preferred Investor Warrants was proportionally increased to 706,522.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there have been no exercises of the Preferred Investor Warrants.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Warrants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connection with the January 2024 Bridge Loan Conversion, the Company agreed to issue to the Guarantor, pursuant to Section 4(a)(2) of the Securities Act of 1933, (i) a new unregistered Series A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 of 5 years, (the “Conversion Series A Warrant”) and (ii) a new unregistered Series B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 of 18 months (the “Conversion Series B Warrant”), collectively (the “Conversion Warrants”). On May 31, 2024, the guarantor assigned the Conversion Warrants to a third party investor in a private transaction. Pursuant to the assignment to a third party investor, the Conversion Warrants are no longer exercisable for Class C Common Stock. All other terms related to the Conversion Warrants remain the same as previously discussed. Pursuant to the guidance under ASC 480 “Distinguishing Liabilities from Equity,” the Company determined that the Conversion Warrants should be recorded as liabilities as of the issuance date and March 31, 2024 and subsequently determined that they meet the criteria in ASC 815, “Derivatives and Hedging”, to be classified as a derivative liability as of May 31, 2024 and June 30, 2024, initially measured at fair value with changes in fair value recognized in earnings in other income (expense) on the condensed consolidated statement of operations.</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period from June 5, 2024 to June 7, 2024, the investor exercised 300,000 Conversion Series B Warrants, resulting in the issuance of an equal number of shares of Class A Common Stock. During the period from November 21, 2024 to November 29, 2024, the investor exercised the remaining 3,850,780 Conversion Series B Warrants, resulting in the issuance of an equal number of Class A Common Stock. As of March 31, 2026, there have been no exercises of the Conversion Series A Warrants.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and 2025, the Company recognized a loss of $9.4 million and a gain of $43.0 million, respectively, from the change in fair value of the Conversion Series A Warrant liability in our condensed consolidated statement of operations. See Note 16 for additional information on the fair value measurement of the Conversion Series A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SHARE-BASED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2021 Unit Option Plan</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25, 2021, the Intuitive Machines, LLC’s board of directors adopted, and its members approved the 2021 Unit Option Plan (the “2021 Plan”). The 2021 Plan allowed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of the Business Combination discussed in Note 1 and per the terms of the Second Amended and Restated Intuitive Machines, LLC Operating Agreement, the unexpired and 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As a result of the conversions, there was no incremental compensation cost and the terms of the outstanding options, including fair value, vesting conditions and classification, were unchanged.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1" w:name="page32"/>
    <w:bookmarkEnd w:id="31"/>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2026, Intuitive Machines, LLC was authorized to issue a total of 748,357 Class B Common Units upon exercise of the Incentive Unit Options under the 2021 Plan. The following table provides a summary of the option activity under the 2021 Plan for the three months ended March 31, 2026:</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restart"/>
          </w:tcPr>
          <w:p>
            <w:pPr>
              <w:jc w:val="center"/>
              <w:ind w:left="337"/>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40" w:type="dxa"/>
            <w:vAlign w:val="bottom"/>
          </w:tcPr>
          <w:p>
            <w:pPr>
              <w:spacing w:after="0"/>
              <w:rPr>
                <w:sz w:val="9"/>
                <w:szCs w:val="9"/>
                <w:color w:val="auto"/>
              </w:rPr>
            </w:pPr>
          </w:p>
        </w:tc>
        <w:tc>
          <w:tcPr>
            <w:tcW w:w="1240" w:type="dxa"/>
            <w:vAlign w:val="bottom"/>
            <w:vMerge w:val="restart"/>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020" w:type="dxa"/>
            <w:vAlign w:val="bottom"/>
            <w:vMerge w:val="restart"/>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left="337"/>
              <w:spacing w:after="0" w:line="117" w:lineRule="exact"/>
              <w:rPr>
                <w:sz w:val="20"/>
                <w:szCs w:val="20"/>
                <w:color w:val="auto"/>
              </w:rPr>
            </w:pPr>
            <w:r>
              <w:rPr>
                <w:rFonts w:ascii="Times New Roman" w:cs="Times New Roman" w:eastAsia="Times New Roman" w:hAnsi="Times New Roman"/>
                <w:sz w:val="11"/>
                <w:szCs w:val="11"/>
                <w:b w:val="1"/>
                <w:bCs w:val="1"/>
                <w:color w:val="auto"/>
              </w:rPr>
              <w:t>Average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left="337"/>
              <w:spacing w:after="0" w:line="117"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240" w:type="dxa"/>
            <w:vAlign w:val="bottom"/>
          </w:tcPr>
          <w:p>
            <w:pPr>
              <w:spacing w:after="0"/>
              <w:rPr>
                <w:sz w:val="10"/>
                <w:szCs w:val="10"/>
                <w:color w:val="auto"/>
              </w:rPr>
            </w:pPr>
          </w:p>
        </w:tc>
        <w:tc>
          <w:tcPr>
            <w:tcW w:w="1240" w:type="dxa"/>
            <w:vAlign w:val="bottom"/>
          </w:tcPr>
          <w:p>
            <w:pPr>
              <w:jc w:val="center"/>
              <w:ind w:right="176"/>
              <w:spacing w:after="0" w:line="117"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54"/>
        </w:trPr>
        <w:tc>
          <w:tcPr>
            <w:tcW w:w="5080" w:type="dxa"/>
            <w:vAlign w:val="bottom"/>
          </w:tcPr>
          <w:p>
            <w:pPr>
              <w:spacing w:after="0"/>
              <w:rPr>
                <w:sz w:val="13"/>
                <w:szCs w:val="13"/>
                <w:color w:val="auto"/>
              </w:rPr>
            </w:pPr>
          </w:p>
        </w:tc>
        <w:tc>
          <w:tcPr>
            <w:tcW w:w="1020" w:type="dxa"/>
            <w:vAlign w:val="bottom"/>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left="337"/>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240" w:type="dxa"/>
            <w:vAlign w:val="bottom"/>
          </w:tcPr>
          <w:p>
            <w:pPr>
              <w:spacing w:after="0"/>
              <w:rPr>
                <w:sz w:val="13"/>
                <w:szCs w:val="13"/>
                <w:color w:val="auto"/>
              </w:rPr>
            </w:pPr>
          </w:p>
        </w:tc>
        <w:tc>
          <w:tcPr>
            <w:tcW w:w="124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(000’s)</w:t>
            </w:r>
          </w:p>
        </w:tc>
        <w:tc>
          <w:tcPr>
            <w:tcW w:w="0" w:type="dxa"/>
            <w:vAlign w:val="bottom"/>
          </w:tcPr>
          <w:p>
            <w:pPr>
              <w:spacing w:after="0"/>
              <w:rPr>
                <w:sz w:val="1"/>
                <w:szCs w:val="1"/>
                <w:color w:val="auto"/>
              </w:rPr>
            </w:pPr>
          </w:p>
        </w:tc>
      </w:tr>
      <w:tr>
        <w:trPr>
          <w:trHeight w:val="176"/>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0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748,357</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Exercised</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10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748,357</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10,825,350</w:t>
            </w:r>
          </w:p>
        </w:tc>
        <w:tc>
          <w:tcPr>
            <w:tcW w:w="0" w:type="dxa"/>
            <w:vAlign w:val="bottom"/>
          </w:tcPr>
          <w:p>
            <w:pPr>
              <w:spacing w:after="0"/>
              <w:rPr>
                <w:sz w:val="1"/>
                <w:szCs w:val="1"/>
                <w:color w:val="auto"/>
              </w:rPr>
            </w:pP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as of March 31, 2026</w:t>
            </w: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557,883</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8,319,026</w:t>
            </w:r>
          </w:p>
        </w:tc>
        <w:tc>
          <w:tcPr>
            <w:tcW w:w="0" w:type="dxa"/>
            <w:vAlign w:val="bottom"/>
          </w:tcPr>
          <w:p>
            <w:pPr>
              <w:spacing w:after="0"/>
              <w:rPr>
                <w:sz w:val="1"/>
                <w:szCs w:val="1"/>
                <w:color w:val="auto"/>
              </w:rPr>
            </w:pPr>
          </w:p>
        </w:tc>
      </w:tr>
      <w:tr>
        <w:trPr>
          <w:trHeight w:val="340"/>
        </w:trPr>
        <w:tc>
          <w:tcPr>
            <w:tcW w:w="82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Aggregate intrinsic value represents the difference between the exercise price of the options and the market price of our Class A Common Stock.</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provides a summary of weighted-average grant-date fair value of unit options under the 2021 Plan:</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w w:val="98"/>
              </w:rPr>
              <w:t>Weighted-</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center"/>
              <w:ind w:right="176"/>
              <w:spacing w:after="0" w:line="117"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5"/>
        </w:trPr>
        <w:tc>
          <w:tcPr>
            <w:tcW w:w="5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center"/>
              <w:ind w:right="176"/>
              <w:spacing w:after="0" w:line="115"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50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2025</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8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18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March 31, 2026</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Share-based compensation expense related to options was $33 thousand and $47 thousand for the three months ended March 31, 2026 and 2025, respectively, and was classified in the condensed consolidated statement of operations under general and administrative expense. As of March 31, 2026, the Company had $100 thousand in estimated unrecognized share-based compensation costs related to outstanding unit options that is expected to be recognized over a weighted average period of 1.33 years.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the consummation of the Business Combination, no new awards will be granted under the 2021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Intuitive Machines, Inc. 2023 Long Term Omnibus Incentive Plan (the “2023 Plan”)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2023 Plan, which became effective in conjunction with closing of the Business Combination, provides for the award to certain directors, officers, employees, consultants and advisors of the Company of incentive and nonqualified stock options, stock appreciation rights, restricted stock awards, restricted stock units, other stock-based awards as well as cash-based awards and dividend equivalents, as determined, and subject to the terms and conditions established, by the Company’s Compensation Committee. Under the 2023 Plan, a maximum of 12,706,811 shares of Class A Common Stock are authorized to be issued. As of March 31, 2026, the Company has issued restricted stock units (“RSUs”), restricted stock shares (“RSSs”), and performance stock units (“PSUs”). No other awards have been granted under the 2023 Plan. As of March 31, 2026, approximately 4,872,615 shares were available for future grants under the 2023 Plan.</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2023 Plan, the Company grants RSUs and RSSs with time-based vesting requirements which typically vest over one to four years and PSUs with target performance-based vesting requirements based on continuous service. The fair value of these awards are based on the Company’s closing stock price on the date of grant. As of April 2025, all PSU grants were fully vested.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The following table provides a summary of the Company’s 2023 Plan activity: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40" w:type="dxa"/>
            <w:vAlign w:val="bottom"/>
          </w:tcPr>
          <w:p>
            <w:pPr>
              <w:spacing w:after="0"/>
              <w:rPr>
                <w:sz w:val="11"/>
                <w:szCs w:val="11"/>
                <w:color w:val="auto"/>
              </w:rPr>
            </w:pPr>
          </w:p>
        </w:tc>
        <w:tc>
          <w:tcPr>
            <w:tcW w:w="1280" w:type="dxa"/>
            <w:vAlign w:val="bottom"/>
          </w:tcPr>
          <w:p>
            <w:pPr>
              <w:jc w:val="center"/>
              <w:ind w:left="58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Weighted Average Grant Date Fair</w:t>
            </w:r>
          </w:p>
        </w:tc>
      </w:tr>
      <w:tr>
        <w:trPr>
          <w:trHeight w:val="158"/>
        </w:trPr>
        <w:tc>
          <w:tcPr>
            <w:tcW w:w="73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ind w:left="603"/>
              <w:spacing w:after="0" w:line="159" w:lineRule="exact"/>
              <w:rPr>
                <w:sz w:val="20"/>
                <w:szCs w:val="20"/>
                <w:color w:val="auto"/>
              </w:rPr>
            </w:pPr>
            <w:r>
              <w:rPr>
                <w:rFonts w:ascii="Times New Roman" w:cs="Times New Roman" w:eastAsia="Times New Roman" w:hAnsi="Times New Roman"/>
                <w:sz w:val="11"/>
                <w:szCs w:val="11"/>
                <w:b w:val="1"/>
                <w:bCs w:val="1"/>
                <w:color w:val="auto"/>
                <w:w w:val="94"/>
              </w:rPr>
              <w:t>Units</w:t>
            </w:r>
            <w:r>
              <w:rPr>
                <w:rFonts w:ascii="Times New Roman" w:cs="Times New Roman" w:eastAsia="Times New Roman" w:hAnsi="Times New Roman"/>
                <w:sz w:val="14"/>
                <w:szCs w:val="14"/>
                <w:b w:val="1"/>
                <w:bCs w:val="1"/>
                <w:color w:val="auto"/>
                <w:w w:val="94"/>
                <w:vertAlign w:val="superscript"/>
              </w:rPr>
              <w:t>(1)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2,752,419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18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2,784,668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r>
      <w:tr>
        <w:trPr>
          <w:trHeight w:val="18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r>
      <w:tr>
        <w:trPr>
          <w:trHeight w:val="18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w:t>
            </w:r>
          </w:p>
        </w:tc>
      </w:tr>
      <w:tr>
        <w:trPr>
          <w:trHeight w:val="171"/>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128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4,871,075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142811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360" w:lineRule="exact"/>
        <w:rPr>
          <w:sz w:val="20"/>
          <w:szCs w:val="20"/>
          <w:color w:val="auto"/>
        </w:rPr>
      </w:pPr>
    </w:p>
    <w:p>
      <w:pPr>
        <w:ind w:left="260" w:hanging="255"/>
        <w:spacing w:after="0" w:line="288" w:lineRule="auto"/>
        <w:tabs>
          <w:tab w:leader="none" w:pos="29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Company’s issuance of 1,518,163 RSSs associated with the Lanteris acquisition in January 2026. The fair value of the RSSs granted was $19.76 per share based on the grant date of when all terms and conditions were approved and communicated to employees. The RSSs have service-only vesting conditions and vest in one year. See Note 3 for more information on the Lanteris acquisition.</w:t>
      </w:r>
    </w:p>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2026 and 2025, the Company recognized share-based compensation expense related to the 2023 Plan awards of $8.8 million and $2.8 million, respectively, within general and administrative expense on our condensed consolidated statement of operations. As of March 31, 2026, the estimated unrecognized share-based compensation costs related to unvested RSUs and RSSs was $31.3 million and $23.7 million, respectively, that is expected to be recognized over a weighted average period of 3.22 years and 0.79 years,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EMPLOYEE BENEFIT PLANS</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January 13, 2026, we acquired Lanteris, and assumed its company-sponsored defined benefit pension and other postretirement plans covering certain employees, for which we recorded net liabilities of approximately $56.7 million (consisting of $1.9 million included in other current liabilities and $54.8 million in non-current liabilities), reflecting an approximate fair value of plan assets of $336.1 million and a projected benefit obligation of $392.8 million. The pension and other postretirement plan benefits were frozen on December 31, 2013. The defined benefit plan provides pension benefits based on various factors including prior earnings and length of service. The defined benefit plan is funded, and the Company’s funding requirements are based on the plans’ actuarial measurement framework as established by the plan agreements or applicable laws. The funded plans’ assets are legally separated from the Company and are held by an independent trustee. The trustee is responsible for ensuring that the funds are protected as per applicable laws. The other postretirement benefits, comprised of life insurance is primarily funded out of operating income (loss).</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March 31, 2026, the Company recorded net pension liabilities of $53.9 million on our condensed consolidated balance sheet, consisting of $1.9 million recorded in other current liabilities and the non-current portion of $52.0 million recorded in pension and other post-retirement benefits.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service cost component of net periodic benefit cost is recorded in operating expenses, and the other components are recorded in other income (expense), net, in our condensed consolidated statements of operations. The following table summarizes the components of net periodic benefit cost for the Company’s pension plans (in thousands):</w:t>
      </w:r>
    </w:p>
    <w:p>
      <w:pPr>
        <w:sectPr>
          <w:pgSz w:w="11900" w:h="16838" w:orient="portrait"/>
          <w:cols w:equalWidth="0" w:num="1">
            <w:col w:w="11280"/>
          </w:cols>
          <w:pgMar w:left="300" w:top="761" w:right="31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Service cost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cost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return on plans assets</w:t>
      </w:r>
    </w:p>
    <w:p>
      <w:pPr>
        <w:spacing w:after="0" w:line="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Net periodic benefit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January 13, 2026 -</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26035</wp:posOffset>
            </wp:positionV>
            <wp:extent cx="7161530" cy="121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700</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5,008</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(5,754)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-101600</wp:posOffset>
            </wp:positionV>
            <wp:extent cx="7161530" cy="121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11652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65225"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34925</wp:posOffset>
            </wp:positionV>
            <wp:extent cx="11652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8740" w:space="720"/>
            <w:col w:w="1820"/>
          </w:cols>
          <w:pgMar w:left="300" w:top="761" w:right="319" w:bottom="1440" w:gutter="0" w:footer="0" w:header="0"/>
          <w:type w:val="continuous"/>
        </w:sectPr>
      </w:pPr>
    </w:p>
    <w:p>
      <w:pPr>
        <w:spacing w:after="0" w:line="8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funding policy for the Company’s pension and postretirement benefit plans is to contribute at least the minimum required by applicable laws and regulations. During the period from January 13, 2026 to March 31, 2026, the Company contributed approximately $2.7 million to the pension and other postretirement benefit plans.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NOTE 16 - FAIR VALUE MEASUREMENTS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tables summarize the fair value of assets and liabilities that are recorded in the Company’s condensed consolidated balance sheets as of March 31, 2026 and December 31, 2025 at fair value on a recurring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2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120" w:type="dxa"/>
            <w:vAlign w:val="bottom"/>
          </w:tcPr>
          <w:p>
            <w:pPr>
              <w:spacing w:after="0"/>
              <w:rPr>
                <w:sz w:val="9"/>
                <w:szCs w:val="9"/>
                <w:color w:val="auto"/>
              </w:rPr>
            </w:pPr>
          </w:p>
        </w:tc>
        <w:tc>
          <w:tcPr>
            <w:tcW w:w="14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Frequency of</w:t>
            </w:r>
          </w:p>
        </w:tc>
        <w:tc>
          <w:tcPr>
            <w:tcW w:w="320" w:type="dxa"/>
            <w:vAlign w:val="bottom"/>
          </w:tcPr>
          <w:p>
            <w:pPr>
              <w:spacing w:after="0"/>
              <w:rPr>
                <w:sz w:val="9"/>
                <w:szCs w:val="9"/>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00" w:type="dxa"/>
            <w:vAlign w:val="bottom"/>
          </w:tcPr>
          <w:p>
            <w:pPr>
              <w:spacing w:after="0"/>
              <w:rPr>
                <w:sz w:val="9"/>
                <w:szCs w:val="9"/>
                <w:color w:val="auto"/>
              </w:rPr>
            </w:pPr>
          </w:p>
        </w:tc>
        <w:tc>
          <w:tcPr>
            <w:tcW w:w="1060" w:type="dxa"/>
            <w:vAlign w:val="bottom"/>
            <w:vMerge w:val="restart"/>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4"/>
        </w:trPr>
        <w:tc>
          <w:tcPr>
            <w:tcW w:w="412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Measurement</w:t>
            </w:r>
          </w:p>
        </w:tc>
        <w:tc>
          <w:tcPr>
            <w:tcW w:w="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 liabilities - Conversion Series A</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Recurring</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69,816</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Contingent consideration liabilities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Recurring</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measured at fair value</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75,690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69,816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4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Frequency of</w:t>
            </w:r>
          </w:p>
        </w:tc>
        <w:tc>
          <w:tcPr>
            <w:tcW w:w="320" w:type="dxa"/>
            <w:vAlign w:val="bottom"/>
          </w:tcPr>
          <w:p>
            <w:pPr>
              <w:spacing w:after="0"/>
              <w:rPr>
                <w:sz w:val="9"/>
                <w:szCs w:val="9"/>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00" w:type="dxa"/>
            <w:vAlign w:val="bottom"/>
          </w:tcPr>
          <w:p>
            <w:pPr>
              <w:spacing w:after="0"/>
              <w:rPr>
                <w:sz w:val="9"/>
                <w:szCs w:val="9"/>
                <w:color w:val="auto"/>
              </w:rPr>
            </w:pPr>
          </w:p>
        </w:tc>
        <w:tc>
          <w:tcPr>
            <w:tcW w:w="1060" w:type="dxa"/>
            <w:vAlign w:val="bottom"/>
            <w:vMerge w:val="restart"/>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3"/>
        </w:trPr>
        <w:tc>
          <w:tcPr>
            <w:tcW w:w="412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Measurement</w:t>
            </w:r>
          </w:p>
        </w:tc>
        <w:tc>
          <w:tcPr>
            <w:tcW w:w="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 liabilities - Conversion Series A</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Recurring</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60,394</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60,394</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Contingent consideration liabilities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Recurring</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measured at fair value</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65,747</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60,394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and cash equivalents consist of cash in bank, time deposits and other highly liquid investments purchased with original maturities of less than 90 days. Because of the short-term nature of these instruments, the carrying amounts approximate fair value and therefore are considered Level 1 measurements under the fair value hierarchy.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provide roll-forwards of the Company’s Level 3 liabilities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Warrant liabilities - Series A</w:t>
            </w:r>
          </w:p>
        </w:tc>
      </w:tr>
      <w:tr>
        <w:trPr>
          <w:trHeight w:val="18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60,394</w:t>
            </w:r>
          </w:p>
        </w:tc>
      </w:tr>
      <w:tr>
        <w:trPr>
          <w:trHeight w:val="180"/>
        </w:trPr>
        <w:tc>
          <w:tcPr>
            <w:tcW w:w="9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w:t>
            </w: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9,422</w:t>
            </w:r>
          </w:p>
        </w:tc>
      </w:tr>
      <w:tr>
        <w:trPr>
          <w:trHeight w:val="180"/>
        </w:trPr>
        <w:tc>
          <w:tcPr>
            <w:tcW w:w="9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Converted to equity</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69,816</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Earn-out liabilities</w:t>
            </w:r>
          </w:p>
        </w:tc>
        <w:tc>
          <w:tcPr>
            <w:tcW w:w="160" w:type="dxa"/>
            <w:vAlign w:val="bottom"/>
          </w:tcPr>
          <w:p>
            <w:pPr>
              <w:spacing w:after="0"/>
              <w:rPr>
                <w:sz w:val="13"/>
                <w:szCs w:val="13"/>
                <w:color w:val="auto"/>
              </w:rPr>
            </w:pPr>
          </w:p>
        </w:tc>
        <w:tc>
          <w:tcPr>
            <w:tcW w:w="166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Warrant liabilities - Series A</w:t>
            </w:r>
          </w:p>
        </w:tc>
        <w:tc>
          <w:tcPr>
            <w:tcW w:w="0" w:type="dxa"/>
            <w:vAlign w:val="bottom"/>
          </w:tcPr>
          <w:p>
            <w:pPr>
              <w:spacing w:after="0"/>
              <w:rPr>
                <w:sz w:val="1"/>
                <w:szCs w:val="1"/>
                <w:color w:val="auto"/>
              </w:rPr>
            </w:pPr>
          </w:p>
        </w:tc>
      </w:tr>
      <w:tr>
        <w:trPr>
          <w:trHeight w:val="180"/>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134,156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68,778</w:t>
            </w:r>
          </w:p>
        </w:tc>
        <w:tc>
          <w:tcPr>
            <w:tcW w:w="0" w:type="dxa"/>
            <w:vAlign w:val="bottom"/>
          </w:tcPr>
          <w:p>
            <w:pPr>
              <w:spacing w:after="0"/>
              <w:rPr>
                <w:sz w:val="1"/>
                <w:szCs w:val="1"/>
                <w:color w:val="auto"/>
              </w:rPr>
            </w:pPr>
          </w:p>
        </w:tc>
      </w:tr>
      <w:tr>
        <w:trPr>
          <w:trHeight w:val="180"/>
        </w:trPr>
        <w:tc>
          <w:tcPr>
            <w:tcW w:w="7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w:t>
            </w:r>
          </w:p>
        </w:tc>
        <w:tc>
          <w:tcPr>
            <w:tcW w:w="28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w:t>
            </w: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(43,002)</w:t>
            </w:r>
          </w:p>
        </w:tc>
        <w:tc>
          <w:tcPr>
            <w:tcW w:w="0" w:type="dxa"/>
            <w:vAlign w:val="bottom"/>
          </w:tcPr>
          <w:p>
            <w:pPr>
              <w:spacing w:after="0"/>
              <w:rPr>
                <w:sz w:val="1"/>
                <w:szCs w:val="1"/>
                <w:color w:val="auto"/>
              </w:rPr>
            </w:pPr>
          </w:p>
        </w:tc>
      </w:tr>
      <w:tr>
        <w:trPr>
          <w:trHeight w:val="180"/>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Converted to equity</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(167,525)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Earn-out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a result of the Business Combination, certain Intuitive Machines, LLC members received 10,000,000 earn out units of Intuitive Machines, LLC (“Earn Out Units”) subject to certain triggering events. Upon the vesting of any Earn Out Units, each of the certain Intuitive Machines, LLC members will be issued (i) by Intuitive Machines, LLC an equal number of Intuitive Machines, LLC Common Units and (ii) by Intuitive Machines, an equal number of shares of Class C Common Stock, in exchange for surrender of the applicable Earn Out Units and the payment to Intuitive Machines, Inc. of a per-share price equal to the par value per share of the Class C Common Stock. Under the earn out agreement, Earn Out Units of</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2,500,000 vested during the year ended December 31, 2023, and the remaining 7,500,000 Earn Out Units vested during three months ended March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Series A Warrant Liabilities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the Conversion Series A Warrant liabilities as of March 31, 2026 was estimated using a Black-Scholes-Merton model. The significant assumptions utilized in estimating the fair value of the Conversion Series A Warrant liabilities include: (i) a per share price of the Class A Common Stock of $18.56, (ii) a dividend yield of 0.0%; (iii) a risk-free rate of 3.81%; and (iv) expected volatility of 108%.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October 1, 2025 and in connection with the purchase consideration related to our acquisition of KinetX, approximately 329,827 shares of Class A Common Stock were held back in escrow to fund post-closing adjustments, in the amount of $3.5 million, based on the acquisition date closing stock price of $10.61, and recorded as a contingent consideration liability in our condensed consolidated balance sheets. During the three months ended March 31, 2026, 13,336 shares of Class A Common Stock were released from escrow and issued. The fair value of the contingent consideration liability of the remaining 316,491 shares of Class A Common Stock held in escrow as of March 31, 2026 was estimated based on our Class A Common Stock closing stock price of $18.56. See Note 3 - Acquisitions for additional information on the acquisition of KinetX.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NET LOSS PER SHARE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Basic net income (loss) per share of Class A common stock is computed by dividing net income (loss) attributable to Class A common shareholders for the three months ended March 31, 2026 and 2025 by the weighted-average number of shares of Class A common stock outstanding for the same periods.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Diluted net income (loss) per share of Class A common stock includes additional weighted average common shares that would have been outstanding if potential common shares with a dilutive effect had been issued using the if-converted method for the Series A Preferred Stock and Convertible Notes, and the treasury method for our RSUs, PSUs, options, and warrants. During loss periods, diluted net loss per share for all periods presented is the same as basic net loss per share as the inclusion of the potentially issuable shares would be anti-dilutive. The Capped Call transactions entered into in connection with the Convertible Notes (as discussed in Note 10) are excluded from diluted net income (loss) per share calculations as they are designed to reduce potential dilution and are currently anti-dilutive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computation of the basic and diluted loss per share of Class A Common Stock (in thousands, except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54"/>
        </w:trPr>
        <w:tc>
          <w:tcPr>
            <w:tcW w:w="80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6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8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(52,528)</w:t>
            </w:r>
          </w:p>
        </w:tc>
        <w:tc>
          <w:tcPr>
            <w:tcW w:w="100" w:type="dxa"/>
            <w:vAlign w:val="bottom"/>
          </w:tcPr>
          <w:p>
            <w:pPr>
              <w:spacing w:after="0"/>
              <w:rPr>
                <w:sz w:val="15"/>
                <w:szCs w:val="15"/>
                <w:color w:val="auto"/>
              </w:rPr>
            </w:pP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0" w:type="dxa"/>
            <w:vAlign w:val="bottom"/>
          </w:tcPr>
          <w:p>
            <w:pPr>
              <w:spacing w:after="0"/>
              <w:rPr>
                <w:sz w:val="1"/>
                <w:szCs w:val="1"/>
                <w:color w:val="auto"/>
              </w:rPr>
            </w:pPr>
          </w:p>
        </w:tc>
      </w:tr>
      <w:tr>
        <w:trPr>
          <w:trHeight w:val="184"/>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Less: Net income (loss) attributable to redeemable noncontrolling interest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11,909</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the Company</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(11,396)</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Less: Cumulative preferred dividends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9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Class A common shareholders</w:t>
            </w: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(37,549)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and diluted weighted-average shares of Class A common stock outstanding</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147,878,006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107,081,918</w:t>
            </w:r>
          </w:p>
        </w:tc>
        <w:tc>
          <w:tcPr>
            <w:tcW w:w="0" w:type="dxa"/>
            <w:vAlign w:val="bottom"/>
          </w:tcPr>
          <w:p>
            <w:pPr>
              <w:spacing w:after="0"/>
              <w:rPr>
                <w:sz w:val="1"/>
                <w:szCs w:val="1"/>
                <w:color w:val="auto"/>
              </w:rPr>
            </w:pPr>
          </w:p>
        </w:tc>
      </w:tr>
      <w:tr>
        <w:trPr>
          <w:trHeight w:val="212"/>
        </w:trPr>
        <w:tc>
          <w:tcPr>
            <w:tcW w:w="8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per share of Class A common stock - basic and diluted</w:t>
            </w: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35" w:name="page36"/>
    <w:bookmarkEnd w:id="35"/>
    <w:p>
      <w:pPr>
        <w:spacing w:after="0" w:line="287" w:lineRule="auto"/>
        <w:rPr>
          <w:sz w:val="20"/>
          <w:szCs w:val="20"/>
          <w:color w:val="auto"/>
        </w:rPr>
      </w:pPr>
      <w:r>
        <w:rPr>
          <w:rFonts w:ascii="Times New Roman" w:cs="Times New Roman" w:eastAsia="Times New Roman" w:hAnsi="Times New Roman"/>
          <w:sz w:val="14"/>
          <w:szCs w:val="14"/>
          <w:color w:val="auto"/>
        </w:rPr>
        <w:t>The following table presents potentially dilutive securities, as of the end of the periods, excluded from the computation of diluted net loss per share of Class A Common Stock as their effect would be anti-dilutive, their exercise price was out-of-the-money, or because of unsatisfied contingent issuance conditions.</w:t>
      </w:r>
    </w:p>
    <w:p>
      <w:pPr>
        <w:spacing w:after="0" w:line="8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4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6"/>
        </w:trPr>
        <w:tc>
          <w:tcPr>
            <w:tcW w:w="8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color w:val="auto"/>
              </w:rPr>
              <w:t>RSU and RSS awards</w:t>
            </w:r>
            <w:r>
              <w:rPr>
                <w:rFonts w:ascii="Times New Roman" w:cs="Times New Roman" w:eastAsia="Times New Roman" w:hAnsi="Times New Roman"/>
                <w:sz w:val="17"/>
                <w:szCs w:val="17"/>
                <w:color w:val="auto"/>
                <w:vertAlign w:val="superscript"/>
              </w:rPr>
              <w:t>(1)</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5,060,387</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3,214,513</w:t>
            </w:r>
          </w:p>
        </w:tc>
      </w:tr>
      <w:tr>
        <w:trPr>
          <w:trHeight w:val="180"/>
        </w:trPr>
        <w:tc>
          <w:tcPr>
            <w:tcW w:w="8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3"/>
                <w:szCs w:val="13"/>
                <w:color w:val="auto"/>
              </w:rPr>
              <w:t>Options</w:t>
            </w:r>
            <w:r>
              <w:rPr>
                <w:rFonts w:ascii="Times New Roman" w:cs="Times New Roman" w:eastAsia="Times New Roman" w:hAnsi="Times New Roman"/>
                <w:sz w:val="17"/>
                <w:szCs w:val="17"/>
                <w:color w:val="auto"/>
                <w:vertAlign w:val="superscript"/>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748,357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923,173</w:t>
            </w:r>
          </w:p>
        </w:tc>
      </w:tr>
      <w:tr>
        <w:trPr>
          <w:trHeight w:val="180"/>
        </w:trPr>
        <w:tc>
          <w:tcPr>
            <w:tcW w:w="89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Series A Preferred Stock</w:t>
            </w:r>
            <w:r>
              <w:rPr>
                <w:rFonts w:ascii="Times New Roman" w:cs="Times New Roman" w:eastAsia="Times New Roman" w:hAnsi="Times New Roman"/>
                <w:sz w:val="17"/>
                <w:szCs w:val="17"/>
                <w:color w:val="auto"/>
                <w:vertAlign w:val="superscript"/>
              </w:rPr>
              <w:t>(2)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2,224,832</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2,014,443</w:t>
            </w:r>
          </w:p>
        </w:tc>
      </w:tr>
      <w:tr>
        <w:trPr>
          <w:trHeight w:val="180"/>
        </w:trPr>
        <w:tc>
          <w:tcPr>
            <w:tcW w:w="8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Warrants (Conversion Warrants and Preferred Investor Warrants)</w:t>
            </w:r>
            <w:r>
              <w:rPr>
                <w:rFonts w:ascii="Times New Roman" w:cs="Times New Roman" w:eastAsia="Times New Roman" w:hAnsi="Times New Roman"/>
                <w:sz w:val="18"/>
                <w:szCs w:val="18"/>
                <w:color w:val="auto"/>
                <w:vertAlign w:val="superscript"/>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4,857,302</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4,857,302</w:t>
            </w:r>
          </w:p>
        </w:tc>
      </w:tr>
      <w:tr>
        <w:trPr>
          <w:trHeight w:val="180"/>
        </w:trPr>
        <w:tc>
          <w:tcPr>
            <w:tcW w:w="89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Escrow Shares</w:t>
            </w:r>
            <w:r>
              <w:rPr>
                <w:rFonts w:ascii="Times New Roman" w:cs="Times New Roman" w:eastAsia="Times New Roman" w:hAnsi="Times New Roman"/>
                <w:sz w:val="18"/>
                <w:szCs w:val="18"/>
                <w:color w:val="auto"/>
                <w:vertAlign w:val="superscript"/>
              </w:rPr>
              <w:t>(3)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316,491</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3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Convertible Notes</w:t>
            </w:r>
            <w:r>
              <w:rPr>
                <w:rFonts w:ascii="Times New Roman" w:cs="Times New Roman" w:eastAsia="Times New Roman" w:hAnsi="Times New Roman"/>
                <w:sz w:val="17"/>
                <w:szCs w:val="17"/>
                <w:color w:val="auto"/>
                <w:vertAlign w:val="superscript"/>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26,310,770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142811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231" w:lineRule="exact"/>
        <w:rPr>
          <w:sz w:val="20"/>
          <w:szCs w:val="20"/>
          <w:color w:val="auto"/>
        </w:rPr>
      </w:pPr>
    </w:p>
    <w:p>
      <w:pPr>
        <w:ind w:left="380" w:hanging="248"/>
        <w:spacing w:after="0" w:line="300" w:lineRule="auto"/>
        <w:tabs>
          <w:tab w:leader="none" w:pos="375"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number of instruments outstanding at the end of the period that were evaluated under the treasury stock method for potentially dilutive effects and were determined to be anti-dilutive. The number of 2023 Plan awards outstanding at the three months ended March 31, 2026 consists of 4,871,075 unvested RSU and RSS awards and 189,312 vested RSUs with elected deferrals of the issuance of Class A common stock.</w:t>
      </w:r>
    </w:p>
    <w:p>
      <w:pPr>
        <w:spacing w:after="0" w:line="2" w:lineRule="exact"/>
        <w:rPr>
          <w:rFonts w:ascii="Times New Roman" w:cs="Times New Roman" w:eastAsia="Times New Roman" w:hAnsi="Times New Roman"/>
          <w:sz w:val="11"/>
          <w:szCs w:val="11"/>
          <w:color w:val="auto"/>
        </w:rPr>
      </w:pPr>
    </w:p>
    <w:p>
      <w:pPr>
        <w:ind w:left="380" w:hanging="248"/>
        <w:spacing w:after="0"/>
        <w:tabs>
          <w:tab w:leader="none" w:pos="3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number of instruments outstanding as converted at the end of the period that were evaluated under the if-converted method for potentially dilutive effects and were determined to be anti-dilutive.</w:t>
      </w:r>
    </w:p>
    <w:p>
      <w:pPr>
        <w:spacing w:after="0" w:line="53" w:lineRule="exact"/>
        <w:rPr>
          <w:rFonts w:ascii="Times New Roman" w:cs="Times New Roman" w:eastAsia="Times New Roman" w:hAnsi="Times New Roman"/>
          <w:sz w:val="11"/>
          <w:szCs w:val="11"/>
          <w:color w:val="auto"/>
        </w:rPr>
      </w:pPr>
    </w:p>
    <w:p>
      <w:pPr>
        <w:ind w:left="380" w:hanging="248"/>
        <w:spacing w:after="0"/>
        <w:tabs>
          <w:tab w:leader="none" w:pos="3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number of escrow shares outstanding at the end of the period due to unsatisfied contingent issuance conditions and were determined to be anti-dilutive.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subject to legal proceedings, claims and liabilities that arise in the ordinary course of business. We accrue for losses associated with legal claims when such losses are considered probable and the amounts can be reasonably estimated. The Company bases any accrual for losses on a variety of factors, including informal settlement discussions. As of March 31, 2026 and December 31, 2025, the aggregate amount accrued on our condensed consolidated balance sheet is approximately $2.1 million and represents management’s best estimate of probable losses. For matters for which no accrual has currently been made or for potential losses in excess of amounts accrued, the Company currently believes, based on management’s assessment, that any losses that are reasonably possible and estimable will not, in the aggregate, have a material adverse effect on its financial position, results of operations, or cash flows. However, the ultimate outcome of legal proceedings involves judgments, estimates, and inherent uncertainties and cannot be predicted with certainty. Should the ultimate outcome of any legal matter be unfavorable, it could have a material adverse effect on our business, financial condition and results of operations. The Company may also incur substantial legal fees, which are expensed as incurred, in defending against legal claims.</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On November 22, 2024, Starlight Strategies IV LLC (“Plaintiff”), an alleged successor in interest to a purported former holder of shares of the Company’s 10% Series A Cumulative Convertible Preferred Stock, par value $0.0001 per share (the “Series A Preferred Stock”) filed a breach of contract action in Delaware Chancery Court. The complaint alleges that the Plaintiff’s predecessor received fewer shares of common stock upon conversion of its shares of Series A Preferred Stock than it was allegedly entitled to receive under the terms of the applicable certificate of designation. The Plaintiff is seeking unspecified contractual damages and equitable relief. The Company has filed its answer to the complaint and asserted counterclaims against the Plaintiff and third-party claims against certain entities affiliated with the Plaintiff. Also, on January 24, 2025, Kingstown 1740 Fund L.P. and Kingstown Capital Partners LLC (together, “Kingstown”) moved to intervene, seeking to file a complaint in intervention against Starlight. The court granted Kingstown leave to intervene. In connection with the intervention, the Company has agreed to pay Kingstown’s legal fees. In February 2026, the Court granted leave for the parties to file motions for summary judgment and pending the Motions, it removed deadlines for Expert reports and trial date. The Company and Kingstown filed its Motions in April and Plaintiff’s Motions will be filed in May 2026. The Company has not recorded an accrual related to this matter because a loss is not considered probable or reasonably estimable at this time.</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2023, the Civil Division of the U.S. Department of Justice issued a Civil Investigative Demand as part of an investigation into allegations that Lanteris submitted, or caused to be submitted, false claims to the federal government by failing to meet cybersecurity requirements in federal regulations and government contracts issued to Lanteris and made or used false records or statements material to these false claims. In late 2025, the Department of Justice presented its initial civil investigation review to Lanteris that it alleged constitute False Claims Act violations related to certain federal government contracts awarded to it. Lanteris is cooperating with the investigation. In connection with the Company’s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36" w:name="page37"/>
    <w:bookmarkEnd w:id="36"/>
    <w:p>
      <w:pPr>
        <w:jc w:val="both"/>
        <w:spacing w:after="0" w:line="287" w:lineRule="auto"/>
        <w:rPr>
          <w:sz w:val="20"/>
          <w:szCs w:val="20"/>
          <w:color w:val="auto"/>
        </w:rPr>
      </w:pPr>
      <w:r>
        <w:rPr>
          <w:rFonts w:ascii="Times New Roman" w:cs="Times New Roman" w:eastAsia="Times New Roman" w:hAnsi="Times New Roman"/>
          <w:sz w:val="14"/>
          <w:szCs w:val="14"/>
          <w:color w:val="auto"/>
        </w:rPr>
        <w:t>acquisition of Lanteris, the Seller Parent, Vantor Holdings Inc., agreed to indemnify Intuitive Machines and its affiliates for the liability of Lanteris related to this investigation. At the request of the Department of Justice, a response and counter arguments to dispute the department’s assertions against Lanteris of False Claims Act violations will be made in the coming months.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 Commitments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time-to-time, we enter into long-term commitments with vendors to purchase launch services and for the development of certain components in conjunction with our obligations under revenue contracts with our customers. Our aggregate purchases under these commitments totaled approximately $26.1 million and $15.6 million for the three months ended March 31, 2026 and 2025, respectively. As of March 31, 2026, we had remaining purchase obligations under non-cancelable commitments with various vendors totaling $122.7 million of which approximately $47.1 million is due during the remaining of 2026, $73.1 million due in 2027, and the remaining $2.5 million due in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RELATED PARTY TRANSACTIONS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Intuitive Machines, IX LLC and Space Network Solutions, LLC have entered into recurring transaction agreements with certain related parties, including sales agreements and loan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KBR, Inc.</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KBR, Inc. (“KBR”), a U.S.-based firm operating in the science, technology and engineering industries holds approximately 10% of the equity of Space Network Solutions, LLC (“SNS”), one of our operating subsidiaries. The Company recognized affiliate revenue from KBR related to engineering services of $0.4 million and $0.6 million for the three months ended March 31, 2026 and 2025, respectively. As of March 31, 2026 and December 31, 2025, there was $0.4 million and $0.3 million, respectively, of affiliate accounts receivable related to KBR revenue.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SNS incurred cost of revenue with KBR related to the OMES III contract of $5.4 million and $6.3 million for the three months ended March 31, 2026 and 2025, respectively. As of March 31, 2026 and December 31, 2025, there was $2.1 million and $1.6 million, respectively, of affiliate accounts payable related to cost of revenue with KBR. See Note 20 - Variable Interest Entities for more information on the OMES III contract with KBR.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and expenses related to KBR are incurred in the normal course of business and amounts are settled under normal business terms.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ASES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recognized revenue from ASES related to engineering services of $0.2 million and $0.3 million for the three months ended March 31, 2026 and 2025, respectively. There was $0.2 million and $0.2 million of affiliate accounts receivable related to ASES revenue as of March 31, 2026 and December 31, 2025, respectively. ASES is a joint venture between Aerodyne and KBR. Kamal Ghaffarian, the Chairman of the Board and one of the co-founders of Intuitive Machines, LLC is a current member of management of Aerodyne Industries, LLC.</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SNS incurred cost of revenue with Aerodyne related to the OMES III contract of $0.5 million and $0.7 million for the three months ended March 31, 2026 and 2025, respectively. As of March 31, 2026 and December 31, 2025, there was $0.3 million and $0.1 million, respectively, of affiliate accounts payable related to cost of revenue with Aerodyne. See Note 20 - Variable Interest Entities for more information on the OMES III contract.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and expenses related to ASES are incurred in the normal course of business and amounts are settled under normal business terms.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X-energy, LLC</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incurred expenses with X-energy, LLC (“X-energy”) of zero and $0.3 million for the three months ended March 31, 2026 and 2025, respectively. As of March 31, 2026 and December 31, 2025, there was no affiliate accounts payable related to X-energy expenses. Expenses related to X-energy are incurred in the normal course of business and amounts are settled under normal business terms. Kamal Ghaffarian, the Chairman of the Board and one of the co-founders of Intuitive Machines, LLC is the Executive Chairman of X-Energy Reactor Company, LLC, which is the parent company of X-Energy.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IBX, LLC and PTX, LLC</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From time to time, the Company may incur expenses with IBX, LLC and PTX, LLC (“IBX/PTX”) for the provision of management and professional services in the day-to-day operation of our business. These expenses include, among others, fees for the provision of administrative, accounting and legal services. As such, expenses incurred in relation to IBX/PTX are incurred in the normal course of business and amounts are settled under normal business terms. IBX/PTX is an innovation and investment firm committed to advancing the state of humanity and human knowledge. Kamal Ghaffarian, the Chairman of the Board and one of the co-founders of Intuitive Machines, is a co-founder and current member of management of IBX/PTX. For the three months ended March 31, 2026 and 2025, the Company incurred no expenses. As of March 31, 2026 and December 31, 2025, there was zero and $26 thousand, respectively, of affiliate accounts payable related to IBX/PTX expenses.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VARIABLE INTEREST ENTITIES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determines whether joint ventures in which it has invested meet the criteria of a variable interest entity or “VIE” at the start of each new venture and when a reconsideration event has occurred. A VIE is a legal entity that satisfies any of the following characteristics: (a) the legal entity does not have sufficient equity investment at risk; (b) the equity investors at risk as a group, lack the characteristics of a controlling financial interest; or ( the legal entity is structured with disproportionate voting rights.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consolidates a VIE if it is determined to be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Space Network Solutions, LLC</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participates in the Space Network Solutions joint venture with KBR, a leading provider of specialized engineering, and professional, scientific and technical services primarily to the U.S. federal government. Under the terms of the Amended Space Network Solutions limited liability company agreement, we hold a 90% interest in the Space Network Solutions and KBR hold a 10% interest. Space Network Solutions is a VIE and Intuitive Machines is the primary beneficiary.</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Space Network Solutions was formed to provide cyber security as well as communication &amp; tracking services using its expertise in developing secure ground system architecture for lunar space missions. In the second quarter of 2023, NASA awarded Space Network Solutions a cost-plus-fixed-fee indefinite-delivery, indefinite quantity contract to support work related to the Joint Polar Satellite System, NASA’s Exploration and In-space Services. Intuitive Machines and KBR entered into a separate joint venture agreement (the “OMES III JV Agreement”) within Space Network Solutions to execute the OMES III contract with a profits interest of 47% for Intuitive Machines and 53% for KBR. We have determined that the OMES III JV Agreement represents a silo within Space Network Solutions and is a standalone VIE. Intuitive Machines is the primary beneficiary of this silo based on the governance structure of the OMES III JV Agreement. As of March 31, 2026, SNS LLC had total assets of $11.6 million and total liabilities of $8.6 million. As of December 31, 2025, SNS LLC had total assets of $7.8 million and total liabilities of $5.5 million.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SEGMENT INFORMATION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operates in one operating segment and one reportable segment underpinned by three core pillars (delivery services, data transmission services, and infrastructure as a service) that have similar capabilities, customers, and economic characteristics. The Company’s chief operating decision-maker (“CODM”) is our chief executive officer. Our CODM reviews and evaluates consolidated Net income (loss), a U.S. GAAP measure, and Adjusted Earnings before Interest, Taxes, Depreciation, and Amortization (“Adjusted EBITDA”), a non-GAAP measure, and Total assets for purposes of evaluating financial performance, making operating decisions, allocating resources, and planning and forecasting for future periods. Although we utilize a non-GAAP measure of Adjusted EBITDA to evaluate our ability to generate cash and as an alternative measure of profitability, our primary profitability measure is the GAAP measure of Net income (loss).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All of the Company’s long-lived assets are maintained in the U.S. We geographically disaggregate our revenues based on the customer’s country of domicile and most of our revenues are derived from customers in the U.S. Refer to Note 2 for information regarding our major customers and Note 4 for further information on revenues.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The following presents the significant financial information with respect to the Company’s reportable segment for the three months ended March 31, 2026 and 2025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r>
      <w:tr>
        <w:trPr>
          <w:trHeight w:val="154"/>
        </w:trPr>
        <w:tc>
          <w:tcPr>
            <w:tcW w:w="2260" w:type="dxa"/>
            <w:vAlign w:val="bottom"/>
            <w:tcBorders>
              <w:bottom w:val="single" w:sz="8" w:color="CCEEFF"/>
            </w:tcBorders>
          </w:tcPr>
          <w:p>
            <w:pPr>
              <w:spacing w:after="0"/>
              <w:rPr>
                <w:sz w:val="13"/>
                <w:szCs w:val="13"/>
                <w:color w:val="auto"/>
              </w:rPr>
            </w:pPr>
          </w:p>
        </w:tc>
        <w:tc>
          <w:tcPr>
            <w:tcW w:w="59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r>
      <w:tr>
        <w:trPr>
          <w:trHeight w:val="17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186,730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62,524</w:t>
            </w:r>
          </w:p>
        </w:tc>
      </w:tr>
      <w:tr>
        <w:trPr>
          <w:trHeight w:val="18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8240" w:type="dxa"/>
            <w:vAlign w:val="bottom"/>
            <w:gridSpan w:val="2"/>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Cost of revenue (excluding depreciation and amortization)</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153,522</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55,847</w:t>
            </w:r>
          </w:p>
        </w:tc>
      </w:tr>
      <w:tr>
        <w:trPr>
          <w:trHeight w:val="18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18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80"/>
        </w:trPr>
        <w:tc>
          <w:tcPr>
            <w:tcW w:w="8240" w:type="dxa"/>
            <w:vAlign w:val="bottom"/>
            <w:tcBorders>
              <w:bottom w:val="single" w:sz="8" w:color="CCEEFF"/>
            </w:tcBorders>
            <w:gridSpan w:val="2"/>
          </w:tcPr>
          <w:p>
            <w:pPr>
              <w:ind w:left="140"/>
              <w:spacing w:after="0" w:line="181" w:lineRule="exact"/>
              <w:rPr>
                <w:sz w:val="20"/>
                <w:szCs w:val="20"/>
                <w:color w:val="auto"/>
              </w:rPr>
            </w:pPr>
            <w:r>
              <w:rPr>
                <w:rFonts w:ascii="Times New Roman" w:cs="Times New Roman" w:eastAsia="Times New Roman" w:hAnsi="Times New Roman"/>
                <w:sz w:val="14"/>
                <w:szCs w:val="14"/>
                <w:color w:val="auto"/>
              </w:rPr>
              <w:t>General and administrative expense (excluding depreciation and amortization)</w:t>
            </w:r>
            <w:r>
              <w:rPr>
                <w:rFonts w:ascii="Times New Roman" w:cs="Times New Roman" w:eastAsia="Times New Roman" w:hAnsi="Times New Roman"/>
                <w:sz w:val="18"/>
                <w:szCs w:val="18"/>
                <w:color w:val="auto"/>
                <w:vertAlign w:val="superscript"/>
              </w:rPr>
              <w:t>(2)(3)</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50,671</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15,220</w:t>
            </w:r>
          </w:p>
        </w:tc>
      </w:tr>
      <w:tr>
        <w:trPr>
          <w:trHeight w:val="171"/>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(10,077)</w:t>
            </w:r>
          </w:p>
        </w:tc>
      </w:tr>
      <w:tr>
        <w:trPr>
          <w:trHeight w:val="18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18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fair value of earn-out liabilities</w:t>
            </w:r>
          </w:p>
        </w:tc>
        <w:tc>
          <w:tcPr>
            <w:tcW w:w="9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(33,369)</w:t>
            </w:r>
          </w:p>
        </w:tc>
      </w:tr>
      <w:tr>
        <w:trPr>
          <w:trHeight w:val="18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43,002</w:t>
            </w:r>
          </w:p>
        </w:tc>
      </w:tr>
      <w:tr>
        <w:trPr>
          <w:trHeight w:val="18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liabilities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8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92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(49,427)</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2260" w:type="dxa"/>
            <w:vAlign w:val="bottom"/>
            <w:tcBorders>
              <w:bottom w:val="single" w:sz="8" w:color="auto"/>
            </w:tcBorders>
          </w:tcPr>
          <w:p>
            <w:pPr>
              <w:spacing w:after="0"/>
              <w:rPr>
                <w:sz w:val="14"/>
                <w:szCs w:val="14"/>
                <w:color w:val="auto"/>
              </w:rPr>
            </w:pPr>
          </w:p>
        </w:tc>
        <w:tc>
          <w:tcPr>
            <w:tcW w:w="5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78" w:lineRule="exact"/>
        <w:rPr>
          <w:sz w:val="20"/>
          <w:szCs w:val="20"/>
          <w:color w:val="auto"/>
        </w:rPr>
      </w:pPr>
    </w:p>
    <w:p>
      <w:pPr>
        <w:ind w:left="260" w:hanging="255"/>
        <w:spacing w:after="0" w:line="288" w:lineRule="auto"/>
        <w:tabs>
          <w:tab w:leader="none" w:pos="28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revenue consists primarily of direct material and labor costs, launch costs, manufacturing overhead, freight expense, and other personnel-related expenses, which include employee compensation and benefits and stock-based compensation.</w:t>
      </w:r>
    </w:p>
    <w:p>
      <w:pPr>
        <w:spacing w:after="0" w:line="40" w:lineRule="exact"/>
        <w:rPr>
          <w:rFonts w:ascii="Times New Roman" w:cs="Times New Roman" w:eastAsia="Times New Roman" w:hAnsi="Times New Roman"/>
          <w:sz w:val="12"/>
          <w:szCs w:val="12"/>
          <w:color w:val="auto"/>
        </w:rPr>
      </w:pPr>
    </w:p>
    <w:p>
      <w:pPr>
        <w:ind w:left="260" w:hanging="255"/>
        <w:spacing w:after="0" w:line="288" w:lineRule="auto"/>
        <w:tabs>
          <w:tab w:leader="none" w:pos="29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and administrative expense includes sales and marketing expense primarily related to business development expenses such as, expenses such as, employee compensation and benefits, subcontract costs, marketing, and materials and supplies costs. Costs incurred for business development were $1.2 million and $0.5 million, for the three months ended March 31, 2026 and 2025, respectively.</w:t>
      </w:r>
    </w:p>
    <w:p>
      <w:pPr>
        <w:spacing w:after="0" w:line="40" w:lineRule="exact"/>
        <w:rPr>
          <w:rFonts w:ascii="Times New Roman" w:cs="Times New Roman" w:eastAsia="Times New Roman" w:hAnsi="Times New Roman"/>
          <w:sz w:val="12"/>
          <w:szCs w:val="12"/>
          <w:color w:val="auto"/>
        </w:rPr>
      </w:pPr>
    </w:p>
    <w:p>
      <w:pPr>
        <w:ind w:left="260" w:hanging="255"/>
        <w:spacing w:after="0"/>
        <w:tabs>
          <w:tab w:leader="none" w:pos="2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general and administrative expense primarily includes all other employee compensation and benefits, stock-based compensation, facilities costs, professional services, software licenses, and other administrative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22 - SUBSEQUENT EVENTS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111111"/>
        </w:rPr>
        <w:t xml:space="preserve">On </w:t>
      </w:r>
      <w:r>
        <w:rPr>
          <w:rFonts w:ascii="Times New Roman" w:cs="Times New Roman" w:eastAsia="Times New Roman" w:hAnsi="Times New Roman"/>
          <w:sz w:val="14"/>
          <w:szCs w:val="14"/>
          <w:color w:val="000000"/>
        </w:rPr>
        <w:t>May 14, 2026</w:t>
      </w:r>
      <w:r>
        <w:rPr>
          <w:rFonts w:ascii="Times New Roman" w:cs="Times New Roman" w:eastAsia="Times New Roman" w:hAnsi="Times New Roman"/>
          <w:sz w:val="14"/>
          <w:szCs w:val="14"/>
          <w:color w:val="111111"/>
        </w:rPr>
        <w:t>, the Company entered into a Share Purchase Agreement (the “SPA”) with Goonhilly Holdings Limited (“Seller”), pursuant to which we agreed to acquire all of the issued and outstanding shares of Goonhilly Earth Station Limited (“Goonhilly Earth Station”), a ground station and satellite communications company incorporated in England and Wales (the “UK Acquisition”). The Company is a party to the SPA solely with respect to certain obligations relating to the issuance, transfer, lock-up and registration of shares of its Class A Class A Common Stock, and related securities-law matters.</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111111"/>
        </w:rPr>
        <w:t>The SPA is part of the contemplated acquisition of the Goonhilly group’s UK and U.S. operations. The SPA governs the UK Acquisition and also requires Seller to procure Goonhilly Holdings USA Inc. (“GHUI”) to enter into a separate Membership Interest Purchase Agreement (the “MIPA” or “U.S. Agreement”) with Buyer for the acquisition of Goonhilly Inc. (the “U.S. Target”), which is to be converted into a Delaware limited liability company (“Goonhilly LLC”). The U.S. Agreement is a Transaction Document under the SPA, and certain SPA conditions relate to the U.S. operations, including FCC approval, completion of the U.S. reorganization and specified U.S. property, tax, employee-benefit and environmental matters. The MIPA has not been executed as of the date of this Quarterly Report.</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111111"/>
        </w:rPr>
        <w:t xml:space="preserve">The aggregate consideration for the UK Acquisition (the “UK Consideration”) is </w:t>
      </w:r>
      <w:r>
        <w:rPr>
          <w:rFonts w:ascii="Times New Roman" w:cs="Times New Roman" w:eastAsia="Times New Roman" w:hAnsi="Times New Roman"/>
          <w:sz w:val="14"/>
          <w:szCs w:val="14"/>
          <w:color w:val="000000"/>
        </w:rPr>
        <w:t>£37,000,000</w:t>
      </w:r>
      <w:r>
        <w:rPr>
          <w:rFonts w:ascii="Times New Roman" w:cs="Times New Roman" w:eastAsia="Times New Roman" w:hAnsi="Times New Roman"/>
          <w:sz w:val="14"/>
          <w:szCs w:val="14"/>
          <w:color w:val="111111"/>
        </w:rPr>
        <w:t xml:space="preserve">, split equally between stock and cash. The stock portion consists of: </w:t>
      </w:r>
      <w:r>
        <w:rPr>
          <w:rFonts w:ascii="Times New Roman" w:cs="Times New Roman" w:eastAsia="Times New Roman" w:hAnsi="Times New Roman"/>
          <w:sz w:val="14"/>
          <w:szCs w:val="14"/>
          <w:color w:val="000000"/>
        </w:rPr>
        <w:t>960,649</w:t>
      </w:r>
      <w:r>
        <w:rPr>
          <w:rFonts w:ascii="Times New Roman" w:cs="Times New Roman" w:eastAsia="Times New Roman" w:hAnsi="Times New Roman"/>
          <w:sz w:val="14"/>
          <w:szCs w:val="14"/>
          <w:color w:val="111111"/>
        </w:rPr>
        <w:t xml:space="preserve"> shares of Class A Common Stock (the “Consideration Shares”) using the volume weighted average price of the Common Stock for the </w:t>
      </w:r>
      <w:r>
        <w:rPr>
          <w:rFonts w:ascii="Times New Roman" w:cs="Times New Roman" w:eastAsia="Times New Roman" w:hAnsi="Times New Roman"/>
          <w:sz w:val="14"/>
          <w:szCs w:val="14"/>
          <w:color w:val="000000"/>
        </w:rPr>
        <w:t>twenty</w:t>
      </w:r>
      <w:r>
        <w:rPr>
          <w:rFonts w:ascii="Times New Roman" w:cs="Times New Roman" w:eastAsia="Times New Roman" w:hAnsi="Times New Roman"/>
          <w:sz w:val="14"/>
          <w:szCs w:val="14"/>
          <w:color w:val="111111"/>
        </w:rPr>
        <w:t xml:space="preserve"> consecutive trading day period ending </w:t>
      </w:r>
      <w:r>
        <w:rPr>
          <w:rFonts w:ascii="Times New Roman" w:cs="Times New Roman" w:eastAsia="Times New Roman" w:hAnsi="Times New Roman"/>
          <w:sz w:val="14"/>
          <w:szCs w:val="14"/>
          <w:color w:val="000000"/>
        </w:rPr>
        <w:t>May 8, 2026</w:t>
      </w:r>
      <w:r>
        <w:rPr>
          <w:rFonts w:ascii="Times New Roman" w:cs="Times New Roman" w:eastAsia="Times New Roman" w:hAnsi="Times New Roman"/>
          <w:sz w:val="14"/>
          <w:szCs w:val="14"/>
          <w:color w:val="111111"/>
        </w:rPr>
        <w:t xml:space="preserve">, to be issued by the Company to Buyer in exchange for units of Buyer and immediately transferred by Buyer to Seller at Completion in an offshore transaction to a non-U.S. person pursuant to Regulation S under the Securities Act of 1933, as amended, In addition, the cash consideration includes a cash escrow deposit of </w:t>
      </w:r>
      <w:r>
        <w:rPr>
          <w:rFonts w:ascii="Times New Roman" w:cs="Times New Roman" w:eastAsia="Times New Roman" w:hAnsi="Times New Roman"/>
          <w:sz w:val="14"/>
          <w:szCs w:val="14"/>
          <w:color w:val="000000"/>
        </w:rPr>
        <w:t>£592,621.50</w:t>
      </w:r>
      <w:r>
        <w:rPr>
          <w:rFonts w:ascii="Times New Roman" w:cs="Times New Roman" w:eastAsia="Times New Roman" w:hAnsi="Times New Roman"/>
          <w:sz w:val="14"/>
          <w:szCs w:val="14"/>
          <w:color w:val="111111"/>
        </w:rPr>
        <w:t>. The UK Consideration is subject to post-closing adjustment for working capital, cash, debt, intra-company debt and, to the extent applicable, business-interruption insurance proceeds.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in conjunction with our condensed consolidated financial statements and related notes thereto included elsewhere in this Quarterly Report, as well as our audited consolidated financial statements as of and for the years ended December 31, 2025 and 2024 which was filed with the Securities and Exchange Commission (the “SEC”) on March 19, 2026. Certain of the information contained in this discussion and analysis or set forth elsewhere in this Quarterly Report, includes forward-looking statements that involve risks and uncertainties. As a result of many factors, including those factors set forth in the sections titled “Cautionary Note Regarding Forward-Looking Statements“ and Part II. Item 1A. “Risk Factors” included in this Quarterly Report and in the section titled Part I. Item 1A. “Risk Factors” in our 2025 Annual Report on Form 10-K filed with the SEC on March 19, 2026, our actual results could differ materially from the results described in or implied by the forward-looking statements contained in the following discussion and analysis.</w:t>
      </w:r>
    </w:p>
    <w:p>
      <w:pPr>
        <w:spacing w:after="0" w:line="1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references in this section to the “Company,” “IM,” “Intuitive Machines,” “we,” “us,”, or “our” refer to Intuitive Machines, Inc. and its consolidated subsidiaries.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Intuitive Machines, Inc., collectively with its subsidiaries (the “Company,” “IM,” “Intuitive Machines,” “we,” “us” or “our”) is a space infrastructure and services company founded in 2013 and focused on enabling sustained infrastructure and human activity beyond Earth. We believe the United States is transitioning from episodic space missions to long-duration operations and persistent presence, and we are building the systems and services required to support this evolution across civil, national security, and commercial markets.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design, build, integrate and operate spacecraft, communications networks, and space systems that support operations across low Earth orbit (“LEO”), geostationary orbit (“GEO”), cislunar space, and deep space. Our strategy is to evolve space activity from single-mission execution toward continuously operating infrastructure by combining spacecraft delivery with network connectivity and long-term operations. We believe this approach positions us to support enduring government requirements while enabling the development of a commercial space economy.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operating model is organized around three integrated capabilities:</w:t>
      </w:r>
    </w:p>
    <w:p>
      <w:pPr>
        <w:spacing w:after="0" w:line="113"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Build </w:t>
      </w:r>
      <w:r>
        <w:rPr>
          <w:rFonts w:ascii="Times New Roman" w:cs="Times New Roman" w:eastAsia="Times New Roman" w:hAnsi="Times New Roman"/>
          <w:sz w:val="14"/>
          <w:szCs w:val="14"/>
          <w:color w:val="auto"/>
        </w:rPr>
        <w:t>— designing, manufacturing, and delivering spacecraft, landers, satellites, surface systems, propulsion, and avionics for government and commercial customers;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Connect </w:t>
      </w:r>
      <w:r>
        <w:rPr>
          <w:rFonts w:ascii="Times New Roman" w:cs="Times New Roman" w:eastAsia="Times New Roman" w:hAnsi="Times New Roman"/>
          <w:sz w:val="14"/>
          <w:szCs w:val="14"/>
          <w:color w:val="auto"/>
        </w:rPr>
        <w:t>— integrating deployed assets into communications, navigation, command and control, and data relay networks that enable persistent connectivity;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Operate </w:t>
      </w:r>
      <w:r>
        <w:rPr>
          <w:rFonts w:ascii="Times New Roman" w:cs="Times New Roman" w:eastAsia="Times New Roman" w:hAnsi="Times New Roman"/>
          <w:sz w:val="14"/>
          <w:szCs w:val="14"/>
          <w:color w:val="auto"/>
        </w:rPr>
        <w:t>— providing mission operations, hosted payload services, data services, navigation and timing capabilities, and other infrastructure-based offerings.</w:t>
      </w:r>
    </w:p>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believe that operating deployed systems as infrastructure, rather than concluding at delivery, creates opportunities for longer-duration contracts, recurring revenue, and margin expansion over time.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Agreement - Lanteris Space Systems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13, 2026, the Company completed the acquisition of 100% of the issued and outstanding membership interests of Lanteris Space Holdings LLC (“Lanteris”), pursuant to a Membership Interest Purchase Agreement with Vantor Holdings Inc. Formerly Maxar Space Systems, Lanteris is a spacecraft manufacturer serving national security, commercial and civil customers. In alignment with our vision, we believe the acquisition of Lanteris positions us as a vertically integrated, next generation space prime that can design, manufacture, deliver, and operate missions from earth orbit to the Moon, Mars, and beyond. See Note 3 - Acquisitions for additional information on the Lanteris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Stifel Loan Agreement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12, 2026, the Company and Stifel Bank entered into a waiver, in respect to the loan agreement, pursuant to which Stifel Bank consented to the acquisition of Lanteris (as discussed above and in Note 3 - Acquisitions) and halted any borrowing and covenant obligations by the Company under the revolving credit facility. See Note 10 - Debt for additional information on this loan and security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Purchase Agreement</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February 27, 2026, the Company completed the issuance and sale to certain institutional investors or their affiliates (collectively, the “Investors”) of 11,574,069 shares of Class A Common Stock at a price of $15.12 per share for an aggregate purchase price of $175.0 million pursuant to the terms of a definitive purchase agreement (the “Securities Purchase Agreement”), and incurred related transaction costs of $7.5 million.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our future success and financial performance depend on several factors that present significant opportunities for our business, but also pose risks and challenges, including those discussed below and in the sections titled Part I., Item 1A. “Risk Factors” in the 2025 Annual Report on Form 10-K, and Part II., Item 1A. “Risk Factors” of this Quarterly Report on Form 10-Q.</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and Macroeconomic Pressures</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global economy continues to experience volatile disruptions including to the commodity and labor markets. These disruptions have contributed to an inflationary environment which has affected, and may continue to adversely affect, the price and availability of certain products and services necessary for our operations, which in turn, has adversely impacted, and may continue to adversely impact our business, financial condition and results of operations.</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continue to monitor economic conditions and the impact of macroeconomic pressures, including repercussions from elevated interest rates, sustained inflation and recession fears, supply chain disruptions, monetary and fiscal policy measures including future actions or inactions of the United States government related to the “debt-ceiling”, heightened geopolitical tensions and armed conflicts (such as the ongoing wars in Ukraine, Israel and Iran), the current budgetary and deficit funding environment, future government shutdowns, and the political and regulatory environment (including changes as a result of policy shifts implemented by the current administration) on our business, customers, suppliers and other third parties. While rising costs and other inflationary pressures have not had a material impact on our business to date, we are monitoring the situation and assessing its impact on our business, including to our partners and customers.</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During 2025, we observed a significant shift in U.S. trade policy, with increased tariffs and the imposition of new tariffs that could impact our supply chain and our business. While some of these wide-reaching tariffs have been paused, these trade policy decisions are outside of our control and may have consequences for our business. Changes in trade policies, such as new tariffs or increases in tariffs, or reactionary measures including retaliatory tariffs or legal challenges, could have an adverse impact on our business. Even though we primarily sell our products and services to U.S. Government customers and our suppliers are primarily domestic, we have some exposure to imported materials and components. Based on current conditions, we do not expect a material impact on our results of operations or financial condition over the next year. We will continue to monitor the evolving trade landscape and assess potential implications on our supply chain and business.</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Any future U.S. government shutdown may cause our business, program performance and results of operations to be impacted by the disruptions to federal government offices, workers, and operations, including risks relating to the funding of certain programs, stop work orders, delay in contract awards, new program starts, payments for work performed from U.S. government entities, and other actions. We may also experience similar impacts in the event of a series of short-term continuing resolutions rather than full-year fiscal year appropriations. Generally, the significance of these impacts will primarily be based on the length of the shutdown and timing of passage of a new continuing resolutions or a full budget.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expand our product and services offerings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in the preliminary stages of developing our full space infrastructure offerings. These services are expected to grant customers access to cislunar space and the lunar surface at lower price points than previous lunar missions. We are also working to provide data transmission services at lunar distance to include far-side connectivity, along with ancillary services that are likely to include orbital servicing, earth reentry, and payload development and manufacture.</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growth opportunity is dependent on our ability to win lunar missions and expand our portfolio of services. Our ability to sell additional products and services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 as well as demonstrate reliability through a successful lunar landing. If we fail to make the right investment decisions, are unable to raise capital, if customers do not adopt our products and services, or if our competitors are able to develop technology or products and services that are superior to ours, our business, prospects, financial condition and operating results could be adversely affected.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expect to make significant investments in our lunar and data programs in the short term. Although we believe that our financial resources will be sufficient to meet our capital needs in the short term, our timeline and budgeted costs for these offerings are subject to substantial uncertainty, including due to compliance requirements of U.S. federal export control laws and applicable foreign and local regulations, the impact of political and economic conditions, and the need to identify opportunities and negotiate long-term agreements with customers for these services, among other factors. Our business may not generate sufficient funds, and we may otherwise be unable to maintain sufficient cash reserves to pay any additional indebtedness that we may incur.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expand spaceflight mission operations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success will partially depend on our ability to expand our lunar mission operations and win government contracts in 2026 and beyond. We completed the first mission in February 2024 and completed our second mission in March 2025. With binding agreements for additional launches as of March 31, 2026, we have $1.1 billion in contracted backlog, and we are in active discussions with numerous potential customers, including government agencies and private companies, to potentially add to our contracted revenue backlog.</w:t>
      </w:r>
    </w:p>
    <w:p>
      <w:pPr>
        <w:spacing w:after="0" w:line="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Prior to commencing missions, we must complete internal integration activities as well as launch vehicle integration with our launch provider, SpaceX. Any delays to our targeted mission launch date or in commencing our missions, including due to congestion at the pad launch site or delays in obtaining various approvals or licenses, could adversely impact our results and growth plans. As we improve production efficiency and schedule reliability and begin to launch our satellites for our lunar data network, we expect to improve our market penetration, which we believe will lead to higher revenue from both volume and mission complexity as well as increased operating leverage.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Ability to continue to capitalize on government expenditures and private enterprise investment in the space economy</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future growth is largely dependent on our ability to continue to capitalize on increased government spending and private investment in the space economy. U.S. federal government expenditures and private enterprise investment have fueled our growth in recent years, and it has resulted in our continued ability to secure increasingly valuable contracts for products and services. An increased focus on U.S. federal government spending could unfavorably impact the space exploration sector in the future. Pressures on and uncertainty surrounding the U.S. federal government’s budget and potential changes in budgetary priorities, could adversely affect the funding for individual programs and delay purchasing decisions by our customers. If our existing programs and project pursuits are not focused on the federal government’s higher priorities, our business, prospects, financial condition and operating results could be adversely affected.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Ability to improve profit margins and scale our business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growth of our business is dependent on our ability to improve our profit margins over time while successfully scaling our business. We intend to continue investing in initiatives to improve our operating leverage and significantly increase utilization.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 If we are unable to achieve our goals, we may not be able to increase operating margin, which would negatively impact gross margin and profitability.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continue to innovate</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design, build, and test our landers, satellites, spacecraft and subsystems in-house and operate at the forefront of composite structures, liquid rocket engines, guidance, navigation and control software, precision landing and hazard avoidance software, and advanced manufacturing techniques. We believe the synergy of these technologies enables greater responsiveness to the commercial and government requirements for lunar exploration. To continue establishing market share and attracting customers, we plan to continue to make substantial investments in research and development for the continued enhancements of our landers, lunar data network, and other space systems. Over time, we expect our research and development expenditures to continue to grow on an absolute basis, but remain consistent or decrease as a percent of our total revenue as we expand our service offerings.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perform work under contracts that broadly consist of fixed-price, cost-reimbursable, time-and-materials or a combination of the three. Pricing for all customers is based on specific negotiations with each customer. For a description of our revenue recognition policies, see the section titled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revenue is primarily generated from fixed-price, long-term construction contracts to develop satellite systems and long-term service contracts for the delivery of payloads to the lunar surface. In order to satisfy these contracts, we undertake the engineering for the research, design, development, manufacturing, integration and sustainment of advanced technology space systems. The integration of these technologies and systems lead to an organic and integrated capability to provide lunar access on a commercial services basis. Revenue is measured based on the amount of consideration specified in a contract with the customer.</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revenue when we transfer control of a promised good or service to a customer in an amount that reflects the consideration we expect to be entitled to in exchange for the good or service. Under the overtime revenue recognition model, revenue and gross profit are recognized over the contract period as work is performed based on actual costs incurred and an estimate of costs to complete and resulting total estimated costs at completion.</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from long-term contracts can fluctuate from period to period largely based on the stage of the project and overall mission. These projects will typically have a ramp up period in the beginning stage and wind down as the mission nears launch date. A significant portion of the revenue (approximately 10% of the contract price) contains variable considerations which is constrained to nil for accounting purposes as it is dependent on a successful mission landing. This may cause fluctuations in future revenue, profits and cash flows.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cost-reimbursable contracts, the price is generally variable based upon our actual allowable costs incurred for materials, equipment, reimbursable labor hours, overhead and G&amp;A expenses. Profit on cost-reimbursable contracts may be in the form of a fixed fee or a mark-up applied to costs incurred, or a combination of the two. The fee may also be an incentive fee based on performance indicators, milestones or targets and can be based on customer discretion or in the form of an award fee determined based on customer evaluation of the Company's performance against contractual criteria. Cost-reimbursable contracts are generally less risky because the owner/customer retains many of the project risks, however it generally requires us to use our best efforts to accomplish the scope of the work within a specified time and budget.</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Cost-reimbursable contracts with the U.S. government are generally subject to the Federal Acquisition Regulation (“FAR”) and are competitively priced based on estimated or actual costs of providing the contractual goods or services. The FAR provides guidance on types of costs that are allowable in establishing prices for goods and services provided to the U.S. government and its agencies. Pricing for non-U.S. government agencies and commercial customers is based on specific negotiations with each customer.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Grant revenue</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 to time, the Company may be awarded government grants. Government grants or awards are initially recognized when there is reasonable assurance the conditions of the grant or award will be met and the grant or award will be received. After initial recognition, government grants or awards are recognized as income under revenue within the statement of operations on a systematic basis in a manner consistent with the manner in which the Company recognizes the underlying costs included in the cost of revenue within the statement of operations for which the grant or award is intended to compensate.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revenues (excluding depreciation and amortization)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 of revenues (excluding depreciation and amortization) consists primarily of direct material and labor costs, subcontract costs, launch services, manufacturing overhead, freight expense, and other personnel-related expenses, which include salaries, bonuses, benefits and stock-based compensation expense. We expect our cost of revenue to increase in absolute dollars in future periods as we sell more products and services. As we grow into our current capacity and execute on cost-optimization initiatives, we expect our cost of revenue as a percentage of revenue to decrease over time.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Depreciation consists of the depreciation of tangible fixed assets for the relevant period based on the straight-line method over the useful life of the assets. Tangible fixed assets include property and equipment. Amortization consists of the amortization of finite-lived intangibles for the relevant period based on the straight-line method over the useful life of the assets. Our finite-lived intangible assets include customer relationships and developed technology.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and development (“R&amp;D”) represents costs incurred for the Company’s continued enhancements of our landers, lunar data network, other space systems, and also for the development and innovation of our proprietary technology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platforms. R&amp;D costs primarily include engineering personnel salaries and benefits, subcontractor costs, materials and supplies, and other related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 (excluding depreciation and amortization)</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 (excluding depreciation and amortization) consist primarily of personnel-related expenses for our sales, marketing, supply chain, finance, legal, human resources and administrative personnel, as well as the costs of customer service, information technology, professional services, insurance, travel, allocated overhead and other marketing, communications and administrative expenses. We expect to invest in our corporate organization and incur additional expenses associated with growing and operating as a public company, including increased legal and accounting costs, investor relations costs, higher insurance premiums and compliance costs.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consists of interest income earned on cash and cash equivalent balances held by us in interest-bearing demand deposit accounts, money market funds, and certificates of deposit.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is primarily incurred on the Convertible Notes as discussed in Note 10 - Debt, in addition to interest expense on our finance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earn-out liabilities</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Earn Out Units are classified as liabilities transactions at initial issuance which were offset against paid-in capital as of the closing of the Business Combination. At each period end, the Earn Out Units are remeasured to their fair value with the changes during that period recognized in other income (expense) on the condensed consolidated statement of operations. Upon issuance and release of the shares after each Triggering Event is met, the related Earn Out Units will be remeasured to fair value at that time with the changes recognized in other income (expense), and such Earn Out Units will be reclassed to stockholders’ equity (deficit) on the consolidated balance sheet. See Note 16 of the condensed consolidated financial statements for additional information on the earn-out liabilities.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warrant liabilities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connection with the Private Placement, Warrant Exercise Agreement, and the Bridge Loan Conversion, the Company has issued warrants which are classified as liabilities on our balance sheet. At each period end, the warrants are remeasured to their fair value with the changes during the period recognized in other income (expense) on our condensed consolidated statement of operations. As of March 31, 2026, only the Bridge Loan Conversion warrants remain outstanding. See Notes 13 and 16 of the condensed consolidated financial statements for additional information on the warrant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contingent consideration liabilities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connection with the acquisition of KinetX, the purchase price included a contingent consideration if certain future events or conditions are met and required the Company to holdback a number of shares of Class A Common Stock in escrow. The holdback was accounted for as contingent consideration and recorded as a liability based on its estimated fair value as of the acquisition date. We remeasure the contingent consideration at fair value each period with changes in fair value recorded in other income (expense) on our condensed consolidated statement of operations. See Notes 3 and 16 of the condensed consolidated financial statements for additional information on the contingent consideration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net primarily consists of immaterial miscellaneous income sources.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Intuitive Machines, Inc. is a corporation and thus is subject to United States (“U.S.”) federal, state and local income taxes. Intuitive Machines, LLC is a partnership for U.S. federal income tax purposes and therefore does not pay United States federal income tax on its taxable income.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(loss) attributable to redeemable noncontrolling interest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Redeemable noncontrolling interest represents the portion of Intuitive Machines, LLC that the Company controls and consolidates but does not own. The noncontrolling interest was created as a result of the Business Combination and represented the common units issued by Intuitive Machines, LLC to the prior investors. The Company allocates net income or loss attributable to the noncontrolling interest based on the weighted average ownership interest during the period. The net income or loss attributable to noncontrolling interests is reflected in the condensed consolidated statement of operations. As of March 31, 2026, the financial results of Intuitive Machines, LLC were consolidated into Intuitive Machines, Inc. and resulted in the allocation of approximately 26.3% of Intuitive Machines, LLC’s net loss to noncontrolling interest.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attributable to noncontrolling interest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Intuitive Machines and KBR entered into a joint venture agreement (the “OMES III JV Agreement”) within Space Network Solutions to execute the OMES III contract with a profits interest of 47% for Intuitive Machines and 53% for KBR, which represents the noncontrolling interest. We have determined that the OMES III JV Agreement represents a silo within Space Network Solutions and is a standalone VIE.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The period-period comparison of financial results is not necessarily indicative of future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consolidated results of operations for the three months ended March 31, 2026 compared to the three months ended March 31, 2025.</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380" w:type="dxa"/>
            <w:vAlign w:val="bottom"/>
          </w:tcPr>
          <w:p>
            <w:pPr>
              <w:spacing w:after="0"/>
              <w:rPr>
                <w:sz w:val="12"/>
                <w:szCs w:val="12"/>
                <w:color w:val="auto"/>
              </w:rPr>
            </w:pPr>
          </w:p>
        </w:tc>
        <w:tc>
          <w:tcPr>
            <w:tcW w:w="2100" w:type="dxa"/>
            <w:vAlign w:val="bottom"/>
            <w:tcBorders>
              <w:bottom w:val="single" w:sz="8" w:color="auto"/>
            </w:tcBorders>
            <w:gridSpan w:val="4"/>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4"/>
              </w:rPr>
              <w:t>Change</w:t>
            </w:r>
          </w:p>
        </w:tc>
      </w:tr>
      <w:tr>
        <w:trPr>
          <w:trHeight w:val="15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7"/>
        </w:trPr>
        <w:tc>
          <w:tcPr>
            <w:tcW w:w="7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Product revenue</w:t>
            </w:r>
          </w:p>
        </w:tc>
        <w:tc>
          <w:tcPr>
            <w:tcW w:w="780" w:type="dxa"/>
            <w:vAlign w:val="bottom"/>
          </w:tcPr>
          <w:p>
            <w:pPr>
              <w:jc w:val="right"/>
              <w:ind w:right="643"/>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141,554</w:t>
            </w:r>
          </w:p>
        </w:tc>
        <w:tc>
          <w:tcPr>
            <w:tcW w:w="80" w:type="dxa"/>
            <w:vAlign w:val="bottom"/>
          </w:tcPr>
          <w:p>
            <w:pPr>
              <w:spacing w:after="0"/>
              <w:rPr>
                <w:sz w:val="13"/>
                <w:szCs w:val="13"/>
                <w:color w:val="auto"/>
              </w:rPr>
            </w:pPr>
          </w:p>
        </w:tc>
        <w:tc>
          <w:tcPr>
            <w:tcW w:w="76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ind w:right="34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141,554</w:t>
            </w:r>
          </w:p>
        </w:tc>
      </w:tr>
      <w:tr>
        <w:trPr>
          <w:trHeight w:val="16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Service revenue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42,076</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62,524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(20,448)</w:t>
            </w:r>
          </w:p>
        </w:tc>
      </w:tr>
      <w:tr>
        <w:trPr>
          <w:trHeight w:val="157"/>
        </w:trPr>
        <w:tc>
          <w:tcPr>
            <w:tcW w:w="7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Grant revenue</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3,100</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3,100</w:t>
            </w:r>
          </w:p>
        </w:tc>
      </w:tr>
      <w:tr>
        <w:trPr>
          <w:trHeight w:val="152"/>
        </w:trPr>
        <w:tc>
          <w:tcPr>
            <w:tcW w:w="73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7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186,730</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62,524</w:t>
            </w: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124,206</w:t>
            </w:r>
          </w:p>
        </w:tc>
      </w:tr>
      <w:tr>
        <w:trPr>
          <w:trHeight w:val="159"/>
        </w:trPr>
        <w:tc>
          <w:tcPr>
            <w:tcW w:w="7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product revenue (excluding depreciation and amortization)</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113,913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113,913</w:t>
            </w:r>
          </w:p>
        </w:tc>
      </w:tr>
      <w:tr>
        <w:trPr>
          <w:trHeight w:val="157"/>
        </w:trPr>
        <w:tc>
          <w:tcPr>
            <w:tcW w:w="7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service revenue (excluding depreciation and amortization)</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33,660</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48,925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(15,265)</w:t>
            </w:r>
          </w:p>
        </w:tc>
      </w:tr>
      <w:tr>
        <w:trPr>
          <w:trHeight w:val="16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grant revenue (excluding depreciation and amortization)</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3,101</w:t>
            </w:r>
          </w:p>
        </w:tc>
      </w:tr>
      <w:tr>
        <w:trPr>
          <w:trHeight w:val="157"/>
        </w:trPr>
        <w:tc>
          <w:tcPr>
            <w:tcW w:w="7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service revenue (excluding depreciation and amortization) - affiliated companies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5,949</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w:t>
            </w:r>
          </w:p>
        </w:tc>
      </w:tr>
      <w:tr>
        <w:trPr>
          <w:trHeight w:val="16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13,048</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12,425</w:t>
            </w:r>
          </w:p>
        </w:tc>
      </w:tr>
      <w:tr>
        <w:trPr>
          <w:trHeight w:val="157"/>
        </w:trPr>
        <w:tc>
          <w:tcPr>
            <w:tcW w:w="7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5,589</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4,678</w:t>
            </w:r>
          </w:p>
        </w:tc>
      </w:tr>
      <w:tr>
        <w:trPr>
          <w:trHeight w:val="16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General and administrative expense (excluding depreciation and amortization)</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50,671</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15,220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35,451</w:t>
            </w:r>
          </w:p>
        </w:tc>
      </w:tr>
      <w:tr>
        <w:trPr>
          <w:trHeight w:val="148"/>
        </w:trPr>
        <w:tc>
          <w:tcPr>
            <w:tcW w:w="73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7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225,931</w:t>
            </w: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72,601</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153,330</w:t>
            </w:r>
          </w:p>
        </w:tc>
      </w:tr>
      <w:tr>
        <w:trPr>
          <w:trHeight w:val="15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(39,201)</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(10,077)</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(29,124)</w:t>
            </w:r>
          </w:p>
        </w:tc>
      </w:tr>
      <w:tr>
        <w:trPr>
          <w:trHeight w:val="159"/>
        </w:trPr>
        <w:tc>
          <w:tcPr>
            <w:tcW w:w="7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Other income (expense), net:</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income</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1,419</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57"/>
        </w:trPr>
        <w:tc>
          <w:tcPr>
            <w:tcW w:w="7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expense</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(4,859)</w:t>
            </w:r>
          </w:p>
        </w:tc>
      </w:tr>
      <w:tr>
        <w:trPr>
          <w:trHeight w:val="16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 in fair value of earn-out liabilities</w:t>
            </w:r>
          </w:p>
        </w:tc>
        <w:tc>
          <w:tcPr>
            <w:tcW w:w="7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(33,369)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33,369</w:t>
            </w:r>
          </w:p>
        </w:tc>
      </w:tr>
      <w:tr>
        <w:trPr>
          <w:trHeight w:val="157"/>
        </w:trPr>
        <w:tc>
          <w:tcPr>
            <w:tcW w:w="7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(9,422)</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43,002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(52,424)</w:t>
            </w:r>
          </w:p>
        </w:tc>
      </w:tr>
      <w:tr>
        <w:trPr>
          <w:trHeight w:val="16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 in fair value of contingent consideration liabilities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w:t>
            </w:r>
          </w:p>
        </w:tc>
      </w:tr>
      <w:tr>
        <w:trPr>
          <w:trHeight w:val="157"/>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 income, net</w:t>
            </w: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52"/>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Total other income (expense), net</w:t>
            </w: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(13,325)</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11,052</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(24,377)</w:t>
            </w:r>
          </w:p>
        </w:tc>
      </w:tr>
      <w:tr>
        <w:trPr>
          <w:trHeight w:val="148"/>
        </w:trPr>
        <w:tc>
          <w:tcPr>
            <w:tcW w:w="7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Income (loss) before income taxes</w:t>
            </w:r>
          </w:p>
        </w:tc>
        <w:tc>
          <w:tcPr>
            <w:tcW w:w="7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(52,526)</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(53,501)</w:t>
            </w:r>
          </w:p>
        </w:tc>
      </w:tr>
      <w:tr>
        <w:trPr>
          <w:trHeight w:val="16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8"/>
        </w:trPr>
        <w:tc>
          <w:tcPr>
            <w:tcW w:w="7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7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(52,528)</w:t>
            </w: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975</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(53,503)</w:t>
            </w:r>
          </w:p>
        </w:tc>
      </w:tr>
      <w:tr>
        <w:trPr>
          <w:trHeight w:val="16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income (loss) attributable to redeemable noncontrolling interest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(15,484)</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(27,393)</w:t>
            </w:r>
          </w:p>
        </w:tc>
      </w:tr>
      <w:tr>
        <w:trPr>
          <w:trHeight w:val="157"/>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Net income attributable to noncontrolling interest</w:t>
            </w: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343</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w:t>
            </w:r>
          </w:p>
        </w:tc>
      </w:tr>
      <w:tr>
        <w:trPr>
          <w:trHeight w:val="15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loss attributable to the Company</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(37,387)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(11,396)</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(25,991)</w:t>
            </w:r>
          </w:p>
        </w:tc>
      </w:tr>
      <w:tr>
        <w:trPr>
          <w:trHeight w:val="157"/>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Less: Preferred dividends</w:t>
            </w: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7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loss attributable to Class A common shareholders</w:t>
            </w:r>
          </w:p>
        </w:tc>
        <w:tc>
          <w:tcPr>
            <w:tcW w:w="78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(37,549)</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(11,543)</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(26,006)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and services revenues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provides a summary of the significant contracts and estimated mission launch dates for each lunar payload mission impacting our results of operations:</w:t>
      </w:r>
    </w:p>
    <w:p>
      <w:pPr>
        <w:spacing w:after="0" w:line="189" w:lineRule="exact"/>
        <w:rPr>
          <w:sz w:val="20"/>
          <w:szCs w:val="20"/>
          <w:color w:val="auto"/>
        </w:rPr>
      </w:pPr>
    </w:p>
    <w:p>
      <w:pPr>
        <w:ind w:left="640" w:hanging="317"/>
        <w:spacing w:after="0" w:line="271" w:lineRule="auto"/>
        <w:tabs>
          <w:tab w:leader="none" w:pos="6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initial NASA payload contract for the IM-3 mission was awarded in November 2021 with an initial targeted mission launch date no later than June 2024. Total IM-3 mission estimated revenue under fixed-priced contracts is $91.3 million (excluding constrained revenue of $9.7 million) as of March 31, 2026. The IM-3 mission timeline runs through March 2027.</w:t>
      </w:r>
    </w:p>
    <w:p>
      <w:pPr>
        <w:spacing w:after="0" w:line="156" w:lineRule="exact"/>
        <w:rPr>
          <w:rFonts w:ascii="Times New Roman" w:cs="Times New Roman" w:eastAsia="Times New Roman" w:hAnsi="Times New Roman"/>
          <w:sz w:val="12"/>
          <w:szCs w:val="12"/>
          <w:color w:val="auto"/>
        </w:rPr>
      </w:pPr>
    </w:p>
    <w:p>
      <w:pPr>
        <w:jc w:val="both"/>
        <w:ind w:left="640" w:hanging="317"/>
        <w:spacing w:after="0" w:line="270" w:lineRule="auto"/>
        <w:tabs>
          <w:tab w:leader="none" w:pos="63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NASA payload contract for the IM-4 mission was awarded in August 2024 with an initial targeted mission launch date no later than August 2028, although we expect the mission launch to occur during the second half of 2027. Total IM-4 mission estimated revenue under fixed-priced contracts is $124.5 million (excluding constrained revenue of $16.2 million) as of March 31, 2026.</w:t>
      </w:r>
    </w:p>
    <w:p>
      <w:pPr>
        <w:spacing w:after="0" w:line="156"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NASA payload contract for the IM-5 mission was awarded in March 2026 with an initial targeted mission launch of mid-year 2030. Total IM-5 mission estimated revenue under fixed-priced contracts is $161.4 million (excluding constrained revenue of $18.3 million) as of March 31,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three months ended March 31, 2026 and 2025</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Total revenue increased by $124.2 million for the three months ended March 31, 2026 compared to the same period in 2025, mostly related to our recent acquisition of Lanteris in January 2026 which contributed $141.6 million driven by revenues from several government contracts, notably the Tracking Layer program for $39.5 million, Power &amp; Propulsion Element for $30.6 million, a government defense contract for $7.7 million, commercial satellite contracts related to EchoStar for $23.7 million, a proprietary commercial contract for $23.4 million, and SiriusXM for $11.8 million.</w:t>
      </w:r>
    </w:p>
    <w:p>
      <w:pPr>
        <w:spacing w:after="0" w:line="3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2026 compared to the same period in 2025, the revenues on the CLPS mission contracts decreased by $12.7 million, mostly due to the IM-2 mission completion in March of 2025 which contributed $12.7 million in revenues during the first quarter of 2025. Revenue from the IM-3 mission decreased by $3.6 million due to launch delay, while revenue from the IM-4 mission increased by $3.6 million as activity ramps up for the next mission to follow IM-3.</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on the OMES III contract decreased by $5.5 million due to NASA’s cancellation of the OSAM task orders, and the LTV contract decreased by $6.9 million due to completion in the second quarter of 2025. Various other engineering services contributed a net increase in revenue of $0.6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(excluding depreciation and amortization)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three months ended March 31, 2026 and 2025</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Total cost of revenue increased by $100.8 million, for the three months ended March 31, 2026 compared to the same period in 2025, mostly related to our acquisition of Lanteris in January 2026 which incurred costs of $113.9 million driven by product costs from several government contracts, notably the Tracking Layer program for $32.2 million, NASA Power &amp; Propulsion Element for $27.2 million, and a government defense contract for $6.2 million, and commercial satellite contracts related to EchoStar for $20.1 million, a proprietary commercial contract for $19.7 million, and SiriusXM for $9.6 million.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2026 compared to the same period in 2025, the cost of revenues on the CLPS mission contracts decreased by $4.7 million. The cost of revenue on IM-2 mission decreased by approximately $8.7 million as the mission was completed in March 2025, partially offset by the IM-4 mission increase of $4.0 million as activity ramps up. The cost of revenue for the IM-3 mission was flat for the same comparative periods. As of March 31, 2026, the IM-3 and IM-4 contracts are in a loss position. For the three months ended March 31, 2026 compared to the same period in 2025, the accrued contract loss for IM-3 increased by approximately $2.5 million due to increase in estimate at completion and the accrued contract loss for IM-4 was relatively flat.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 decreased on the OMES III contract by $5.4 million due to NASA’s cancellation of the OSAM project and the LTV contract by $7.6 million as the contract was completed in the second quarter of 2025, offset by cost of revenue increases on various engineering services of $4.9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Research and development </w:t>
      </w:r>
      <w:r>
        <w:rPr>
          <w:rFonts w:ascii="Times New Roman" w:cs="Times New Roman" w:eastAsia="Times New Roman" w:hAnsi="Times New Roman"/>
          <w:sz w:val="14"/>
          <w:szCs w:val="14"/>
          <w:color w:val="auto"/>
        </w:rPr>
        <w:t>increased by $4.7 million for the three months ended March 31, 2026 compared to the same period in 2025 as the Company invests in initiatives to expand our product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service capabilities.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 (excluding depreciation and amortization)</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 (excluding depreciation and amortization) (“G&amp;A”) increased by $35.5 million for the three months ended March 31, 2026 compared to the same period in 2025. These increases primarily reflect the Company’s investment in its workforce to support our operations and business infrastructure, business development, and information technology to optimize corporate and operational processes and systems, and research and development initiatives to expand our product and service capabilities. Additionally, the increase was driven by the Company’s acquisition of Lanteris on January 13, 2026. These increases are summarized below.</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$35.5 million increase for the three months ended March 31, 2026 compared to the same periods in 2025 was driven by higher employee compensation and benefits expense of $18.3 million and non-cash share-based compensation expense of $6.0 million, and professional services of $13.8 million driven by accounting and legal fees, partially offset by various decreases $2.7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Total other income (expense), net unfavorable change of $24.4 million for the three months ended March 31, 2026 compared to the same period in 2025 was primarily due to the unfavorable changes in the fair value of warrant liabilities of $52.4 million and contingent consideration liabilities of $0.5 million, interest expense mostly related to the Convertible Notes of $4.9 million partially offset by the favorable change in the fair value of earn out liabilities as the earn out units fully vested during the first quarter of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 and Non-GAAP Financial Measures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monitor the following key business metrics and non-GAAP financial measures that assist us in evaluating our business, measuring our performance, identifying trends and making strategic decisions.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define backlog as our total estimate of the revenue we expect to realize in the future as a result of performing work on awarded contracts, less the amount of revenue we have previously recognized. We monitor our backlog because we believe it is a forward-looking indicator of potential sales which can be helpful to investors in evaluating the performance of our business and identifying trends over time. We generally include total expected revenue in backlog when a contract is awarded by the customer under a legally binding agreement. Our backlog does not include any estimate of future potential orders that might be awarded under government-wide acquisition contracts, agency-specific indefinite delivery/indefinite quantity contracts or other multiple-award contract vehicles, nor does it include option periods that have not been exercised by the customer. Due to government procurement rules, in certain cases revenue included in backlog are subject to budget appropriation or other contract cancellation clauses. Nearly all contracts allow customers to terminate the agreement at any time for convenience. If any of our contracts with firm orders were to be terminated, our backlog would be reduced by the expected value of the unfilled orders of such contracts. Consequently, our backlog may differ from actual revenue recognized in our financial statements.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our backlog as of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0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40" w:type="dxa"/>
            <w:vAlign w:val="bottom"/>
          </w:tcPr>
          <w:p>
            <w:pPr>
              <w:spacing w:after="0"/>
              <w:rPr>
                <w:sz w:val="10"/>
                <w:szCs w:val="10"/>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7"/>
        </w:trPr>
        <w:tc>
          <w:tcPr>
            <w:tcW w:w="82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579"/>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73"/>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Backlog</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1,055,434</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213,070</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Orders comprising backlog as of a given balance sheet date are typically invoiced in subsequent periods. As of March 31, 2026, we expect to recognize approximately 60%-65% of our backlog over the remainder of 2026, approximately 25-30% over the subsequent twelve months of 2027 and the remaining thereafter. Our backlog could experience volatility between periods, including as a result of customer order volumes and the speed of our fulfillment, which in turn may be impacted by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nature of products and services ordered, the amount of inventory on hand to satisfy orders and the necessary development and manufacturing lead time required to satisfy certain orders.</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Backlog increased by $842.4 million as of March 31, 2026 compared to December 31, 2025, which includes $612.8 million of acquired backlog associated with the Lanteris acquisition in January 2026, new awards of $428.9 million primarily associated with the IM-5 mission, a government defense contract, and various other contracts, partially offset by continued performance on existing contracts of $186.7 million.</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March 31, 2026, our backlog of $1.1 billion exceeded our remaining performance obligations of $792.3 million as reported in Note 4 - Revenue to our condensed consolidated financial statements. The difference of $263.1 million was primarily related to $44.3 million of variable consideration associated with constrained revenue and $65.9 million in backlog related to the funded value of the OMES III contract, the NSN contract, and various other contracts where revenue is recognized when services are performed and contractually billable and therefore not included in remaining performance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Non-GAAP Financial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Adjusted EBITDA</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Adjusted EBITDA is a key performance measure that our management team uses to assess our operating performance. We calculate Adjusted EBITDA as net income (loss) excluding results from non-operating sources including interest income, interest expense, transaction and integration costs related to acquisitions, share based compensation, change in fair value instruments, gain or loss on issuance of securities, other income/expense, depreciation, impairment of property and equipment, and provision for income taxes.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present Adjusted EBITDA because we believe it is helpful in highlighting trends in our operating results and because it is frequently used by analysts, investors, and other interested parties to evaluate companies in our industry.</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Adjusted EBITDA has limitations as an analytical measure, and you should not consider it in isolation or as a substitute for analysis of our results as reported under U.S. GAAP. Some of these limitations are:</w:t>
      </w:r>
    </w:p>
    <w:p>
      <w:pPr>
        <w:spacing w:after="0" w:line="71" w:lineRule="exact"/>
        <w:rPr>
          <w:sz w:val="20"/>
          <w:szCs w:val="20"/>
          <w:color w:val="auto"/>
        </w:rPr>
      </w:pPr>
    </w:p>
    <w:p>
      <w:pPr>
        <w:ind w:left="640" w:hanging="317"/>
        <w:spacing w:after="0" w:line="287"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reflect interest income, interest expense, transaction and integration costs related to acquisitions or other non-operating gains and losses, which may represent an increase to or reduction in cash available to us;</w:t>
      </w:r>
    </w:p>
    <w:p>
      <w:pPr>
        <w:spacing w:after="0" w:line="6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consider the impact of share-based compensation expense, which is expected to continue to be part of our compensation strategy;</w:t>
      </w:r>
    </w:p>
    <w:p>
      <w:pPr>
        <w:spacing w:after="0" w:line="125"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consider the impact of change in fair value of earn-out liabilities, change in fair value of warrant liabilities, change in fair value of contingent consideration liabilities, loss on issuance of securities, or impairment of property and equipment, that we do not consider to be routine in nature for the ongoing financial performance of our business;</w:t>
      </w:r>
    </w:p>
    <w:p>
      <w:pPr>
        <w:spacing w:after="0" w:line="71"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excludes non-cash charges for depreciation of property and equipment, and although the assets being depreciated may have to be replaced in the future, Adjusted EBITDA does not reflect cash capital expenditure requirements for such replacements or for new capital expenditure requirements; and</w:t>
      </w:r>
    </w:p>
    <w:p>
      <w:pPr>
        <w:spacing w:after="0" w:line="60"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reflect provisions for income taxes, which may represent a reduction in cash available to us.</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Other companies, including companies in our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U.S. GAAP results.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net loss, the most directly comparable financial measure presented in accordance with U.S. GAAP, to Adjusted EBITDA.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7"/>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to exclude the following: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 and integration costs related to acquisitions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earn-out liabilities</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33,369</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(43,002)</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Free Cash Flow</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Free Cash Flow has limitations as a liquidity measure, and you should not consider it in isolation or as a substitute for analysis of our cash flows as reported under U.S. GAAP. Some of these limitations are:</w:t>
      </w:r>
    </w:p>
    <w:p>
      <w:pPr>
        <w:spacing w:after="0" w:line="71" w:lineRule="exact"/>
        <w:rPr>
          <w:sz w:val="20"/>
          <w:szCs w:val="20"/>
          <w:color w:val="auto"/>
        </w:rPr>
      </w:pPr>
    </w:p>
    <w:p>
      <w:pPr>
        <w:ind w:left="640" w:hanging="317"/>
        <w:spacing w:after="0" w:line="287"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is not a measure calculated in accordance with U.S. GAAP and should not be considered in isolation from, or as a substitute for financial information prepared in accordance with U.S. GAAP.</w:t>
      </w:r>
    </w:p>
    <w:p>
      <w:pPr>
        <w:spacing w:after="0" w:line="7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may not be comparable to similarly titled metrics of other companies due to differences among methods of calculation.</w:t>
      </w:r>
    </w:p>
    <w:p>
      <w:pPr>
        <w:spacing w:after="0" w:line="114"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may be affected in the near to medium term by the timing of capital investments, fluctuations in our growth and the effect of such fluctuations on working capital and changes in our cash conversion cycle.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net cash used in operating activities, the most directly comparable financial measure presented in accordance with U.S. GAAP, to free cash flow: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7"/>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19,419</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(6,122)</w:t>
            </w:r>
          </w:p>
        </w:tc>
      </w:tr>
      <w:tr>
        <w:trPr>
          <w:trHeight w:val="1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13,297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Since inception, we have funded our operations through internally generated cash on hand, proceeds from sales of our capital stock, proceeds from warrant exercises, and our proceeds from the issuance of bank debt and Convertible Notes. We assess our liquidity in terms of our ability to generate adequate amounts of cash to meet current and future needs. Our expected primary uses of cash on a short and long-term basis are for working capital requirements, general corporate purposes, and capital expenditures as well as research and development efforts and potential mergers and acquisitions. Our primary working capital requirements are for project execution activities including purchases of materials, subcontracted services and payroll which fluctuate during the year, driven primarily by the timing and extent of activities required on new and existing projects. Our capital expenditures are primarily related to machinery and equipment, computers and software, and leasehold improvements for general corporate and operational purposes. We expect construction in progress to continue to increase as we develop data relay satellites and ground networks associated with our Data Transmission Services business.</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2026, we had cash and cash equivalents of $231.6 million and working capital of $89.8 million. The Company invests excess cash in highly-liquid, low risk interest-bearing demand deposit accounts, money market funds, and certificates of deposits, all of which are with major financial institutions.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Lanteris Acquisition</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January 13, 2026, the Company completed the acquisition of the 100% of the issued and outstanding membership interests of Lanteris Space Holdings LLC (“Lanteris”), formerly Maxar Space Systems, a spacecraft manufacturer, from Advent International LLC. The aggregate consideration for the acquisition is $851.0 million , consisting of $403.3 million in cash plus $43.7 million of transaction bonuses deemed to be part of consideration and the issuance of 22,991,028 shares of the Company’s Class A Common Stock valued at $404.0 million, based on the acquisition date closing stock price of $17.57. The Company funded the cash consideration using cash on hand. See Note 3 - Acquisitions for more information on the acquisition of Lanteris.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Orbital Receivables Purchase Facility</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connection with the Lanteris acquisition, the Company entered into a Waiver, Consent, Amendment and Assignment Agreement with ING Belgium NV/SA (“ING”) and certain affiliates of Lanteris, pursuant to which the Company became a guarantor under the Amended and Restated Receivables Purchase Agreement (the “Orbital Receivables Purchase Facility”). Under the facility, through December 1, 2026, ING may purchase certain orbital payment receivables of Lanteris on a discretionary, transaction-by-transaction basis, up to an aggregate maximum of $250.0 million. If a customer prepays a receivable that has been purchased by ING, Lanteris is required to make a contractual make-whole payment based on a net present value formula. The Company expects the Orbital Receivables Purchase Facility to continue to support Lanteris’ working capital and liquidity needs. For further discussion on the orbital receivables, refer to Note 5 - Trade and Other Receivables, net.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Purchase Agreement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27, 2026, the Company completed the issuance and sale to the Investors of 11,574,069 shares of the Company’s Class A Common Stock at a price of of $15.12 per share for an aggregate purchase price of $175.0 million pursuant to the terms of a definitive securities purchase agreement (the “Securities Purchase Agreement”), and incurred related transaction costs of $7.5 million. Refer to Note 12 for additional information on this issuance.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believes that the cash and cash equivalents as of March 31, 2026 and the liquidity provided from the proceeds of the issuance of securities pursuant to the Securities Purchase Agreement and the issuance of the Convertible Notes (defined in Note 10 - Debt), will be sufficient to fund the short-term liquidity needs and the execution of the business plan through at least the twelve-month period from the date the financial statements are issued.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7"/>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4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19,419</w:t>
            </w: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(454,655)</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(6,122)</w:t>
            </w: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152,349</w:t>
            </w:r>
          </w:p>
        </w:tc>
      </w:tr>
      <w:tr>
        <w:trPr>
          <w:trHeight w:val="700"/>
        </w:trPr>
        <w:tc>
          <w:tcPr>
            <w:tcW w:w="4220" w:type="dxa"/>
            <w:vAlign w:val="bottom"/>
          </w:tcPr>
          <w:p>
            <w:pPr>
              <w:spacing w:after="0"/>
              <w:rPr>
                <w:sz w:val="24"/>
                <w:szCs w:val="24"/>
                <w:color w:val="auto"/>
              </w:rPr>
            </w:pPr>
          </w:p>
        </w:tc>
        <w:tc>
          <w:tcPr>
            <w:tcW w:w="4000" w:type="dxa"/>
            <w:vAlign w:val="bottom"/>
          </w:tcPr>
          <w:p>
            <w:pPr>
              <w:jc w:val="right"/>
              <w:ind w:right="2429"/>
              <w:spacing w:after="0"/>
              <w:rPr>
                <w:sz w:val="20"/>
                <w:szCs w:val="20"/>
                <w:color w:val="auto"/>
              </w:rPr>
            </w:pPr>
            <w:r>
              <w:rPr>
                <w:rFonts w:ascii="Times New Roman" w:cs="Times New Roman" w:eastAsia="Times New Roman" w:hAnsi="Times New Roman"/>
                <w:sz w:val="14"/>
                <w:szCs w:val="14"/>
                <w:color w:val="auto"/>
              </w:rPr>
              <w:t>47</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40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for the three months ended March 31, 2026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three months ended March 31, 2026, our operating activities used $54.8 million of net cash as compared to $19.4 million of net cash provided during the three months ended March 31, 2025. Changes in operating assets and liabilities, which consist primarily of working capital balances for our projects may vary and are impacted by the stage of completion and contractual terms of projects. The primary components of our working capital accounts are trade accounts receivable, contract assets, accounts payable, and contract liabilities. In addition, the changes in operating activities were impacted by the recent acquisition of Lanteris in January 2026.</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three months ended March 31, 2026, investing activities used $454.7 million of net cash as compared to $6.1 million of net cash used during the three months ended March 31, 2025. The $448.6 million increase in investing activities was driven primarily by the business acquisition of Lanteris in January 2026 for approximately $444.8 million, net of cash received and $3.8 million capital expenditures associated primarily with the fabrication and development of commercial communications satellites and navigation network, and capital expenditures related to our expansion to a new leased facility at Houston Spaceport to support the growth of our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financing activities provided $167.4 million of net cash as compared to $152.3 million of net cash provided during the three months ended March 31, 2025.</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2026, our financing activities primarily included $167.5 million in net proceeds from the issuance of securities under the Securities Purchase Agreement, as further described in Note 12 in our condensed consolidated financial statements. During 2025, our financing activities primarily included $176.6 million in proceeds from the exercise of warrants, slightly offset by $20.7 million for share repurchase, and $3.5 million in net activity related to our share-based awards.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our significant contractual obligations and commitments as of March 31, 2026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Payments Due</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4"/>
        </w:trPr>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Remainder of 2026</w:t>
            </w:r>
          </w:p>
        </w:tc>
        <w:tc>
          <w:tcPr>
            <w:tcW w:w="260" w:type="dxa"/>
            <w:vAlign w:val="bottom"/>
          </w:tcPr>
          <w:p>
            <w:pPr>
              <w:spacing w:after="0"/>
              <w:rPr>
                <w:sz w:val="13"/>
                <w:szCs w:val="13"/>
                <w:color w:val="auto"/>
              </w:rPr>
            </w:pPr>
          </w:p>
        </w:tc>
        <w:tc>
          <w:tcPr>
            <w:tcW w:w="88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2028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Thereafter</w:t>
            </w:r>
          </w:p>
        </w:tc>
      </w:tr>
      <w:tr>
        <w:trPr>
          <w:trHeight w:val="166"/>
        </w:trPr>
        <w:tc>
          <w:tcPr>
            <w:tcW w:w="280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Operating lease obligations</w:t>
            </w:r>
            <w:r>
              <w:rPr>
                <w:rFonts w:ascii="Times New Roman" w:cs="Times New Roman" w:eastAsia="Times New Roman" w:hAnsi="Times New Roman"/>
                <w:sz w:val="16"/>
                <w:szCs w:val="16"/>
                <w:color w:val="auto"/>
                <w:vertAlign w:val="superscript"/>
              </w:rPr>
              <w:t>(1)</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144,588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21,071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18,088</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60,897</w:t>
            </w:r>
          </w:p>
        </w:tc>
      </w:tr>
      <w:tr>
        <w:trPr>
          <w:trHeight w:val="170"/>
        </w:trPr>
        <w:tc>
          <w:tcPr>
            <w:tcW w:w="28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Finance lease obligations</w:t>
            </w:r>
            <w:r>
              <w:rPr>
                <w:rFonts w:ascii="Times New Roman" w:cs="Times New Roman" w:eastAsia="Times New Roman" w:hAnsi="Times New Roman"/>
                <w:sz w:val="16"/>
                <w:szCs w:val="16"/>
                <w:color w:val="auto"/>
                <w:vertAlign w:val="superscript"/>
              </w:rPr>
              <w:t>(1)</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8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Purchase commitments</w:t>
            </w:r>
            <w:r>
              <w:rPr>
                <w:rFonts w:ascii="Times New Roman" w:cs="Times New Roman" w:eastAsia="Times New Roman" w:hAnsi="Times New Roman"/>
                <w:sz w:val="16"/>
                <w:szCs w:val="16"/>
                <w:color w:val="auto"/>
                <w:vertAlign w:val="superscript"/>
              </w:rPr>
              <w:t>(2)</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122,739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73,067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2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267,388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70,020</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94,159</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20,605</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17,766</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3,941</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60,897</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142811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288" w:lineRule="exact"/>
        <w:rPr>
          <w:sz w:val="20"/>
          <w:szCs w:val="20"/>
          <w:color w:val="auto"/>
        </w:rPr>
      </w:pPr>
    </w:p>
    <w:p>
      <w:pPr>
        <w:ind w:left="280" w:hanging="275"/>
        <w:spacing w:after="0"/>
        <w:tabs>
          <w:tab w:leader="none" w:pos="2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undiscounted payments for lease arrangements for certain facilities and equipment with various expiration dates through 2048.</w:t>
      </w:r>
    </w:p>
    <w:p>
      <w:pPr>
        <w:spacing w:after="0" w:line="83" w:lineRule="exact"/>
        <w:rPr>
          <w:rFonts w:ascii="Times New Roman" w:cs="Times New Roman" w:eastAsia="Times New Roman" w:hAnsi="Times New Roman"/>
          <w:sz w:val="13"/>
          <w:szCs w:val="13"/>
          <w:color w:val="auto"/>
        </w:rPr>
      </w:pPr>
    </w:p>
    <w:p>
      <w:pPr>
        <w:ind w:left="260" w:hanging="255"/>
        <w:spacing w:after="0" w:line="281" w:lineRule="auto"/>
        <w:tabs>
          <w:tab w:leader="none" w:pos="304"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time-to-time, we enter into long-term commitments with vendors to purchase launch services and for the development of certain components in conjunction with our obligations under revenue contracts with our customers. This represents our significant remaining purchase obligations under non-cancelable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Lunar Production and Operations Center Expansion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July 2025, we executed an amendment to our ground lease agreement to expand our Lunar Production and Operations Center (“LPOC”) at the Houston Spaceport at Ellington Airport. The expansion calls for an additional investment of approximately $12.6 million by the Company for the construction of new production and testing facilities, plus support infrastructure, to scale our lunar lander assembly, Earth-reentry systems, Lunar Terrain Vehicle development, and NASA’s Near Space Network Services. The amendment expands the total leased project site by an additional tract of approximately 3.0 acres. The amendment extends the lease term from 20 years to 25 years (ending October 2048), with three optional renewal periods of 5 years each, and reduces the right-of-use assets and liabilities by approximately $7.1 million. The Company accounted for this amendment as a lease modification by remeasuring the right-of-use assets and liabilities as 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effective date. Should construction costs exceed the estimated expansion investment, the Company will consider and account for the excess as variable lease payments or, if the excess costs is significant, the Company will remeasure the lease liability and right-of-use asset. Furthermore, the amendment includes lease components that have not yet commenced. The Company expects to recognize additional lease liabilities of approximately $7.9 million as the expansion phases are completed in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Receivable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11 of the condensed consolidated financial statements for information regarding our tax receivable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disclosures regarding the Convertible Notes and Stifel Loan Agreement, refer to Note 10 - Debt in the condensed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no off-balance sheet arrangements.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Significant accounting policies employed by us, including the use of estimates, are presented in Note 2 - Summary of Significant Accounting Policies to our condensed consolidated financial statements included elsewhere in this Quarterly Report and our audited consolidated financial statements as of and for the years ended December 31, 2025 and 2024 contained in our Annual Report on Form 10-K, filed with the SEC on March 19, 2026.</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preparation of our condensed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 revenue in accordance with ASC 606, Revenue from Contracts with Customers. Our revenue is primarily generated from long-term construction contracts and the progress on long-term lunar mission contracts and engineering services for the research, design, development, and manufacturing of advancement technology aerospace system.</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For services contracts, cost estimates at completion generally include direct labor, direct materials and subcontract costs. For satellite construction contracts (products), cost estimates at completion also include certain overhead allocations which may include facilities, information technology, insurance and various other costs.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Due to the nature of the work required to be performed on many of our performance obligations, the estimation of total revenue and cost at completion (the process described below in more detail) is complex and subject to many variables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requires significant judgment. The consideration to which we are entitled on our long-term contracts may include both fixed and variable amounts. Variable amounts can either increase or decrease the transaction price.</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include estimated amounts of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When changes are required for the estimated total revenue on a contract, these changes are recognized on a cumulative catch-up basis in the current period. A significant change in one or more estimates could affect the profitability of one or more of our performance obligations. If estimates of total costs to be incurred exceed estimates of total consideration the Company expects to receive, a provision for the remaining loss on the contract is recorded in the period in which the loss becomes evident.</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Satellite construction contracts may include performance incentives whereby payment for a portion of the purchase price is contingent upon in-orbit performance of the satellite. These performance incentives are structured in two forms. As a warranty payback, the customer pays the entire amount of the performance incentive during the period of the satellite construction and such incentives are subject to refund if satellite performance does not achieve certain predefined operating specifications. As an orbital receivable, the customer makes payment of performance incentives over the estimated in-orbit life of the satellite. Performance incentives, whether warranty payback or orbital receivables, are included in revenue during the construction period to the extent it is probable that a significant reversal in the amount of cumulative revenue recognized will not occur when the uncertainty associated with the variable consideration is subsequently resolved. Amounts attributable to the financing element of post-launch payments are recorded as revenue over the incentive period. A portion of performance incentives may be allocated to services in the post-launch period if a separate performance obligation for such services has been determined to exist within the contract. In addition to the in-orbit performance incentives, satellite construction contracts may include liquidated damages clauses. Liquidated damages can be incurred on</w:t>
      </w:r>
    </w:p>
    <w:p>
      <w:pPr>
        <w:spacing w:after="0" w:line="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programs as a result of delays due to slippage or for programs which fail to meet all milestone requirements as outlined within the contractual arrangements with customers. Losses related to liquidated damages result in a reduction of revenue recognized and are recorded in the period in which, based on available facts and circumstances, management believes it is probable that liquidated damages will be incurred and enforced.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uses the acquisition method of accounting for business combinations and recognizes assets acquired and liabilities assumed measured at their fair values on the date acquired. The allocation of the purchase price in a business combination requires management to make significant estimates in determining the fair value of acquired assets and assumed liabilities, especially with respect to intangible assets. The excess of the purchase price in a business combination over the fair value of the assets acquired and liabilities assumed is recorded as goodwill. The determination of fair values of identifiable assets and liabilities requires estimates and the use of valuation techniques when fair value is not readily available and requires management judgment.</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When determining the fair value of the assets and liabilities of an acquired business, we make judgments and estimates using all available information to us including, but not limited to, quoted market prices, carrying values, expected future cash flows, which includes consideration of future growth rates and margins, attrition rates, future changes in technology and brand awareness, loyalty and position and discount rates. We engage third-party appraisal firms when appropriate to assist in the fair value determination of intangible assets. The purchase price allocation recorded in a business combination may change during the measurement period, which is a period not to exceed one year from the date of acquisition, as additional information about conditions existing at the acquisition date becomes available. Our purchase price allocation related to the acquisition of KinetX is discussed in Note 3 - Acquisitions in the accompanying condensed consolidated financial statements.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evaluate our goodwill and intangible assets for impairment annually in the fourth quarter and in any interim period in which events or circumstances arise that indicate possible impairment. Indicators of impairment include, but are not limited to, a significant deterioration in overall economic conditions, a decline in our market capitalization, the loss of significant business, significant decreases in funding for our contracts, or other significant adverse changes in industry or market conditions.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test goodwill for impairment at the reporting unit level based on our reporting structure. We currently have one reporting unit which encompasses all operations including new acquisitions. We have the option to first assess qualitative factors to determine whether it is more likely than not that the fair value of a reporting unit is less than its carrying value. The qualitative assessment includes a review of business changes, economic outlook, financial trends and forecasts, growth rates, industry data, market capitalization, and other relevant qualitative factors. If the qualitative assessment indicates that it is more likely than not that the carrying value of a reporting unit exceeds its estimated fair value, a quantitative test is required.</w:t>
      </w:r>
    </w:p>
    <w:p>
      <w:pPr>
        <w:spacing w:after="0" w:line="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connection with the recent acquisitions of KinetX in October 2025 and Lanteris in January 2026, the Company initially recognized goodwill and intangible assets in our condensed consolidated financial statements. The Company evaluated these goodwill and intangible assets for impairment as of March 31, 2026 and did not recognize any impairment changes, and will continue to evaluate them annually and during interim periods in which events or circumstances arise that indicate possible impairment. See Note 3 - Acquisitions and Note 8 - Goodwill and Intangible Assets, net for more information on our goodwill and intangible assets recognized in connection with the acquisitions of KinetX and Lanteris.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are an “emerging growth company” (“EGC”), as defined in Section 2(a) of the Securities Act, as modified by the Jumpstart our Business Startups Act of 2012, (the “JOBS Act”),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either not an emerging growth company or an emerging growth company which has opted out of using the extended transition period difficult or impossible because of the potential differences in accounting standards used.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inflation.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had cash and cash equivalents and restricted cash totaling approximately $243.4 million as of March 31, 2026. Our cash and cash equivalents consist of highly liquid interest bearing overnight sweep and demand deposit accounts, and are held for purposes of working capital and strategic business investments. We do not enter into investments for trading or speculative purposes and have not used any derivative financial instruments to manage our interest rate risk. As of March 31, 2026, a hypothetical 10% relative change in interest rates would not have a material impact on our unaudited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condensed consolidated financial statements.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August 2025, we issued $345.0 million aggregate principal amount of 2.500% Convertible Notes (as defined in Note 10 - Debt in the unaudited condensed consolidated financial statements contained elsewhere in this Quarterly Report) and the full amount was outstanding as of March 31, 2026. We carry the Convertible Notes at face value less the unamortized debt discount and issuance costs on our condensed consolidated balance sheets. The Convertible Notes have a fixed interest rate; therefore, we have no financial statement risk associated with changes in interest rates with respect to the Convertible Notes. The fair value of the Convertible Notes changes when the market price of our stock fluctuates or market interest rates change.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revenue and expenses are primarily denominated in U.S. dollars and we have not had material foreign currency risk nor recognized foreign exchange gains or losses to date. We believe our exposure to foreign currency fluctuation from operating expenses is immaterial as the related costs do not constitute a significant portion of our total expenses. As such, we currently do not engage in forward contracts or other derivatives in foreign currencies to limit our exposure on non-U.S. dollar transactions. As we grow operations, our exposure to foreign currency risk may become more significant, and we will consider methods to limit our exposure on non-U.S. dollar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Impact of Inflation</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some effect if inflation rates continue to rise. Significant adverse changes in inflation and costs in the future could result in material losses.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March 31, 2026, to provide reasonable assurance that information required to be disclosed in our reports filed or submitted under the Exchange Act is recorded, processed, summarized and reported within the time periods specified in the SEC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 Management recognizes that any controls and procedures, no matter how well designed and operated, can provide only reasonable, not absolute, assurance of achieving their desired control objectives.</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13, 2026, we completed the Lanteris acquisition. Prior to the acquisition, Lanteris was a privately held company and was not subject to the rules and regulations of the SEC. We are currently in the process of integrating Lanteris into our operations and internal control environment.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than our integration of Lanteris, there have been no changes in the Company’s internal control over financial reporting during the three months ended March 31, 2026 that have materially affected, or that are reasonably likely to materially affect, the Company’s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 The information required with respect to this item is disclosed under Note 18 - Commitments and Contingencies to our condensed consolidated financial statements in Part I, Item 1 of this Quarterly Report and is incorporated by reference to this Item 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Factors that could cause our actual results to differ materially from those in this report include the risk factors described in our 2025 Annual Report on Form 10-K. As of the date of this Quarterly Report, there have been no material changes to the risk factors disclosed in the 2025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jc w:val="both"/>
        <w:ind w:right="4320"/>
        <w:spacing w:after="0" w:line="270" w:lineRule="auto"/>
        <w:rPr>
          <w:sz w:val="20"/>
          <w:szCs w:val="20"/>
          <w:color w:val="auto"/>
        </w:rPr>
      </w:pPr>
      <w:r>
        <w:rPr>
          <w:rFonts w:ascii="Times New Roman" w:cs="Times New Roman" w:eastAsia="Times New Roman" w:hAnsi="Times New Roman"/>
          <w:sz w:val="14"/>
          <w:szCs w:val="14"/>
          <w:color w:val="auto"/>
        </w:rPr>
        <w:t>Except as reported in Item 3.02 of our Current Reports on Form 8-K filed with the SEC on January 13, 2026 and February 25, 2026 which are incorporated by reference into this Quarterly Report on Form 10-Q, there were no sales of unregistered securities during the three months ended March 31,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91" w:lineRule="exact"/>
        <w:rPr>
          <w:sz w:val="20"/>
          <w:szCs w:val="20"/>
          <w:color w:val="auto"/>
        </w:rPr>
      </w:pPr>
    </w:p>
    <w:p>
      <w:pPr>
        <w:jc w:val="both"/>
        <w:ind w:right="4380"/>
        <w:spacing w:after="0" w:line="262" w:lineRule="auto"/>
        <w:rPr>
          <w:sz w:val="20"/>
          <w:szCs w:val="20"/>
          <w:color w:val="auto"/>
        </w:rPr>
      </w:pPr>
      <w:r>
        <w:rPr>
          <w:rFonts w:ascii="Times New Roman" w:cs="Times New Roman" w:eastAsia="Times New Roman" w:hAnsi="Times New Roman"/>
          <w:sz w:val="14"/>
          <w:szCs w:val="14"/>
          <w:color w:val="auto"/>
        </w:rPr>
        <w:t>During the three months ended March 31, 2026,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as part of this Quarterly Report.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97"/>
        </w:trPr>
        <w:tc>
          <w:tcPr>
            <w:tcW w:w="1460" w:type="dxa"/>
            <w:vAlign w:val="bottom"/>
          </w:tcPr>
          <w:p>
            <w:pPr>
              <w:ind w:left="500"/>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40" w:type="dxa"/>
            <w:vAlign w:val="bottom"/>
            <w:gridSpan w:val="6"/>
            <w:vMerge w:val="restart"/>
          </w:tcPr>
          <w:p>
            <w:pPr>
              <w:ind w:left="124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53"/>
        </w:trPr>
        <w:tc>
          <w:tcPr>
            <w:tcW w:w="1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040" w:type="dxa"/>
            <w:vAlign w:val="bottom"/>
            <w:tcBorders>
              <w:bottom w:val="single" w:sz="8" w:color="auto"/>
            </w:tcBorders>
            <w:gridSpan w:val="6"/>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6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10.1+</w:t>
            </w:r>
          </w:p>
        </w:tc>
        <w:tc>
          <w:tcPr>
            <w:tcW w:w="6500" w:type="dxa"/>
            <w:vAlign w:val="bottom"/>
            <w:gridSpan w:val="8"/>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Amended and Restated Director Compensation Policy</w:t>
            </w:r>
          </w:p>
        </w:tc>
        <w:tc>
          <w:tcPr>
            <w:tcW w:w="7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31.1*</w:t>
            </w:r>
          </w:p>
        </w:tc>
        <w:tc>
          <w:tcPr>
            <w:tcW w:w="6500" w:type="dxa"/>
            <w:vAlign w:val="bottom"/>
            <w:gridSpan w:val="8"/>
          </w:tcPr>
          <w:p>
            <w:pPr>
              <w:spacing w:after="0"/>
              <w:rPr>
                <w:sz w:val="20"/>
                <w:szCs w:val="20"/>
                <w:color w:val="auto"/>
              </w:rPr>
            </w:pPr>
            <w:r>
              <w:rPr>
                <w:rFonts w:ascii="Times New Roman" w:cs="Times New Roman" w:eastAsia="Times New Roman" w:hAnsi="Times New Roman"/>
                <w:sz w:val="13"/>
                <w:szCs w:val="13"/>
                <w:color w:val="0000FF"/>
                <w:w w:val="98"/>
              </w:rPr>
              <w:t>Certification of Chief Executive Officer pursuant to Rules 13a-14 and 15d-14 promulgated under the Securities Exchange Act</w:t>
            </w: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6420" w:type="dxa"/>
            <w:vAlign w:val="bottom"/>
            <w:tcBorders>
              <w:top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3"/>
                <w:szCs w:val="13"/>
                <w:color w:val="0000FF"/>
              </w:rPr>
              <w:t>of 1934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31.2*</w:t>
            </w:r>
          </w:p>
        </w:tc>
        <w:tc>
          <w:tcPr>
            <w:tcW w:w="65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0000FF"/>
                <w:w w:val="99"/>
              </w:rPr>
              <w:t>Certification of Chief Financial Officer pursuant to Rules 13a-14 and 15d-14 promulgated under the Securities Exchange Act</w:t>
            </w:r>
          </w:p>
        </w:tc>
        <w:tc>
          <w:tcPr>
            <w:tcW w:w="7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0000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0000FF"/>
                <w:w w:val="94"/>
              </w:rPr>
              <w:t>of 1934</w:t>
            </w:r>
          </w:p>
        </w:tc>
        <w:tc>
          <w:tcPr>
            <w:tcW w:w="598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32.1**</w:t>
            </w:r>
          </w:p>
        </w:tc>
        <w:tc>
          <w:tcPr>
            <w:tcW w:w="6500" w:type="dxa"/>
            <w:vAlign w:val="bottom"/>
            <w:gridSpan w:val="8"/>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18 U.S.C. Section 1350, as adopted pursuant to Section 906 of the</w:t>
            </w: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6040" w:type="dxa"/>
            <w:vAlign w:val="bottom"/>
            <w:tcBorders>
              <w:top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46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32.2**</w:t>
            </w:r>
          </w:p>
        </w:tc>
        <w:tc>
          <w:tcPr>
            <w:tcW w:w="65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0000FF"/>
              </w:rPr>
              <w:t>Certification of Chief Financial Officer pursuant to 18 U.S.C. Section 1350, as adopted pursuant to Section 906 of the</w:t>
            </w:r>
          </w:p>
        </w:tc>
        <w:tc>
          <w:tcPr>
            <w:tcW w:w="7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60" w:type="dxa"/>
            <w:vAlign w:val="bottom"/>
            <w:tcBorders>
              <w:top w:val="single" w:sz="8" w:color="CCEEFF"/>
            </w:tcBorders>
            <w:shd w:val="clear" w:color="auto" w:fill="CCEEFF"/>
          </w:tcPr>
          <w:p>
            <w:pPr>
              <w:spacing w:after="0"/>
              <w:rPr>
                <w:sz w:val="11"/>
                <w:szCs w:val="11"/>
                <w:color w:val="auto"/>
              </w:rPr>
            </w:pPr>
          </w:p>
        </w:tc>
        <w:tc>
          <w:tcPr>
            <w:tcW w:w="6000" w:type="dxa"/>
            <w:vAlign w:val="bottom"/>
            <w:tcBorders>
              <w:top w:val="single" w:sz="8" w:color="0000FF"/>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500" w:type="dxa"/>
            <w:vAlign w:val="bottom"/>
            <w:tcBorders>
              <w:top w:val="single" w:sz="8" w:color="CCEEFF"/>
            </w:tcBorders>
            <w:gridSpan w:val="4"/>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16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125" w:right="319" w:bottom="1440" w:gutter="0" w:footer="0" w:header="0"/>
        </w:sectPr>
      </w:pPr>
    </w:p>
    <w:p>
      <w:pPr>
        <w:ind w:left="80"/>
        <w:spacing w:after="0"/>
        <w:rPr>
          <w:sz w:val="20"/>
          <w:szCs w:val="20"/>
          <w:color w:val="auto"/>
        </w:rPr>
      </w:pPr>
      <w:r>
        <w:rPr>
          <w:rFonts w:ascii="Times New Roman" w:cs="Times New Roman" w:eastAsia="Times New Roman" w:hAnsi="Times New Roman"/>
          <w:sz w:val="13"/>
          <w:szCs w:val="13"/>
          <w:color w:val="auto"/>
        </w:rPr>
        <w:t>101.INS*</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101.SCH*</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101.CAL*</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101.DEF*</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101.LAB*</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101.PRE*</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br w:type="column"/>
      </w:r>
    </w:p>
    <w:p>
      <w:pPr>
        <w:ind w:right="3500"/>
        <w:spacing w:after="0" w:line="264" w:lineRule="auto"/>
        <w:rPr>
          <w:sz w:val="20"/>
          <w:szCs w:val="20"/>
          <w:color w:val="auto"/>
        </w:rPr>
      </w:pPr>
      <w:r>
        <w:rPr>
          <w:rFonts w:ascii="Times New Roman" w:cs="Times New Roman" w:eastAsia="Times New Roman" w:hAnsi="Times New Roman"/>
          <w:sz w:val="13"/>
          <w:szCs w:val="13"/>
          <w:color w:val="auto"/>
        </w:rPr>
        <w:t>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6985</wp:posOffset>
            </wp:positionV>
            <wp:extent cx="7161530" cy="121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19685</wp:posOffset>
            </wp:positionV>
            <wp:extent cx="7161530" cy="1212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19685</wp:posOffset>
            </wp:positionV>
            <wp:extent cx="7161530" cy="1212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and contained in Exhibit 101.INS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133985</wp:posOffset>
            </wp:positionV>
            <wp:extent cx="361759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1759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 w:space="720"/>
            <w:col w:w="9820"/>
          </w:cols>
          <w:pgMar w:left="300" w:top="125" w:right="319" w:bottom="1440" w:gutter="0" w:footer="0" w:header="0"/>
          <w:type w:val="continuous"/>
        </w:sectPr>
      </w:pPr>
    </w:p>
    <w:p>
      <w:pPr>
        <w:spacing w:after="0" w:line="18" w:lineRule="exact"/>
        <w:rPr>
          <w:sz w:val="20"/>
          <w:szCs w:val="20"/>
          <w:color w:val="auto"/>
        </w:rPr>
      </w:pPr>
    </w:p>
    <w:p>
      <w:pPr>
        <w:ind w:left="480" w:hanging="461"/>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3" w:lineRule="exact"/>
        <w:rPr>
          <w:sz w:val="20"/>
          <w:szCs w:val="20"/>
          <w:color w:val="auto"/>
        </w:rPr>
      </w:pPr>
    </w:p>
    <w:p>
      <w:pPr>
        <w:ind w:left="480" w:hanging="461"/>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w:t>
      </w:r>
    </w:p>
    <w:p>
      <w:pPr>
        <w:spacing w:after="0" w:line="19" w:lineRule="exact"/>
        <w:rPr>
          <w:sz w:val="20"/>
          <w:szCs w:val="20"/>
          <w:color w:val="auto"/>
        </w:rPr>
      </w:pPr>
    </w:p>
    <w:p>
      <w:pPr>
        <w:ind w:left="480" w:hanging="461"/>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34" w:lineRule="exact"/>
        <w:rPr>
          <w:sz w:val="20"/>
          <w:szCs w:val="20"/>
          <w:color w:val="auto"/>
        </w:rPr>
      </w:pPr>
    </w:p>
    <w:p>
      <w:pPr>
        <w:ind w:left="20"/>
        <w:spacing w:after="0"/>
        <w:tabs>
          <w:tab w:leader="none" w:pos="900" w:val="left"/>
          <w:tab w:leader="none" w:pos="5540" w:val="left"/>
          <w:tab w:leader="none" w:pos="60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May 14,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30771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7715" cy="6985"/>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Peter McGrath</w:t>
      </w:r>
    </w:p>
    <w:p>
      <w:pPr>
        <w:spacing w:after="0" w:line="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Chief Financial Officer and Senior Vice President</w:t>
      </w:r>
    </w:p>
    <w:p>
      <w:pPr>
        <w:spacing w:after="0" w:line="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17" w:lineRule="exact"/>
        <w:rPr>
          <w:sz w:val="20"/>
          <w:szCs w:val="20"/>
          <w:color w:val="auto"/>
        </w:rPr>
      </w:pPr>
    </w:p>
    <w:p>
      <w:pPr>
        <w:ind w:left="20"/>
        <w:spacing w:after="0"/>
        <w:tabs>
          <w:tab w:leader="none" w:pos="900" w:val="left"/>
          <w:tab w:leader="none" w:pos="5540" w:val="left"/>
          <w:tab w:leader="none" w:pos="60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May 14,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Steven Vontur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30771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7715" cy="6985"/>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Steven Vontur</w:t>
      </w:r>
    </w:p>
    <w:p>
      <w:pPr>
        <w:spacing w:after="0" w:line="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Chief Accounting Officer and Controller</w:t>
      </w:r>
    </w:p>
    <w:p>
      <w:pPr>
        <w:spacing w:after="0" w:line="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00" w:lineRule="exact"/>
        <w:rPr>
          <w:sz w:val="20"/>
          <w:szCs w:val="20"/>
          <w:color w:val="auto"/>
        </w:rPr>
      </w:pPr>
    </w:p>
    <w:p>
      <w:pPr>
        <w:spacing w:after="0" w:line="3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320"/>
          </w:cols>
          <w:pgMar w:left="300" w:top="125" w:right="1279" w:bottom="1440"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 AND 15d-14</w:t>
      </w: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 AS AMENDED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Stephen Altemus, certify that:</w:t>
      </w:r>
    </w:p>
    <w:p>
      <w:pPr>
        <w:spacing w:after="0" w:line="190" w:lineRule="exact"/>
        <w:rPr>
          <w:sz w:val="20"/>
          <w:szCs w:val="20"/>
          <w:color w:val="auto"/>
        </w:rPr>
      </w:pPr>
    </w:p>
    <w:p>
      <w:pPr>
        <w:ind w:left="500" w:hanging="240"/>
        <w:spacing w:after="0"/>
        <w:tabs>
          <w:tab w:leader="none" w:pos="5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for the quarter ended March 31, 2026 of Intuitive Machines, Inc.;</w:t>
      </w:r>
    </w:p>
    <w:p>
      <w:pPr>
        <w:spacing w:after="0" w:line="190" w:lineRule="exact"/>
        <w:rPr>
          <w:rFonts w:ascii="Times New Roman" w:cs="Times New Roman" w:eastAsia="Times New Roman" w:hAnsi="Times New Roman"/>
          <w:sz w:val="13"/>
          <w:szCs w:val="13"/>
          <w:color w:val="auto"/>
        </w:rPr>
      </w:pPr>
    </w:p>
    <w:p>
      <w:pPr>
        <w:ind w:left="520" w:right="100" w:hanging="260"/>
        <w:spacing w:after="0" w:line="277" w:lineRule="auto"/>
        <w:tabs>
          <w:tab w:leader="none" w:pos="514"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Times New Roman" w:cs="Times New Roman" w:eastAsia="Times New Roman" w:hAnsi="Times New Roman"/>
          <w:sz w:val="13"/>
          <w:szCs w:val="13"/>
          <w:color w:val="auto"/>
        </w:rPr>
      </w:pPr>
    </w:p>
    <w:p>
      <w:pPr>
        <w:ind w:left="520" w:right="240" w:hanging="260"/>
        <w:spacing w:after="0" w:line="294" w:lineRule="auto"/>
        <w:tabs>
          <w:tab w:leader="none" w:pos="514"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3"/>
          <w:szCs w:val="13"/>
          <w:color w:val="auto"/>
        </w:rPr>
      </w:pPr>
    </w:p>
    <w:p>
      <w:pPr>
        <w:ind w:left="520" w:right="360" w:hanging="260"/>
        <w:spacing w:after="0" w:line="277" w:lineRule="auto"/>
        <w:tabs>
          <w:tab w:leader="none" w:pos="514"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3"/>
          <w:szCs w:val="13"/>
          <w:color w:val="auto"/>
        </w:rPr>
      </w:pPr>
    </w:p>
    <w:p>
      <w:pPr>
        <w:ind w:left="1020" w:right="100" w:hanging="251"/>
        <w:spacing w:after="0" w:line="277" w:lineRule="auto"/>
        <w:tabs>
          <w:tab w:leader="none" w:pos="1018"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Times New Roman" w:cs="Times New Roman" w:eastAsia="Times New Roman" w:hAnsi="Times New Roman"/>
          <w:sz w:val="13"/>
          <w:szCs w:val="13"/>
          <w:color w:val="auto"/>
        </w:rPr>
      </w:pPr>
    </w:p>
    <w:p>
      <w:pPr>
        <w:ind w:left="1020" w:right="500" w:hanging="251"/>
        <w:spacing w:after="0" w:line="294" w:lineRule="auto"/>
        <w:tabs>
          <w:tab w:leader="none" w:pos="1015"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 w:lineRule="exact"/>
        <w:rPr>
          <w:rFonts w:ascii="Times New Roman" w:cs="Times New Roman" w:eastAsia="Times New Roman" w:hAnsi="Times New Roman"/>
          <w:sz w:val="13"/>
          <w:szCs w:val="13"/>
          <w:color w:val="auto"/>
        </w:rPr>
      </w:pPr>
    </w:p>
    <w:p>
      <w:pPr>
        <w:ind w:left="1020" w:right="20" w:hanging="251"/>
        <w:spacing w:after="0" w:line="277" w:lineRule="auto"/>
        <w:tabs>
          <w:tab w:leader="none" w:pos="1018"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Times New Roman" w:cs="Times New Roman" w:eastAsia="Times New Roman" w:hAnsi="Times New Roman"/>
          <w:sz w:val="13"/>
          <w:szCs w:val="13"/>
          <w:color w:val="auto"/>
        </w:rPr>
      </w:pPr>
    </w:p>
    <w:p>
      <w:pPr>
        <w:ind w:left="1020" w:right="340" w:hanging="251"/>
        <w:spacing w:after="0" w:line="277" w:lineRule="auto"/>
        <w:tabs>
          <w:tab w:leader="none" w:pos="1015"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Times New Roman" w:cs="Times New Roman" w:eastAsia="Times New Roman" w:hAnsi="Times New Roman"/>
          <w:sz w:val="13"/>
          <w:szCs w:val="13"/>
          <w:color w:val="auto"/>
        </w:rPr>
      </w:pPr>
    </w:p>
    <w:p>
      <w:pPr>
        <w:ind w:left="520" w:right="100" w:hanging="260"/>
        <w:spacing w:after="0" w:line="277" w:lineRule="auto"/>
        <w:tabs>
          <w:tab w:leader="none" w:pos="514"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3"/>
          <w:szCs w:val="13"/>
          <w:color w:val="auto"/>
        </w:rPr>
      </w:pPr>
    </w:p>
    <w:p>
      <w:pPr>
        <w:ind w:left="1020" w:hanging="251"/>
        <w:spacing w:after="0" w:line="277" w:lineRule="auto"/>
        <w:tabs>
          <w:tab w:leader="none" w:pos="1018"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Times New Roman" w:cs="Times New Roman" w:eastAsia="Times New Roman" w:hAnsi="Times New Roman"/>
          <w:sz w:val="13"/>
          <w:szCs w:val="13"/>
          <w:color w:val="auto"/>
        </w:rPr>
      </w:pPr>
    </w:p>
    <w:p>
      <w:pPr>
        <w:ind w:left="1020" w:hanging="251"/>
        <w:spacing w:after="0"/>
        <w:tabs>
          <w:tab w:leader="none" w:pos="10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520"/>
        <w:spacing w:after="0"/>
        <w:tabs>
          <w:tab w:leader="none" w:pos="2580" w:val="left"/>
          <w:tab w:leader="none" w:pos="6480" w:val="left"/>
          <w:tab w:leader="none" w:pos="696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May 14,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Stephen Altemus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23495</wp:posOffset>
            </wp:positionV>
            <wp:extent cx="27419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41930" cy="6985"/>
                    </a:xfrm>
                    <a:prstGeom prst="rect">
                      <a:avLst/>
                    </a:prstGeom>
                    <a:noFill/>
                  </pic:spPr>
                </pic:pic>
              </a:graphicData>
            </a:graphic>
          </wp:anchor>
        </w:drawing>
      </w:r>
    </w:p>
    <w:p>
      <w:pPr>
        <w:spacing w:after="0" w:line="1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3"/>
          <w:szCs w:val="13"/>
          <w:b w:val="1"/>
          <w:bCs w:val="1"/>
          <w:color w:val="auto"/>
        </w:rPr>
        <w:t>Stephen Altemus</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3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p>
      <w:pPr>
        <w:sectPr>
          <w:pgSz w:w="11900" w:h="16838" w:orient="portrait"/>
          <w:cols w:equalWidth="0" w:num="1">
            <w:col w:w="11280"/>
          </w:cols>
          <w:pgMar w:left="300" w:top="1141" w:right="3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 AND 15d-14</w:t>
      </w: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 AS AMENDED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Peter McGrath, certify that:</w:t>
      </w:r>
    </w:p>
    <w:p>
      <w:pPr>
        <w:spacing w:after="0" w:line="190"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for the quarter ended March 31, 2026 of Intuitive Machines, Inc.;</w:t>
      </w:r>
    </w:p>
    <w:p>
      <w:pPr>
        <w:spacing w:after="0" w:line="190" w:lineRule="exact"/>
        <w:rPr>
          <w:rFonts w:ascii="Times New Roman" w:cs="Times New Roman" w:eastAsia="Times New Roman" w:hAnsi="Times New Roman"/>
          <w:sz w:val="13"/>
          <w:szCs w:val="13"/>
          <w:color w:val="auto"/>
        </w:rPr>
      </w:pPr>
    </w:p>
    <w:p>
      <w:pPr>
        <w:ind w:left="520" w:right="100" w:hanging="260"/>
        <w:spacing w:after="0" w:line="277" w:lineRule="auto"/>
        <w:tabs>
          <w:tab w:leader="none" w:pos="51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Times New Roman" w:cs="Times New Roman" w:eastAsia="Times New Roman" w:hAnsi="Times New Roman"/>
          <w:sz w:val="13"/>
          <w:szCs w:val="13"/>
          <w:color w:val="auto"/>
        </w:rPr>
      </w:pPr>
    </w:p>
    <w:p>
      <w:pPr>
        <w:ind w:left="520" w:right="240" w:hanging="260"/>
        <w:spacing w:after="0" w:line="294" w:lineRule="auto"/>
        <w:tabs>
          <w:tab w:leader="none" w:pos="51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3"/>
          <w:szCs w:val="13"/>
          <w:color w:val="auto"/>
        </w:rPr>
      </w:pPr>
    </w:p>
    <w:p>
      <w:pPr>
        <w:ind w:left="520" w:right="360" w:hanging="260"/>
        <w:spacing w:after="0" w:line="277" w:lineRule="auto"/>
        <w:tabs>
          <w:tab w:leader="none" w:pos="51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3"/>
          <w:szCs w:val="13"/>
          <w:color w:val="auto"/>
        </w:rPr>
      </w:pPr>
    </w:p>
    <w:p>
      <w:pPr>
        <w:ind w:left="1020" w:right="100" w:hanging="251"/>
        <w:spacing w:after="0" w:line="277" w:lineRule="auto"/>
        <w:tabs>
          <w:tab w:leader="none" w:pos="1018"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Times New Roman" w:cs="Times New Roman" w:eastAsia="Times New Roman" w:hAnsi="Times New Roman"/>
          <w:sz w:val="13"/>
          <w:szCs w:val="13"/>
          <w:color w:val="auto"/>
        </w:rPr>
      </w:pPr>
    </w:p>
    <w:p>
      <w:pPr>
        <w:ind w:left="1020" w:right="500" w:hanging="251"/>
        <w:spacing w:after="0" w:line="294" w:lineRule="auto"/>
        <w:tabs>
          <w:tab w:leader="none" w:pos="1015"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 w:lineRule="exact"/>
        <w:rPr>
          <w:rFonts w:ascii="Times New Roman" w:cs="Times New Roman" w:eastAsia="Times New Roman" w:hAnsi="Times New Roman"/>
          <w:sz w:val="13"/>
          <w:szCs w:val="13"/>
          <w:color w:val="auto"/>
        </w:rPr>
      </w:pPr>
    </w:p>
    <w:p>
      <w:pPr>
        <w:ind w:left="1020" w:right="20" w:hanging="251"/>
        <w:spacing w:after="0" w:line="277" w:lineRule="auto"/>
        <w:tabs>
          <w:tab w:leader="none" w:pos="1018"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Times New Roman" w:cs="Times New Roman" w:eastAsia="Times New Roman" w:hAnsi="Times New Roman"/>
          <w:sz w:val="13"/>
          <w:szCs w:val="13"/>
          <w:color w:val="auto"/>
        </w:rPr>
      </w:pPr>
    </w:p>
    <w:p>
      <w:pPr>
        <w:ind w:left="1020" w:right="340" w:hanging="251"/>
        <w:spacing w:after="0" w:line="277" w:lineRule="auto"/>
        <w:tabs>
          <w:tab w:leader="none" w:pos="1015"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Times New Roman" w:cs="Times New Roman" w:eastAsia="Times New Roman" w:hAnsi="Times New Roman"/>
          <w:sz w:val="13"/>
          <w:szCs w:val="13"/>
          <w:color w:val="auto"/>
        </w:rPr>
      </w:pPr>
    </w:p>
    <w:p>
      <w:pPr>
        <w:ind w:left="520" w:right="100" w:hanging="260"/>
        <w:spacing w:after="0" w:line="277" w:lineRule="auto"/>
        <w:tabs>
          <w:tab w:leader="none" w:pos="51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3"/>
          <w:szCs w:val="13"/>
          <w:color w:val="auto"/>
        </w:rPr>
      </w:pPr>
    </w:p>
    <w:p>
      <w:pPr>
        <w:ind w:left="1020" w:hanging="251"/>
        <w:spacing w:after="0" w:line="277" w:lineRule="auto"/>
        <w:tabs>
          <w:tab w:leader="none" w:pos="1018"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Times New Roman" w:cs="Times New Roman" w:eastAsia="Times New Roman" w:hAnsi="Times New Roman"/>
          <w:sz w:val="13"/>
          <w:szCs w:val="13"/>
          <w:color w:val="auto"/>
        </w:rPr>
      </w:pPr>
    </w:p>
    <w:p>
      <w:pPr>
        <w:ind w:left="1020" w:hanging="251"/>
        <w:spacing w:after="0"/>
        <w:tabs>
          <w:tab w:leader="none" w:pos="102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tabs>
          <w:tab w:leader="none" w:pos="2200" w:val="left"/>
          <w:tab w:leader="none" w:pos="6240" w:val="left"/>
          <w:tab w:leader="none" w:pos="676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May 14,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23495</wp:posOffset>
            </wp:positionV>
            <wp:extent cx="28702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70200" cy="6985"/>
                    </a:xfrm>
                    <a:prstGeom prst="rect">
                      <a:avLst/>
                    </a:prstGeom>
                    <a:noFill/>
                  </pic:spPr>
                </pic:pic>
              </a:graphicData>
            </a:graphic>
          </wp:anchor>
        </w:drawing>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b w:val="1"/>
          <w:bCs w:val="1"/>
          <w:color w:val="auto"/>
        </w:rPr>
        <w:t>Peter McGrath</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pacing w:after="0" w:line="3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p>
      <w:pPr>
        <w:sectPr>
          <w:pgSz w:w="11900" w:h="16838" w:orient="portrait"/>
          <w:cols w:equalWidth="0" w:num="1">
            <w:col w:w="11280"/>
          </w:cols>
          <w:pgMar w:left="300" w:top="1141" w:right="3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Intuitive Machines, Inc. (the “Company”) for the quarter ended March 31, 2026, as filed with the Securities and Exchange Commission on the date hereof (the “Report”), I, Stephen Altemus, certify, pursuant to 18 U.S.C. Section 1350, as adopted pursuant to Section 906 of the Sarbanes-Oxley Act of 2002, that, to my knowledge:</w:t>
      </w:r>
    </w:p>
    <w:p>
      <w:pPr>
        <w:spacing w:after="0" w:line="145"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p>
      <w:pPr>
        <w:ind w:left="20"/>
        <w:spacing w:after="0"/>
        <w:tabs>
          <w:tab w:leader="none" w:pos="2260" w:val="left"/>
          <w:tab w:leader="none" w:pos="6340" w:val="left"/>
          <w:tab w:leader="none" w:pos="700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May 14,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Stephen Altemus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14605</wp:posOffset>
            </wp:positionV>
            <wp:extent cx="27152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15260" cy="6985"/>
                    </a:xfrm>
                    <a:prstGeom prst="rect">
                      <a:avLst/>
                    </a:prstGeom>
                    <a:noFill/>
                  </pic:spPr>
                </pic:pic>
              </a:graphicData>
            </a:graphic>
          </wp:anchor>
        </w:drawing>
      </w:r>
    </w:p>
    <w:p>
      <w:pPr>
        <w:spacing w:after="0" w:line="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Stephen Altemus</w:t>
      </w:r>
    </w:p>
    <w:p>
      <w:pPr>
        <w:spacing w:after="0" w:line="2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Chief Executive Officer, President and Director</w:t>
      </w:r>
    </w:p>
    <w:p>
      <w:pPr>
        <w:spacing w:after="0" w:line="1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6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80"/>
          </w:cols>
          <w:pgMar w:left="300" w:top="1141"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Intuitive Machines, Inc. (the “Company”) for the quarter ended March 31, 2026, as filed with the Securities and Exchange Commission on the date hereof (the “Report”), I, Peter McGrath, certify, pursuant to 18 U.S.C. Section 1350, as adopted pursuant to Section 906 of the Sarbanes-Oxley Act of 2002, that, to my knowledge:</w:t>
      </w:r>
    </w:p>
    <w:p>
      <w:pPr>
        <w:spacing w:after="0" w:line="145"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p>
      <w:pPr>
        <w:ind w:left="20"/>
        <w:spacing w:after="0"/>
        <w:tabs>
          <w:tab w:leader="none" w:pos="2260" w:val="left"/>
          <w:tab w:leader="none" w:pos="5520" w:val="left"/>
          <w:tab w:leader="none" w:pos="60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May 14,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14605</wp:posOffset>
            </wp:positionV>
            <wp:extent cx="334137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b w:val="1"/>
          <w:bCs w:val="1"/>
          <w:color w:val="auto"/>
        </w:rPr>
        <w:t>Peter McGrath</w:t>
      </w:r>
    </w:p>
    <w:p>
      <w:pPr>
        <w:spacing w:after="0" w:line="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b w:val="1"/>
          <w:bCs w:val="1"/>
          <w:color w:val="auto"/>
        </w:rPr>
        <w:t>Chief Financial Officer and Senior Vice President</w:t>
      </w:r>
    </w:p>
    <w:p>
      <w:pPr>
        <w:spacing w:after="0" w:line="1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00" w:lineRule="exact"/>
        <w:rPr>
          <w:sz w:val="20"/>
          <w:szCs w:val="20"/>
          <w:color w:val="auto"/>
        </w:rPr>
      </w:pPr>
    </w:p>
    <w:p>
      <w:pPr>
        <w:spacing w:after="0" w:line="26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2026-05-15T05:08:46Z</dcterms:created>
  <dcterms:modified xsi:type="dcterms:W3CDTF">2026-05-15T05:08:46Z</dcterms:modified>
</cp:coreProperties>
</file>