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871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1918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Ghaffarian Kamal Seyed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5937 SUNNYSLOPE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Machines,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LUNR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04/20/2026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180" w:space="720"/>
            <w:col w:w="3111" w:space="720"/>
            <w:col w:w="3349"/>
          </w:cols>
          <w:pgMar w:left="460" w:top="215" w:right="35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NAPLES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34119</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left="371"/>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04/20/2026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vMerge w:val="restart"/>
          </w:tcPr>
          <w:p>
            <w:pPr>
              <w:jc w:val="center"/>
              <w:ind w:right="38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141,909</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0"/>
                <w:szCs w:val="2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3,636,677</w:t>
            </w:r>
          </w:p>
        </w:tc>
        <w:tc>
          <w:tcPr>
            <w:tcW w:w="340" w:type="dxa"/>
            <w:vAlign w:val="bottom"/>
          </w:tcPr>
          <w:p>
            <w:pPr>
              <w:spacing w:after="0"/>
              <w:rPr>
                <w:sz w:val="20"/>
                <w:szCs w:val="20"/>
                <w:color w:val="auto"/>
              </w:rPr>
            </w:pPr>
          </w:p>
        </w:tc>
        <w:tc>
          <w:tcPr>
            <w:tcW w:w="50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04/20/2026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141,909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35,497,721</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04/20/2026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85,141</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27.7434</w:t>
            </w:r>
            <w:r>
              <w:rPr>
                <w:rFonts w:ascii="Times New Roman" w:cs="Times New Roman" w:eastAsia="Times New Roman" w:hAnsi="Times New Roman"/>
                <w:sz w:val="20"/>
                <w:szCs w:val="20"/>
                <w:color w:val="008000"/>
                <w:w w:val="96"/>
                <w:vertAlign w:val="superscript"/>
              </w:rPr>
              <w:t>(5)</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3,551,536</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04/20/2026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47,869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28.6458</w:t>
            </w:r>
            <w:r>
              <w:rPr>
                <w:rFonts w:ascii="Times New Roman" w:cs="Times New Roman" w:eastAsia="Times New Roman" w:hAnsi="Times New Roman"/>
                <w:sz w:val="20"/>
                <w:szCs w:val="20"/>
                <w:color w:val="008000"/>
                <w:w w:val="96"/>
                <w:vertAlign w:val="superscript"/>
              </w:rPr>
              <w:t>(6)</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3,503,667</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04/20/2026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8,899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29.51</w:t>
            </w:r>
            <w:r>
              <w:rPr>
                <w:rFonts w:ascii="Times New Roman" w:cs="Times New Roman" w:eastAsia="Times New Roman" w:hAnsi="Times New Roman"/>
                <w:sz w:val="20"/>
                <w:szCs w:val="20"/>
                <w:color w:val="008000"/>
                <w:w w:val="95"/>
                <w:vertAlign w:val="superscript"/>
              </w:rPr>
              <w:t>(7)</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3,494,768</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146,092</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jc w:val="center"/>
              <w:ind w:right="271"/>
              <w:spacing w:after="0"/>
              <w:rPr>
                <w:sz w:val="20"/>
                <w:szCs w:val="20"/>
                <w:color w:val="auto"/>
              </w:rPr>
            </w:pPr>
            <w:r>
              <w:rPr>
                <w:rFonts w:ascii="Times New Roman" w:cs="Times New Roman" w:eastAsia="Times New Roman" w:hAnsi="Times New Roman"/>
                <w:sz w:val="16"/>
                <w:szCs w:val="16"/>
                <w:color w:val="0000FF"/>
              </w:rPr>
              <w:t>D</w:t>
            </w: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3"/>
                <w:szCs w:val="13"/>
                <w:color w:val="0000FF"/>
                <w:w w:val="88"/>
              </w:rPr>
              <w:t>Class A</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gridSpan w:val="2"/>
            <w:vMerge w:val="restart"/>
          </w:tcPr>
          <w:p>
            <w:pPr>
              <w:ind w:left="260"/>
              <w:spacing w:after="0" w:line="113" w:lineRule="exact"/>
              <w:rPr>
                <w:sz w:val="20"/>
                <w:szCs w:val="20"/>
                <w:color w:val="auto"/>
              </w:rPr>
            </w:pPr>
            <w:r>
              <w:rPr>
                <w:rFonts w:ascii="Times New Roman" w:cs="Times New Roman" w:eastAsia="Times New Roman" w:hAnsi="Times New Roman"/>
                <w:sz w:val="13"/>
                <w:szCs w:val="13"/>
                <w:color w:val="0000FF"/>
              </w:rPr>
              <w:t>04/20/2026</w:t>
            </w: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vMerge w:val="restart"/>
          </w:tcPr>
          <w:p>
            <w:pPr>
              <w:ind w:left="160"/>
              <w:spacing w:after="0" w:line="113" w:lineRule="exact"/>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ind w:left="340"/>
              <w:spacing w:after="0" w:line="113" w:lineRule="exact"/>
              <w:rPr>
                <w:sz w:val="20"/>
                <w:szCs w:val="20"/>
                <w:color w:val="auto"/>
              </w:rPr>
            </w:pPr>
            <w:r>
              <w:rPr>
                <w:rFonts w:ascii="Times New Roman" w:cs="Times New Roman" w:eastAsia="Times New Roman" w:hAnsi="Times New Roman"/>
                <w:sz w:val="13"/>
                <w:szCs w:val="13"/>
                <w:color w:val="0000FF"/>
                <w:w w:val="89"/>
              </w:rPr>
              <w:t>141,909</w:t>
            </w: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1360" w:type="dxa"/>
            <w:vAlign w:val="bottom"/>
            <w:gridSpan w:val="3"/>
            <w:vMerge w:val="restart"/>
          </w:tcPr>
          <w:p>
            <w:pPr>
              <w:ind w:left="100"/>
              <w:spacing w:after="0" w:line="11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13"/>
                <w:szCs w:val="13"/>
                <w:color w:val="0000FF"/>
              </w:rPr>
              <w:t>141,909</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gridSpan w:val="2"/>
            <w:vMerge w:val="restart"/>
          </w:tcPr>
          <w:p>
            <w:pPr>
              <w:ind w:left="100"/>
              <w:spacing w:after="0" w:line="113" w:lineRule="exact"/>
              <w:rPr>
                <w:sz w:val="20"/>
                <w:szCs w:val="20"/>
                <w:color w:val="auto"/>
              </w:rPr>
            </w:pPr>
            <w:r>
              <w:rPr>
                <w:rFonts w:ascii="Times New Roman" w:cs="Times New Roman" w:eastAsia="Times New Roman" w:hAnsi="Times New Roman"/>
                <w:sz w:val="13"/>
                <w:szCs w:val="13"/>
                <w:color w:val="0000FF"/>
              </w:rPr>
              <w:t>35,497,721</w:t>
            </w:r>
          </w:p>
        </w:tc>
        <w:tc>
          <w:tcPr>
            <w:tcW w:w="500" w:type="dxa"/>
            <w:vAlign w:val="bottom"/>
            <w:vMerge w:val="restart"/>
          </w:tcPr>
          <w:p>
            <w:pPr>
              <w:ind w:left="380"/>
              <w:spacing w:after="0" w:line="113" w:lineRule="exact"/>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gridSpan w:val="3"/>
          </w:tcPr>
          <w:p>
            <w:pPr>
              <w:ind w:left="60"/>
              <w:spacing w:after="0" w:line="51" w:lineRule="exact"/>
              <w:rPr>
                <w:sz w:val="20"/>
                <w:szCs w:val="20"/>
                <w:color w:val="auto"/>
              </w:rPr>
            </w:pPr>
            <w:r>
              <w:rPr>
                <w:rFonts w:ascii="Times New Roman" w:cs="Times New Roman" w:eastAsia="Times New Roman" w:hAnsi="Times New Roman"/>
                <w:sz w:val="5"/>
                <w:szCs w:val="5"/>
                <w:color w:val="0000FF"/>
              </w:rPr>
              <w:t>Units</w:t>
            </w:r>
          </w:p>
        </w:tc>
        <w:tc>
          <w:tcPr>
            <w:tcW w:w="70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Borders>
              <w:right w:val="single" w:sz="8" w:color="2C2C2C"/>
            </w:tcBorders>
            <w:gridSpan w:val="3"/>
          </w:tcPr>
          <w:p>
            <w:pPr>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Ghaffarian Kamal Seyed</w:t>
              </w:r>
            </w:hyperlink>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5937 SUNNYSLOPE DRIVE</w:t>
            </w: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NAPLES</w:t>
            </w:r>
          </w:p>
        </w:tc>
        <w:tc>
          <w:tcPr>
            <w:tcW w:w="70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34119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Ghaffarian Enterprises, LLC</w:t>
              </w:r>
            </w:hyperlink>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-3898900</wp:posOffset>
            </wp:positionV>
            <wp:extent cx="28575" cy="1728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72847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801 THOMPSON AVENUE</w:t>
      </w:r>
    </w:p>
    <w:p>
      <w:pPr>
        <w:sectPr>
          <w:pgSz w:w="11900" w:h="16838" w:orient="portrait"/>
          <w:cols w:equalWidth="0" w:num="1">
            <w:col w:w="11080"/>
          </w:cols>
          <w:pgMar w:left="460" w:top="215" w:right="359" w:bottom="0" w:gutter="0" w:footer="0" w:header="0"/>
          <w:type w:val="continuous"/>
        </w:sect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ROCKVILLE</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MD</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20852</w:t>
            </w:r>
          </w:p>
        </w:tc>
        <w:tc>
          <w:tcPr>
            <w:tcW w:w="80" w:type="dxa"/>
            <w:vAlign w:val="bottom"/>
          </w:tcPr>
          <w:p>
            <w:pPr>
              <w:spacing w:after="0"/>
              <w:rPr>
                <w:sz w:val="18"/>
                <w:szCs w:val="18"/>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0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GM Enterprises, LLC</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801 THOMPSON AVENUE</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ROCKVILLE</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MD</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20852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-1975485</wp:posOffset>
            </wp:positionV>
            <wp:extent cx="2807335" cy="2051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7335" cy="2051050"/>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p>
      <w:pPr>
        <w:spacing w:after="0" w:line="22" w:lineRule="exact"/>
        <w:rPr>
          <w:rFonts w:ascii="Times New Roman" w:cs="Times New Roman" w:eastAsia="Times New Roman" w:hAnsi="Times New Roman"/>
          <w:sz w:val="13"/>
          <w:szCs w:val="13"/>
          <w:color w:val="008000"/>
        </w:rPr>
      </w:pPr>
    </w:p>
    <w:p>
      <w:pPr>
        <w:ind w:left="20" w:right="4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represents (i) 2,241,121 Common Units and shares of Class C Common Stock held of record by GM Enterprises, LLC and (ii) (x) 33,256,600 Common Units and shares of Class C Common Stock and (y) 3,494,768 shares of Class A Common Stock held of record by Ghaffarian Enterprises, LLC.</w:t>
      </w:r>
    </w:p>
    <w:p>
      <w:pPr>
        <w:spacing w:after="0" w:line="22" w:lineRule="exact"/>
        <w:rPr>
          <w:rFonts w:ascii="Times New Roman" w:cs="Times New Roman" w:eastAsia="Times New Roman" w:hAnsi="Times New Roman"/>
          <w:sz w:val="13"/>
          <w:szCs w:val="13"/>
          <w:color w:val="008000"/>
        </w:rPr>
      </w:pPr>
    </w:p>
    <w:p>
      <w:pPr>
        <w:ind w:left="20" w:right="34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Kamal Ghaffarian is the sole managing member of GM Enterprises, LLC and is the sole trustee of a revocable trust that is the sole member of Ghaffarian Enterprises, LLC. As a result, Dr. Ghaffarian may be deemed to share beneficial ownership of the securities reported herein, but disclaims beneficial ownership except to the extent of his pecuniary interest therein.</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were effected pursuant to a Rule 10b5-1 plan adopted by Ghaffarian Enterprises, LLC on December 4, 2025.</w:t>
      </w:r>
    </w:p>
    <w:p>
      <w:pPr>
        <w:spacing w:after="0" w:line="39"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$27.25 to $28.24,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pacing w:after="0" w:line="24"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$28.25 to $29.24,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pacing w:after="0" w:line="24"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$29.26 to $29.88,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ectPr>
          <w:pgSz w:w="11900" w:h="16838" w:orient="portrait"/>
          <w:cols w:equalWidth="0" w:num="1">
            <w:col w:w="10880"/>
          </w:cols>
          <w:pgMar w:left="480" w:top="127" w:right="539" w:bottom="1440" w:gutter="0" w:footer="0" w:header="0"/>
        </w:sectPr>
      </w:pP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Kamal Ghaffarian,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28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Ghaffarian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16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Kamal Ghaffarian,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56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its sole member,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43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GM Enterprises,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1112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Kamal Ghaffarian, trustee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16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sole member,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07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700" w:space="80"/>
            <w:col w:w="2100"/>
          </w:cols>
          <w:pgMar w:left="480" w:top="127"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00" w:hanging="2"/>
        <w:spacing w:after="0" w:line="328"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3" Type="http://schemas.openxmlformats.org/officeDocument/2006/relationships/hyperlink" Target="http://www.sec.gov/cgi-bin/browse-edgar?action=getcompany&amp;CIK=0001963529" TargetMode="External"/><Relationship Id="rId14" Type="http://schemas.openxmlformats.org/officeDocument/2006/relationships/hyperlink" Target="http://www.sec.gov/cgi-bin/browse-edgar?action=getcompany&amp;CIK=0001844452" TargetMode="External"/><Relationship Id="rId16" Type="http://schemas.openxmlformats.org/officeDocument/2006/relationships/hyperlink" Target="http://www.sec.gov/cgi-bin/browse-edgar?action=getcompany&amp;CIK=0001965259" TargetMode="External"/><Relationship Id="rId18" Type="http://schemas.openxmlformats.org/officeDocument/2006/relationships/hyperlink" Target="http://www.sec.gov/cgi-bin/browse-edgar?action=getcompany&amp;CIK=000196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2026-04-22T16:39:46Z</dcterms:created>
  <dcterms:modified xsi:type="dcterms:W3CDTF">2026-04-22T16:39:46Z</dcterms:modified>
</cp:coreProperties>
</file>