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40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17, 2024</w:t>
            </w:r>
          </w:p>
        </w:tc>
        <w:tc>
          <w:tcPr>
            <w:tcW w:w="2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3"/>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INTUITIVE MACHINES, INC.</w:t>
            </w: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6"/>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001-40823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36-5056189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760" w:type="dxa"/>
            <w:vAlign w:val="bottom"/>
            <w:tcBorders>
              <w:top w:val="single" w:sz="8" w:color="auto"/>
            </w:tcBorders>
          </w:tcPr>
          <w:p>
            <w:pPr>
              <w:jc w:val="center"/>
              <w:ind w:left="590"/>
              <w:spacing w:after="0" w:line="16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Borders>
              <w:top w:val="single" w:sz="8" w:color="auto"/>
            </w:tcBorders>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gridSpan w:val="3"/>
          </w:tcPr>
          <w:p>
            <w:pPr>
              <w:jc w:val="center"/>
              <w:ind w:right="760"/>
              <w:spacing w:after="0" w:line="16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of Incorporation)</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94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80"/>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160" w:type="dxa"/>
            <w:vAlign w:val="bottom"/>
            <w:gridSpan w:val="8"/>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13467 Columbia Shuttle Street</w:t>
            </w: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4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2840" w:type="dxa"/>
            <w:vAlign w:val="bottom"/>
          </w:tcPr>
          <w:p>
            <w:pPr>
              <w:jc w:val="right"/>
              <w:ind w:right="1950"/>
              <w:spacing w:after="0"/>
              <w:rPr>
                <w:sz w:val="20"/>
                <w:szCs w:val="20"/>
                <w:color w:val="auto"/>
              </w:rPr>
            </w:pPr>
            <w:r>
              <w:rPr>
                <w:rFonts w:ascii="Times New Roman" w:cs="Times New Roman" w:eastAsia="Times New Roman" w:hAnsi="Times New Roman"/>
                <w:sz w:val="18"/>
                <w:szCs w:val="18"/>
                <w:b w:val="1"/>
                <w:bCs w:val="1"/>
                <w:color w:val="auto"/>
              </w:rPr>
              <w:t>77059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3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0" w:type="dxa"/>
            <w:vAlign w:val="bottom"/>
          </w:tcPr>
          <w:p>
            <w:pPr>
              <w:spacing w:after="0"/>
              <w:rPr>
                <w:sz w:val="19"/>
                <w:szCs w:val="19"/>
                <w:color w:val="auto"/>
              </w:rPr>
            </w:pPr>
          </w:p>
        </w:tc>
        <w:tc>
          <w:tcPr>
            <w:tcW w:w="1760" w:type="dxa"/>
            <w:vAlign w:val="bottom"/>
            <w:tcBorders>
              <w:top w:val="single" w:sz="8" w:color="auto"/>
            </w:tcBorders>
            <w:gridSpan w:val="3"/>
          </w:tcPr>
          <w:p>
            <w:pPr>
              <w:spacing w:after="0"/>
              <w:rPr>
                <w:sz w:val="19"/>
                <w:szCs w:val="19"/>
                <w:color w:val="auto"/>
              </w:rPr>
            </w:pPr>
          </w:p>
        </w:tc>
        <w:tc>
          <w:tcPr>
            <w:tcW w:w="2900" w:type="dxa"/>
            <w:vAlign w:val="bottom"/>
            <w:tcBorders>
              <w:top w:val="single" w:sz="8" w:color="auto"/>
            </w:tcBorders>
            <w:gridSpan w:val="2"/>
          </w:tcPr>
          <w:p>
            <w:pPr>
              <w:jc w:val="center"/>
              <w:ind w:right="1760"/>
              <w:spacing w:after="0"/>
              <w:rPr>
                <w:sz w:val="20"/>
                <w:szCs w:val="20"/>
                <w:color w:val="auto"/>
              </w:rPr>
            </w:pPr>
            <w:r>
              <w:rPr>
                <w:rFonts w:ascii="Times New Roman" w:cs="Times New Roman" w:eastAsia="Times New Roman" w:hAnsi="Times New Roman"/>
                <w:sz w:val="18"/>
                <w:szCs w:val="18"/>
                <w:color w:val="auto"/>
                <w:w w:val="97"/>
              </w:rPr>
              <w:t>(Zip code)</w:t>
            </w:r>
          </w:p>
        </w:tc>
        <w:tc>
          <w:tcPr>
            <w:tcW w:w="40" w:type="dxa"/>
            <w:vAlign w:val="bottom"/>
          </w:tcPr>
          <w:p>
            <w:pPr>
              <w:spacing w:after="0"/>
              <w:rPr>
                <w:sz w:val="19"/>
                <w:szCs w:val="19"/>
                <w:color w:val="auto"/>
              </w:rPr>
            </w:pPr>
          </w:p>
        </w:tc>
      </w:tr>
      <w:tr>
        <w:trPr>
          <w:trHeight w:val="765"/>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(281) 520-3703</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20" w:type="dxa"/>
            <w:vAlign w:val="bottom"/>
            <w:gridSpan w:val="6"/>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4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32"/>
        </w:trPr>
        <w:tc>
          <w:tcPr>
            <w:tcW w:w="5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5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LUNR</w:t>
            </w:r>
          </w:p>
        </w:tc>
        <w:tc>
          <w:tcPr>
            <w:tcW w:w="10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75"/>
        </w:trPr>
        <w:tc>
          <w:tcPr>
            <w:tcW w:w="54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 at an</w:t>
            </w:r>
          </w:p>
        </w:tc>
        <w:tc>
          <w:tcPr>
            <w:tcW w:w="23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LUNRW</w:t>
            </w:r>
          </w:p>
        </w:tc>
        <w:tc>
          <w:tcPr>
            <w:tcW w:w="3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r>
    </w:tbl>
    <w:p>
      <w:pPr>
        <w:spacing w:after="0" w:line="26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1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September 17, 2024, the Company announced that NASA has awarded the Company a Near Space Network (“NSN”) contract for communication and navigation services for missions in the near space region, which extends from Earth’s surface to beyond the Moon.</w:t>
      </w:r>
    </w:p>
    <w:p>
      <w:pPr>
        <w:spacing w:after="0" w:line="18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NSN contract is a new Firm-Fixed-Price, Multiple Award, Indefinite-Delivery/Indefinite-Quantity (“IDIQ”) Task Order Contract.</w:t>
      </w:r>
    </w:p>
    <w:p>
      <w:pPr>
        <w:spacing w:after="0" w:line="2"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NSN contract has a base period of five years with an additional five-year option period, with a maximum potential value of $4.82 billion.</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NSN contract award includes incrementally funded Task Orders totaling $150 million.</w:t>
      </w:r>
    </w:p>
    <w:p>
      <w:pPr>
        <w:ind w:left="660" w:right="20" w:hanging="328"/>
        <w:spacing w:after="0" w:line="24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performance begins Tuesday, October 1, 2024, through September 30, 2029, with the option period potentially extending the contract through September 30, 2034.</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copy of the press release is attached to this Current Report as Exhibit 99.1 and is incorporated in this Item 7.01 by reference. The information in this Item 7.01 (including Exhibit 99.1) shall not be deemed “filed” for purposes of Section 18 of the Exchange Act or otherwise subject to the liabilities under that Section and shall not be deemed to be incorporated by reference into any filing of the Company under the Securities Act or the Exchange Act, except as expressly set forth by specific reference in such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September 17, 2024, the Company announced that NASA has awarded the Company a Near Space Network (“NSN”) contract for communication and navigation services for missions in the near space region, which extends from Earth’s surface to beyond the Moon.</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NSN contract is a new Firm-Fixed-Price, Multiple Award, Indefinite-Delivery/Indefinite-Quantity (“IDIQ”) Task Order Contract.</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NSN contract has a base period of five years with an additional five-year option period, with a maximum potential value of $4.82 billion.</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NSN contract award includes incrementally funded Task Orders totaling $150 million.</w:t>
      </w:r>
    </w:p>
    <w:p>
      <w:pPr>
        <w:ind w:left="660" w:right="20" w:hanging="328"/>
        <w:spacing w:after="0" w:line="24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performance begins Tuesday, October 1, 2024, through September 30, 2029, with the option period potentially extending the contract through September 30, 2034.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This Current Report on Form 8-K includes information that may constitute forward-looking statements. These forward-looking statements are based on the Company’s current beliefs, assumptions and expectations regarding future events, which in turn are based on information currently available to the Company. By their nature, forward-looking statements address matters that are subject to risks and uncertainties. Forward looking statements include, without limitation, statements relating to projected contract values. A variety of factors could cause actual events and results, as well as the Company’s expectations, to differ materially from those expressed in or contemplated by the forward-looking statements. Risk factors affecting the Company are discussed in detail in the Company’s filings with the Securities and Exchange Commission. The Company undertakes no obligation to publicly update or revise any forward-looking statement, whether as a result of new information, future events or otherwise, except to the extent required by applicable securities laws.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480"/>
        <w:spacing w:after="0"/>
        <w:tabs>
          <w:tab w:leader="none" w:pos="13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September 17, 2024</w:t>
      </w:r>
    </w:p>
    <w:p>
      <w:pPr>
        <w:spacing w:after="0" w:line="27" w:lineRule="exact"/>
        <w:rPr>
          <w:sz w:val="20"/>
          <w:szCs w:val="20"/>
          <w:color w:val="auto"/>
        </w:rPr>
      </w:pPr>
    </w:p>
    <w:p>
      <w:pPr>
        <w:ind w:left="1380" w:hanging="873"/>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17, 2024</w:t>
            </w:r>
          </w:p>
        </w:tc>
        <w:tc>
          <w:tcPr>
            <w:tcW w:w="750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INTUITIVE MACHINES, INC.</w:t>
            </w:r>
          </w:p>
        </w:tc>
      </w:tr>
      <w:tr>
        <w:trPr>
          <w:trHeight w:val="391"/>
        </w:trPr>
        <w:tc>
          <w:tcPr>
            <w:tcW w:w="3720" w:type="dxa"/>
            <w:vAlign w:val="bottom"/>
          </w:tcPr>
          <w:p>
            <w:pPr>
              <w:spacing w:after="0"/>
              <w:rPr>
                <w:sz w:val="24"/>
                <w:szCs w:val="24"/>
                <w:color w:val="auto"/>
              </w:rPr>
            </w:pPr>
          </w:p>
        </w:tc>
        <w:tc>
          <w:tcPr>
            <w:tcW w:w="750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    /s/ Stephen J. Altemus</w:t>
            </w:r>
          </w:p>
        </w:tc>
      </w:tr>
      <w:tr>
        <w:trPr>
          <w:trHeight w:val="218"/>
        </w:trPr>
        <w:tc>
          <w:tcPr>
            <w:tcW w:w="3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Stephen J. Altemus</w:t>
            </w:r>
          </w:p>
        </w:tc>
      </w:tr>
      <w:tr>
        <w:trPr>
          <w:trHeight w:val="234"/>
        </w:trPr>
        <w:tc>
          <w:tcPr>
            <w:tcW w:w="3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904"/>
        </w:trPr>
        <w:tc>
          <w:tcPr>
            <w:tcW w:w="3720" w:type="dxa"/>
            <w:vAlign w:val="bottom"/>
          </w:tcPr>
          <w:p>
            <w:pPr>
              <w:spacing w:after="0"/>
              <w:rPr>
                <w:sz w:val="24"/>
                <w:szCs w:val="24"/>
                <w:color w:val="auto"/>
              </w:rPr>
            </w:pPr>
          </w:p>
        </w:tc>
        <w:tc>
          <w:tcPr>
            <w:tcW w:w="308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w:t>
            </w:r>
          </w:p>
        </w:tc>
        <w:tc>
          <w:tcPr>
            <w:tcW w:w="4420" w:type="dxa"/>
            <w:vAlign w:val="bottom"/>
          </w:tcPr>
          <w:p>
            <w:pPr>
              <w:spacing w:after="0"/>
              <w:rPr>
                <w:sz w:val="24"/>
                <w:szCs w:val="24"/>
                <w:color w:val="auto"/>
              </w:rPr>
            </w:pPr>
          </w:p>
        </w:tc>
      </w:tr>
    </w:tbl>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NASA Awards Intuitive Machines Near Space Network Contract with a Maximum Potential Value of $4.82 Billion</w:t>
      </w:r>
    </w:p>
    <w:p>
      <w:pPr>
        <w:spacing w:after="0" w:line="200" w:lineRule="exact"/>
        <w:rPr>
          <w:sz w:val="20"/>
          <w:szCs w:val="20"/>
          <w:color w:val="auto"/>
        </w:rPr>
      </w:pPr>
    </w:p>
    <w:p>
      <w:pPr>
        <w:spacing w:after="0" w:line="268" w:lineRule="exact"/>
        <w:rPr>
          <w:sz w:val="20"/>
          <w:szCs w:val="20"/>
          <w:color w:val="auto"/>
        </w:rPr>
      </w:pPr>
    </w:p>
    <w:p>
      <w:pPr>
        <w:ind w:right="50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HOUSTON, TX – September 17, 2024 </w:t>
      </w:r>
      <w:r>
        <w:rPr>
          <w:rFonts w:ascii="Times New Roman" w:cs="Times New Roman" w:eastAsia="Times New Roman" w:hAnsi="Times New Roman"/>
          <w:sz w:val="18"/>
          <w:szCs w:val="18"/>
          <w:color w:val="auto"/>
        </w:rPr>
        <w:t>– Intuitive Machines, Inc. (Nasdaq: LUNR, LUNRW) (“Intuitive Machines”) (“Company”), a leading 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exploration, infrastructure, and services company, today announced NASA has awarded the Company a Near Space Network (“NSN”) contract for communication and navigation services for missions in the near space region, which extends from Earth’s surface to beyond the Moon.</w:t>
      </w:r>
    </w:p>
    <w:p>
      <w:pPr>
        <w:spacing w:after="0" w:line="194"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This Subcategory 2.2 Geostationary Orbit to Cislunar Relay Services is a new Firm-Fixed-Price, Multiple Award, Indefinite-Delivery/Indefinite-Quantity (“IDIQ”) Task Order Contract. The contract has a base period of five years with an additional five-year option period, with a maximum potential value of $4.82 billion. The incrementally funded base ordering period begins Tuesday, October 1, 2024, through September 30, 2029, with the option period potentially extending the contract through September 30, 2034.</w:t>
      </w:r>
    </w:p>
    <w:p>
      <w:pPr>
        <w:spacing w:after="0" w:line="19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“This contract marks an inflection point in Intuitive Machines’ leadership in space communications and navigation,” said Intuitive Machines CEO Steve Altemus. “We’re pleased to partner with NASA, as one team, to support the Artemis campaign and endeavors to expand the lunar economy.”</w:t>
      </w:r>
    </w:p>
    <w:p>
      <w:pPr>
        <w:spacing w:after="0" w:line="203"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A key highlight of this contract is the debut of Intuitive Machines’ lunar satellite constellation, a service the Company believes is a strategic element in its vision to commercialize lunar activities. The constellation will provide enhanced data and transmission services and autonomous operations, creating a robust infrastructure in line with Intuitive Machines’ three pillars to commercialize a celestial body.</w:t>
      </w:r>
    </w:p>
    <w:p>
      <w:pPr>
        <w:spacing w:after="0" w:line="19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Scaling lunar lander capabilities to support cargo and infrastructure delivery.</w:t>
      </w:r>
    </w:p>
    <w:p>
      <w:pPr>
        <w:spacing w:after="0" w:line="15" w:lineRule="exact"/>
        <w:rPr>
          <w:rFonts w:ascii="Times New Roman" w:cs="Times New Roman" w:eastAsia="Times New Roman" w:hAnsi="Times New Roman"/>
          <w:sz w:val="18"/>
          <w:szCs w:val="18"/>
          <w:color w:val="auto"/>
        </w:rPr>
      </w:pPr>
    </w:p>
    <w:p>
      <w:pPr>
        <w:ind w:left="660" w:right="140" w:hanging="328"/>
        <w:spacing w:after="0" w:line="21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Transmission Services: Establishing a network of satellites capable of delivering 4K resolution video data and navigation services, assisting in landing site selection and resource prospecting.</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Autonomous Operations: Developing infrastructure, logistics, and mapping solutions on the Moon to facilitate exploration and operations.</w:t>
      </w:r>
    </w:p>
    <w:p>
      <w:pPr>
        <w:spacing w:after="0" w:line="20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part of this contract, the Company will deploy lunar relay satellites and provide communication and navigation services that play an essential role in NASA’s Artemis campaign to establish a long-term presence on the Moon.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Intuitive Machines</w:t>
      </w:r>
    </w:p>
    <w:p>
      <w:pPr>
        <w:spacing w:after="0" w:line="243"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Intuitive Machines is a diversified space exploration, infrastructure, and services company focused on fundamentally disrupting lunar access economics. In 2024, Intuitive Machines successfully landed the Company’s Nova-C class lunar lander, Odysseus, on the Moon, returning the United States to the lunar surface for the first time since 1972. The Company’s products and services are offered through its four in-space business units: Lunar Access Services, Orbital Services, Lunar Data Services, and Space Products and Infrastructure. For more information, please visit intuitivemachines.com.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91818"/>
        </w:rPr>
        <w:t>Contacts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91818"/>
        </w:rPr>
        <w:t>For investor inquiries: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E32E1"/>
        </w:rPr>
        <w:t>investors@intuitivemachines.com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91818"/>
        </w:rPr>
        <w:t>For media inquiries: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E32E1"/>
        </w:rPr>
        <w:t>press@intuitivemachines.com</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as amended. These statements that do not relate to matters of historical fact should be considered forward looking. These forward-looking statements generally are identified by the words such as “anticipate,” “believe,” “continue,” “could,” “estimate,” “expect,” “intend,” “may,” “might,” “plan,” “possible,” “potential,” “predict,” “project,” “should,” “strive,” “would,” “strategy,” “outlook,” the negative of these words or other similar expressions, but the absence of these words does not mean that a statement is not forward-looking. These forward-looking statements include but are not limited to statements regarding: our expectations regarding revenue for government contracts awarded to us; our operations, our financial performance and our industry; our business strategy, business plan, and plans to drive long-term sustainable shareholder value; information regarding our expectations on revenue generation and cash.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w:t>
      </w:r>
    </w:p>
    <w:p>
      <w:pPr>
        <w:sectPr>
          <w:pgSz w:w="11900" w:h="16838" w:orient="portrait"/>
          <w:cols w:equalWidth="0" w:num="1">
            <w:col w:w="11240"/>
          </w:cols>
          <w:pgMar w:left="320" w:top="1049" w:right="339" w:bottom="1440" w:gutter="0" w:footer="0" w:header="0"/>
        </w:sectPr>
      </w:pPr>
    </w:p>
    <w:bookmarkStart w:id="4" w:name="page5"/>
    <w:bookmarkEnd w:id="4"/>
    <w:p>
      <w:pPr>
        <w:spacing w:after="0" w:line="230" w:lineRule="auto"/>
        <w:rPr>
          <w:sz w:val="20"/>
          <w:szCs w:val="20"/>
          <w:color w:val="auto"/>
        </w:rPr>
      </w:pPr>
      <w:r>
        <w:rPr>
          <w:rFonts w:ascii="Times New Roman" w:cs="Times New Roman" w:eastAsia="Times New Roman" w:hAnsi="Times New Roman"/>
          <w:sz w:val="18"/>
          <w:szCs w:val="18"/>
          <w:color w:val="auto"/>
        </w:rPr>
        <w:t xml:space="preserve">statements. The following important factors and uncertainties, among others, could cause actual outcomes or results to differ materially from those indicated by the forward-looking statements in this press release: our factors detailed under the section titled Part I, Item 1A. Risk Factors of our Annual Report on Form 10-K for the fiscal year ended December 31, 2023 filed with the Securities and Exchange Commission (the “SEC”), the section titled Part I, Item 2, Management’s Discussion and Analysis of Financial Condition and Results of Operations and the section titled Part II. Item 1A. “Risk Factors” in our most recently filed Quarterly Report on Form 10-Q, and in our subsequent filings with the SEC, which are accessible on the SEC's website at </w:t>
      </w:r>
      <w:r>
        <w:rPr>
          <w:rFonts w:ascii="Times New Roman" w:cs="Times New Roman" w:eastAsia="Times New Roman" w:hAnsi="Times New Roman"/>
          <w:sz w:val="18"/>
          <w:szCs w:val="18"/>
          <w:color w:val="0000FF"/>
        </w:rPr>
        <w:t>www.sec.gov</w:t>
      </w:r>
      <w:r>
        <w:rPr>
          <w:rFonts w:ascii="Times New Roman" w:cs="Times New Roman" w:eastAsia="Times New Roman" w:hAnsi="Times New Roman"/>
          <w:sz w:val="18"/>
          <w:szCs w:val="18"/>
          <w:color w:val="000000"/>
        </w:rPr>
        <w:t>.</w:t>
      </w:r>
    </w:p>
    <w:sectPr>
      <w:pgSz w:w="11900" w:h="16838" w:orient="portrait"/>
      <w:cols w:equalWidth="0" w:num="1">
        <w:col w:w="11240"/>
      </w:cols>
      <w:pgMar w:left="320" w:top="8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0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2024-09-17T15:51:29Z</dcterms:created>
  <dcterms:modified xsi:type="dcterms:W3CDTF">2024-09-17T15:51:29Z</dcterms:modified>
</cp:coreProperties>
</file>