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November 18, 2024</w:t>
      </w:r>
    </w:p>
    <w:p>
      <w:pPr>
        <w:spacing w:after="0" w:line="1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333-271015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jc w:val="center"/>
        <w:spacing w:after="0"/>
        <w:rPr>
          <w:sz w:val="20"/>
          <w:szCs w:val="20"/>
          <w:color w:val="auto"/>
        </w:rPr>
      </w:pPr>
      <w:r>
        <w:rPr>
          <w:rFonts w:ascii="Times New Roman" w:cs="Times New Roman" w:eastAsia="Times New Roman" w:hAnsi="Times New Roman"/>
          <w:sz w:val="20"/>
          <w:szCs w:val="20"/>
          <w:b w:val="1"/>
          <w:bCs w:val="1"/>
          <w:color w:val="auto"/>
        </w:rPr>
        <w:t>POST EFFECTIVE AMENDMENT NO. 1 TO FORM S-1 REGISTRATION STATEMENT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INTUITIVE MACHINES,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129" w:lineRule="exact"/>
        <w:rPr>
          <w:sz w:val="24"/>
          <w:szCs w:val="24"/>
          <w:color w:val="auto"/>
        </w:rPr>
      </w:pPr>
    </w:p>
    <w:tbl>
      <w:tblPr>
        <w:tblLayout w:type="fixed"/>
        <w:tblInd w:w="220" w:type="dxa"/>
        <w:tblCellMar>
          <w:top w:w="0" w:type="dxa"/>
          <w:left w:w="0" w:type="dxa"/>
          <w:bottom w:w="0" w:type="dxa"/>
          <w:right w:w="0" w:type="dxa"/>
        </w:tblCellMar>
      </w:tblPr>
      <w:tr>
        <w:trPr>
          <w:trHeight w:val="215"/>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00" w:type="dxa"/>
            <w:vAlign w:val="bottom"/>
          </w:tcPr>
          <w:p>
            <w:pPr>
              <w:jc w:val="right"/>
              <w:ind w:right="1702"/>
              <w:spacing w:after="0"/>
              <w:rPr>
                <w:sz w:val="20"/>
                <w:szCs w:val="20"/>
                <w:color w:val="auto"/>
              </w:rPr>
            </w:pPr>
            <w:r>
              <w:rPr>
                <w:rFonts w:ascii="Times New Roman" w:cs="Times New Roman" w:eastAsia="Times New Roman" w:hAnsi="Times New Roman"/>
                <w:sz w:val="16"/>
                <w:szCs w:val="16"/>
                <w:b w:val="1"/>
                <w:bCs w:val="1"/>
                <w:color w:val="auto"/>
              </w:rPr>
              <w:t>3760</w:t>
            </w: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36-5056189</w:t>
            </w:r>
          </w:p>
        </w:tc>
      </w:tr>
      <w:tr>
        <w:trPr>
          <w:trHeight w:val="134"/>
        </w:trPr>
        <w:tc>
          <w:tcPr>
            <w:tcW w:w="334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1"/>
                <w:szCs w:val="11"/>
                <w:color w:val="auto"/>
              </w:rPr>
            </w:pPr>
          </w:p>
        </w:tc>
        <w:tc>
          <w:tcPr>
            <w:tcW w:w="390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100" w:type="dxa"/>
            <w:vAlign w:val="bottom"/>
          </w:tcPr>
          <w:p>
            <w:pPr>
              <w:spacing w:after="0"/>
              <w:rPr>
                <w:sz w:val="11"/>
                <w:szCs w:val="11"/>
                <w:color w:val="auto"/>
              </w:rPr>
            </w:pPr>
          </w:p>
        </w:tc>
        <w:tc>
          <w:tcPr>
            <w:tcW w:w="33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2"/>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13467 Columbia Shuttle Street</w:t>
            </w:r>
          </w:p>
        </w:tc>
        <w:tc>
          <w:tcPr>
            <w:tcW w:w="3360" w:type="dxa"/>
            <w:vAlign w:val="bottom"/>
          </w:tcPr>
          <w:p>
            <w:pPr>
              <w:spacing w:after="0"/>
              <w:rPr>
                <w:sz w:val="24"/>
                <w:szCs w:val="24"/>
                <w:color w:val="auto"/>
              </w:rPr>
            </w:pPr>
          </w:p>
        </w:tc>
      </w:tr>
      <w:tr>
        <w:trPr>
          <w:trHeight w:val="243"/>
        </w:trPr>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Houston, Texas 77059</w:t>
            </w:r>
          </w:p>
        </w:tc>
        <w:tc>
          <w:tcPr>
            <w:tcW w:w="3360" w:type="dxa"/>
            <w:vAlign w:val="bottom"/>
          </w:tcPr>
          <w:p>
            <w:pPr>
              <w:spacing w:after="0"/>
              <w:rPr>
                <w:sz w:val="21"/>
                <w:szCs w:val="21"/>
                <w:color w:val="auto"/>
              </w:rPr>
            </w:pPr>
          </w:p>
        </w:tc>
      </w:tr>
      <w:tr>
        <w:trPr>
          <w:trHeight w:val="243"/>
        </w:trPr>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00" w:type="dxa"/>
            <w:vAlign w:val="bottom"/>
          </w:tcPr>
          <w:p>
            <w:pPr>
              <w:jc w:val="right"/>
              <w:ind w:right="1362"/>
              <w:spacing w:after="0"/>
              <w:rPr>
                <w:sz w:val="20"/>
                <w:szCs w:val="20"/>
                <w:color w:val="auto"/>
              </w:rPr>
            </w:pPr>
            <w:r>
              <w:rPr>
                <w:rFonts w:ascii="Times New Roman" w:cs="Times New Roman" w:eastAsia="Times New Roman" w:hAnsi="Times New Roman"/>
                <w:sz w:val="16"/>
                <w:szCs w:val="16"/>
                <w:b w:val="1"/>
                <w:bCs w:val="1"/>
                <w:color w:val="auto"/>
              </w:rPr>
              <w:t>(281) 520-3703</w:t>
            </w:r>
          </w:p>
        </w:tc>
        <w:tc>
          <w:tcPr>
            <w:tcW w:w="100" w:type="dxa"/>
            <w:vAlign w:val="bottom"/>
          </w:tcPr>
          <w:p>
            <w:pPr>
              <w:spacing w:after="0"/>
              <w:rPr>
                <w:sz w:val="21"/>
                <w:szCs w:val="21"/>
                <w:color w:val="auto"/>
              </w:rPr>
            </w:pPr>
          </w:p>
        </w:tc>
        <w:tc>
          <w:tcPr>
            <w:tcW w:w="3360" w:type="dxa"/>
            <w:vAlign w:val="bottom"/>
          </w:tcPr>
          <w:p>
            <w:pPr>
              <w:spacing w:after="0"/>
              <w:rPr>
                <w:sz w:val="21"/>
                <w:szCs w:val="21"/>
                <w:color w:val="auto"/>
              </w:rPr>
            </w:pPr>
          </w:p>
        </w:tc>
      </w:tr>
    </w:tbl>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4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Anna Chiara Jones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Counsel and Corporate Secretary</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3700 Bay Area Blvd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Houston, TX 77058</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(281) 520-3703</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2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6"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This post-effective amendment is being filed to deregister all of the unsold securities previously registered under the Registration Statement.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Wingdings" w:cs="Wingdings" w:eastAsia="Wingdings" w:hAnsi="Wingdings"/>
          <w:sz w:val="14"/>
          <w:szCs w:val="14"/>
          <w:b w:val="1"/>
          <w:bCs w:val="1"/>
          <w:color w:val="auto"/>
        </w:rPr>
        <w:t>x</w:t>
      </w:r>
    </w:p>
    <w:p>
      <w:pPr>
        <w:spacing w:after="0" w:line="15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cs="Wingdings" w:eastAsia="Wingdings" w:hAnsi="Wingdings"/>
          <w:sz w:val="14"/>
          <w:szCs w:val="14"/>
          <w:b w:val="1"/>
          <w:bCs w:val="1"/>
          <w:color w:val="auto"/>
        </w:rPr>
        <w:t>o</w:t>
      </w:r>
    </w:p>
    <w:p>
      <w:pPr>
        <w:spacing w:after="0" w:line="81" w:lineRule="exact"/>
        <w:rPr>
          <w:sz w:val="24"/>
          <w:szCs w:val="24"/>
          <w:color w:val="auto"/>
        </w:rPr>
      </w:pPr>
    </w:p>
    <w:p>
      <w:pPr>
        <w:ind w:right="160"/>
        <w:spacing w:after="0" w:line="302"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cs="Wingdings" w:eastAsia="Wingdings" w:hAnsi="Wingdings"/>
          <w:sz w:val="14"/>
          <w:szCs w:val="14"/>
          <w:b w:val="1"/>
          <w:bCs w:val="1"/>
          <w:color w:val="auto"/>
        </w:rPr>
        <w:t>o</w:t>
      </w:r>
    </w:p>
    <w:p>
      <w:pPr>
        <w:spacing w:after="0" w:line="94" w:lineRule="exact"/>
        <w:rPr>
          <w:sz w:val="24"/>
          <w:szCs w:val="24"/>
          <w:color w:val="auto"/>
        </w:rPr>
      </w:pPr>
    </w:p>
    <w:p>
      <w:pPr>
        <w:ind w:right="140"/>
        <w:spacing w:after="0" w:line="322"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cs="Wingdings" w:eastAsia="Wingdings" w:hAnsi="Wingdings"/>
          <w:sz w:val="14"/>
          <w:szCs w:val="14"/>
          <w:b w:val="1"/>
          <w:bCs w:val="1"/>
          <w:color w:val="auto"/>
        </w:rPr>
        <w:t>o</w:t>
      </w:r>
    </w:p>
    <w:p>
      <w:pPr>
        <w:spacing w:after="0" w:line="6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9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20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Accelerated filer</w:t>
            </w:r>
          </w:p>
        </w:tc>
        <w:tc>
          <w:tcPr>
            <w:tcW w:w="200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31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200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00" w:type="dxa"/>
            <w:vAlign w:val="bottom"/>
          </w:tcPr>
          <w:p>
            <w:pPr>
              <w:jc w:val="right"/>
              <w:spacing w:after="0"/>
              <w:rPr>
                <w:sz w:val="20"/>
                <w:szCs w:val="20"/>
                <w:color w:val="auto"/>
              </w:rPr>
            </w:pPr>
            <w:r>
              <w:rPr>
                <w:rFonts w:ascii="Wingdings" w:cs="Wingdings" w:eastAsia="Wingdings" w:hAnsi="Wingdings"/>
                <w:sz w:val="14"/>
                <w:szCs w:val="14"/>
                <w:b w:val="1"/>
                <w:bCs w:val="1"/>
                <w:color w:val="auto"/>
              </w:rPr>
              <w:t>x</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00" w:type="dxa"/>
            <w:vAlign w:val="bottom"/>
            <w:vMerge w:val="restart"/>
          </w:tcPr>
          <w:p>
            <w:pPr>
              <w:jc w:val="right"/>
              <w:spacing w:after="0"/>
              <w:rPr>
                <w:sz w:val="20"/>
                <w:szCs w:val="20"/>
                <w:color w:val="auto"/>
              </w:rPr>
            </w:pPr>
            <w:r>
              <w:rPr>
                <w:rFonts w:ascii="Wingdings" w:cs="Wingdings" w:eastAsia="Wingdings" w:hAnsi="Wingdings"/>
                <w:sz w:val="14"/>
                <w:szCs w:val="14"/>
                <w:b w:val="1"/>
                <w:bCs w:val="1"/>
                <w:color w:val="auto"/>
              </w:rPr>
              <w:t>x</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 - DEREGISTRATION OF SECURITIES</w:t>
      </w:r>
    </w:p>
    <w:p>
      <w:pPr>
        <w:spacing w:after="0" w:line="233"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9"/>
          <w:szCs w:val="19"/>
          <w:color w:val="auto"/>
        </w:rPr>
        <w:t>This Post-Effective Amendment No. 1 (this “Post-Effective Amendment No. 1”) relates to the Registration Statement on Form S-1 (No. 333-271015) (the “Registration Statement”), previously filed by Intuitive Machines, Inc. (the “Registrant”) with the Securities and Exchange Commission (the “SEC”) on March 31, 2023, as amended by Amendment No. 1 to the Registration Statement, previously filed by the Registrant with the SEC on June 5, 2023, and as further amended by Amendment No. 2 to the Registration Statement, previously filed with the SEC on June 29, 2023, to register up to 4,885,057 shares of class A common stock par value $0.0001 per share (“Common Stock”), that the Registrant had the election to issue and sell to CF Principal Investments LLC, a Delaware limited liability company (“Cantor”), from time to time, pursuant to the common stock purchase agreement, dated as of September 16, 2022, by and between the Registrant and Cantor (as amended or supplemented from time to time, the “Purchase Agreement”). This Post-Effective Amendment No. 1 is being filed to deregister any and all securities that remain unsold or otherwise unissued as of the date hereof under the Registration Statement.</w:t>
      </w:r>
    </w:p>
    <w:p>
      <w:pPr>
        <w:spacing w:after="0" w:line="19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20"/>
          <w:szCs w:val="20"/>
          <w:color w:val="auto"/>
        </w:rPr>
        <w:t>Effective September 1, 2024, the Purchase Agreement has been automatically terminated in accordance with its terms (the “Termination”). As a result of the Termination, the Registrant has terminated any and all offers and sales of its securities registered pursuant to the Registration Statement and is deregistering the remaining securities (the “Securities”) registered but unsold as of the Termination under the Registration Statement, if any. In accordance with an undertaking made by the Registrant in the Registration Statement to remove from registration, by means of a post-effective amendment, any of the Securities that had been registered for issuance under the Registration Statement that remain unsold at the termination of the offering, the Registrant hereby removes from registration any and all such Securities registered but unsold as of the date of this Post-Effective Amendment No. 1. The Registration Statement is amended, as appropriate, to reflect the deregistration of the Securities as of the date of this Post-Effective Amendment No. 1.</w:t>
      </w:r>
    </w:p>
    <w:p>
      <w:pPr>
        <w:sectPr>
          <w:pgSz w:w="11900" w:h="16838" w:orient="portrait"/>
          <w:cols w:equalWidth="0" w:num="1">
            <w:col w:w="11240"/>
          </w:cols>
          <w:pgMar w:left="320" w:top="14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20"/>
          <w:szCs w:val="20"/>
          <w:color w:val="auto"/>
        </w:rPr>
        <w:t>Pursuant to the requirements of the U.S. Securities Act of 1933, as amended, the Registrant certifies that it has reasonable grounds to believe that it meets all of the requirements for filing on Form S-1 and has duly caused this Post-Effective Amendment No. 1 to the Registration Statement described above to be signed on its behalf by the undersigned, thereunto duly authorized, in the City of Houston, State of Texas, on November 18 , 2024.</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INTUITIVE MACHINES, INC.</w:t>
      </w:r>
    </w:p>
    <w:p>
      <w:pPr>
        <w:spacing w:after="0" w:line="287" w:lineRule="exact"/>
        <w:rPr>
          <w:sz w:val="20"/>
          <w:szCs w:val="20"/>
          <w:color w:val="auto"/>
        </w:rPr>
      </w:pPr>
    </w:p>
    <w:tbl>
      <w:tblPr>
        <w:tblLayout w:type="fixed"/>
        <w:tblInd w:w="3920" w:type="dxa"/>
        <w:tblCellMar>
          <w:top w:w="0" w:type="dxa"/>
          <w:left w:w="0" w:type="dxa"/>
          <w:bottom w:w="0" w:type="dxa"/>
          <w:right w:w="0" w:type="dxa"/>
        </w:tblCellMar>
      </w:tblPr>
      <w:tr>
        <w:trPr>
          <w:trHeight w:val="259"/>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Anna Chiara Jones</w:t>
            </w:r>
          </w:p>
        </w:tc>
      </w:tr>
      <w:tr>
        <w:trPr>
          <w:trHeight w:val="24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Anna Chiara Jones</w:t>
            </w: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Counsel and Corporate Secretary</w:t>
            </w:r>
          </w:p>
        </w:tc>
      </w:tr>
    </w:tbl>
    <w:p>
      <w:pPr>
        <w:spacing w:after="0" w:line="200" w:lineRule="exact"/>
        <w:rPr>
          <w:sz w:val="20"/>
          <w:szCs w:val="20"/>
          <w:color w:val="auto"/>
        </w:rPr>
      </w:pPr>
    </w:p>
    <w:p>
      <w:pPr>
        <w:spacing w:after="0" w:line="352" w:lineRule="exact"/>
        <w:rPr>
          <w:sz w:val="20"/>
          <w:szCs w:val="20"/>
          <w:color w:val="auto"/>
        </w:rPr>
      </w:pPr>
    </w:p>
    <w:p>
      <w:pPr>
        <w:ind w:right="20" w:firstLine="486"/>
        <w:spacing w:after="0" w:line="269" w:lineRule="auto"/>
        <w:rPr>
          <w:sz w:val="20"/>
          <w:szCs w:val="20"/>
          <w:color w:val="auto"/>
        </w:rPr>
      </w:pPr>
      <w:r>
        <w:rPr>
          <w:rFonts w:ascii="Times New Roman" w:cs="Times New Roman" w:eastAsia="Times New Roman" w:hAnsi="Times New Roman"/>
          <w:sz w:val="20"/>
          <w:szCs w:val="20"/>
          <w:color w:val="auto"/>
        </w:rPr>
        <w:t>No other person is required to sign this Post-Effective Amendment No. 1 to the Registration Statement in reliance on Rule 478 of the Securities Act of 1933, as amended.</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2024-11-18T15:16:58Z</dcterms:created>
  <dcterms:modified xsi:type="dcterms:W3CDTF">2024-11-18T15:16:58Z</dcterms:modified>
</cp:coreProperties>
</file>