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Filed pursuant to Rule 424(b)(3)</w:t>
      </w:r>
    </w:p>
    <w:p>
      <w:pPr>
        <w:pStyle w:val="TextBody"/>
        <w:bidi w:val="0"/>
        <w:spacing w:lineRule="auto" w:line="240" w:before="0" w:after="120"/>
        <w:jc w:val="right"/>
        <w:rPr>
          <w:rFonts w:ascii="Times New Roman;sans-serif" w:hAnsi="Times New Roman;sans-serif"/>
          <w:b/>
          <w:color w:val="000000"/>
          <w:sz w:val="20"/>
        </w:rPr>
      </w:pPr>
      <w:r>
        <w:rPr>
          <w:rFonts w:ascii="Times New Roman;sans-serif" w:hAnsi="Times New Roman;sans-serif"/>
          <w:b/>
          <w:color w:val="000000"/>
          <w:sz w:val="20"/>
        </w:rPr>
        <w:t>Registration Statement No. 333-271015</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Prospectus Supplement No. 16</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 Prospectus dated July 5, 2023)</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INTUITIVE MACHINES, INC.</w:t>
      </w:r>
    </w:p>
    <w:p>
      <w:pPr>
        <w:pStyle w:val="TextBody"/>
        <w:bidi w:val="0"/>
        <w:spacing w:before="0" w:after="480"/>
        <w:jc w:val="center"/>
        <w:rPr/>
      </w:pPr>
      <w:r>
        <w:rPr/>
        <w:drawing>
          <wp:inline distT="0" distB="0" distL="0" distR="0">
            <wp:extent cx="26860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762000"/>
                    </a:xfrm>
                    <a:prstGeom prst="rect">
                      <a:avLst/>
                    </a:prstGeom>
                  </pic:spPr>
                </pic:pic>
              </a:graphicData>
            </a:graphic>
          </wp:inline>
        </w:drawing>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updates, amends and supplements the prospectus dated July 5, 2023 (the “Prospectus”), which forms a part of our Registration Statement on Form S-1 (Registration No. 333-271015). Capitalized terms used in this prospectus supplement and not otherwise defined herein have the meanings specified in the Prospectus.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is being filed to update, amend and supplement the information included in the Prospectus with the information contained in our Quarterly Report on Form 10-Q filed with the Securities and Exchange Commission (the “SEC”) on August 13, 2024, which is set forth below.</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Inc.’s Class A Common Stock is listed on the Nasdaq Stock Market LLC under the symbol “LUNR.” On August 13, 2024, the closing price of our Class A Common Stock was $3.67 per share.</w:t>
      </w:r>
    </w:p>
    <w:p>
      <w:pPr>
        <w:pStyle w:val="TextBody"/>
        <w:bidi w:val="0"/>
        <w:spacing w:lineRule="auto" w:line="288" w:before="0" w:after="240"/>
        <w:jc w:val="center"/>
        <w:rPr/>
      </w:pPr>
      <w:r>
        <w:rPr>
          <w:rFonts w:ascii="Times New Roman;sans-serif" w:hAnsi="Times New Roman;sans-serif"/>
          <w:b/>
          <w:color w:val="000000"/>
          <w:sz w:val="20"/>
        </w:rPr>
        <w:t>We are an “emerging growth company” under federal securities laws and are subject to reduced public company reporting requirements. Investing in our securities involves certain risks. See “</w:t>
      </w:r>
      <w:r>
        <w:rPr>
          <w:rFonts w:ascii="Times New Roman;sans-serif" w:hAnsi="Times New Roman;sans-serif"/>
          <w:b/>
          <w:i/>
          <w:color w:val="000000"/>
          <w:sz w:val="20"/>
        </w:rPr>
        <w:t>Summary — Implications of Being an Emerging Growth Company and a Smaller Reporting Company</w:t>
      </w:r>
      <w:r>
        <w:rPr>
          <w:color w:val="000000"/>
        </w:rPr>
        <w:t xml:space="preserve">” </w:t>
      </w:r>
      <w:r>
        <w:rPr>
          <w:rFonts w:ascii="Times New Roman;sans-serif" w:hAnsi="Times New Roman;sans-serif"/>
          <w:b/>
          <w:color w:val="000000"/>
          <w:sz w:val="20"/>
        </w:rPr>
        <w:t>beginning on page 5 of the Prospectus.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Neither the SEC nor any state securities commission has approved or disapproved of these securities or determined if the Prospectus or this prospectus supplement is truthful or complete. Any representation to the contrary is a criminal offense.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The date of this prospectus supplement is August 14,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 to 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001-40823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INTUITIVE MACHINES,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tbl>
      <w:tblPr>
        <w:tblW w:w="5124" w:type="dxa"/>
        <w:jc w:val="left"/>
        <w:tblInd w:w="0" w:type="dxa"/>
        <w:tblLayout w:type="fixed"/>
        <w:tblCellMar>
          <w:top w:w="28" w:type="dxa"/>
          <w:left w:w="28" w:type="dxa"/>
          <w:bottom w:w="28" w:type="dxa"/>
          <w:right w:w="28" w:type="dxa"/>
        </w:tblCellMar>
      </w:tblPr>
      <w:tblGrid>
        <w:gridCol w:w="1089"/>
        <w:gridCol w:w="956"/>
        <w:gridCol w:w="970"/>
        <w:gridCol w:w="109"/>
        <w:gridCol w:w="109"/>
        <w:gridCol w:w="109"/>
        <w:gridCol w:w="109"/>
        <w:gridCol w:w="109"/>
        <w:gridCol w:w="109"/>
        <w:gridCol w:w="425"/>
        <w:gridCol w:w="425"/>
        <w:gridCol w:w="605"/>
      </w:tblGrid>
      <w:tr>
        <w:trPr/>
        <w:tc>
          <w:tcPr>
            <w:tcW w:w="108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36-5056189</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13467 Columbia Shuttle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Houston,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77059</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(281) 520-3703</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120" w:after="283"/>
        <w:jc w:val="center"/>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33"/>
        <w:gridCol w:w="1984"/>
        <w:gridCol w:w="1989"/>
        <w:gridCol w:w="443"/>
        <w:gridCol w:w="413"/>
        <w:gridCol w:w="415"/>
        <w:gridCol w:w="768"/>
        <w:gridCol w:w="768"/>
        <w:gridCol w:w="1092"/>
      </w:tblGrid>
      <w:tr>
        <w:trPr/>
        <w:tc>
          <w:tcPr>
            <w:tcW w:w="2333"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2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6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2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LUNR</w:t>
            </w:r>
          </w:p>
        </w:tc>
        <w:tc>
          <w:tcPr>
            <w:tcW w:w="2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3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$11.50 per share</w:t>
            </w:r>
          </w:p>
        </w:tc>
        <w:tc>
          <w:tcPr>
            <w:tcW w:w="12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LUNRW</w:t>
            </w:r>
          </w:p>
        </w:tc>
        <w:tc>
          <w:tcPr>
            <w:tcW w:w="26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26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August 7, 2024</w:t>
      </w:r>
      <w:r>
        <w:rPr>
          <w:rFonts w:ascii="Times New Roman;sans-serif" w:hAnsi="Times New Roman;sans-serif"/>
          <w:b w:val="false"/>
          <w:color w:val="000000"/>
          <w:sz w:val="20"/>
          <w:shd w:fill="FFFFFF" w:val="clear"/>
        </w:rPr>
        <w:t>, the Registr</w:t>
      </w:r>
      <w:r>
        <w:rPr>
          <w:rFonts w:ascii="Times New Roman;sans-serif" w:hAnsi="Times New Roman;sans-serif"/>
          <w:b w:val="false"/>
          <w:color w:val="000000"/>
          <w:sz w:val="20"/>
        </w:rPr>
        <w:t xml:space="preserve">ant had 62,923,974 shares of Class A common stock, $0.0001 par value, 0 shares of Class B common stock, $0.0001 par value, and 65,627,539 shares </w:t>
      </w:r>
      <w:r>
        <w:rPr>
          <w:rFonts w:ascii="Times New Roman;sans-serif" w:hAnsi="Times New Roman;sans-serif"/>
          <w:b w:val="false"/>
          <w:color w:val="000000"/>
          <w:sz w:val="20"/>
          <w:shd w:fill="FFFFFF" w:val="clear"/>
        </w:rPr>
        <w:t xml:space="preserve">of Class C common stock, $0.0001 par value,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INTUITIVE MACHINES,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97"/>
        <w:gridCol w:w="3074"/>
        <w:gridCol w:w="3092"/>
        <w:gridCol w:w="158"/>
        <w:gridCol w:w="158"/>
        <w:gridCol w:w="226"/>
      </w:tblGrid>
      <w:tr>
        <w:trPr/>
        <w:tc>
          <w:tcPr>
            <w:tcW w:w="3497"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3">
              <w:r>
                <w:rPr>
                  <w:rStyle w:val="InternetLink"/>
                  <w:rFonts w:ascii="Times New Roman;sans-serif" w:hAnsi="Times New Roman;sans-serif"/>
                  <w:b w:val="false"/>
                  <w:color w:val="3051F2"/>
                  <w:sz w:val="20"/>
                  <w:u w:val="single"/>
                </w:rPr>
                <w:t>Part I – Financial Information</w:t>
              </w:r>
            </w:hyperlink>
          </w:p>
        </w:tc>
        <w:tc>
          <w:tcPr>
            <w:tcW w:w="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1301563096d14af9a6e8b4336e60c864_13">
              <w:r>
                <w:rPr>
                  <w:rStyle w:val="InternetLink"/>
                  <w:rFonts w:ascii="Times New Roman;sans-serif" w:hAnsi="Times New Roman;sans-serif"/>
                  <w:b w:val="false"/>
                  <w:strike w:val="false"/>
                  <w:dstrike w:val="false"/>
                  <w:color w:val="000000"/>
                  <w:sz w:val="20"/>
                  <w:u w:val="none"/>
                  <w:effect w:val="none"/>
                </w:rPr>
                <w:t>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6">
              <w:r>
                <w:rPr>
                  <w:rStyle w:val="InternetLink"/>
                  <w:rFonts w:ascii="Times New Roman;sans-serif" w:hAnsi="Times New Roman;sans-serif"/>
                  <w:b w:val="false"/>
                  <w:color w:val="3051F2"/>
                  <w:sz w:val="20"/>
                  <w:u w:val="single"/>
                </w:rPr>
                <w:t>Item 1. Financial Statements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6">
              <w:r>
                <w:rPr>
                  <w:rStyle w:val="InternetLink"/>
                  <w:rFonts w:ascii="Times New Roman;sans-serif" w:hAnsi="Times New Roman;sans-serif"/>
                  <w:b w:val="false"/>
                  <w:strike w:val="false"/>
                  <w:dstrike w:val="false"/>
                  <w:color w:val="000000"/>
                  <w:sz w:val="20"/>
                  <w:u w:val="none"/>
                  <w:effect w:val="none"/>
                </w:rPr>
                <w:t>1</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3051F2"/>
                <w:sz w:val="20"/>
                <w:u w:val="single"/>
              </w:rPr>
              <w:t xml:space="preserve">Unaudited </w:t>
            </w:r>
            <w:hyperlink w:anchor="i1301563096d14af9a6e8b4336e60c864_19">
              <w:r>
                <w:rPr>
                  <w:rStyle w:val="InternetLink"/>
                  <w:rFonts w:ascii="Times New Roman;sans-serif" w:hAnsi="Times New Roman;sans-serif"/>
                  <w:b w:val="false"/>
                  <w:color w:val="000080"/>
                  <w:sz w:val="20"/>
                  <w:u w:val="single"/>
                </w:rPr>
                <w:t>Condensed Consolidated Balance Sheets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9">
              <w:r>
                <w:rPr>
                  <w:rStyle w:val="InternetLink"/>
                  <w:rFonts w:ascii="Times New Roman;sans-serif" w:hAnsi="Times New Roman;sans-serif"/>
                  <w:b w:val="false"/>
                  <w:strike w:val="false"/>
                  <w:dstrike w:val="false"/>
                  <w:color w:val="000000"/>
                  <w:sz w:val="20"/>
                  <w:u w:val="none"/>
                  <w:effect w:val="none"/>
                </w:rPr>
                <w:t>2</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3051F2"/>
                <w:sz w:val="20"/>
                <w:u w:val="single"/>
              </w:rPr>
              <w:t xml:space="preserve">Unaudited </w:t>
            </w:r>
            <w:hyperlink w:anchor="i1301563096d14af9a6e8b4336e60c864_22">
              <w:r>
                <w:rPr>
                  <w:rStyle w:val="InternetLink"/>
                  <w:rFonts w:ascii="Times New Roman;sans-serif" w:hAnsi="Times New Roman;sans-serif"/>
                  <w:b w:val="false"/>
                  <w:color w:val="000080"/>
                  <w:sz w:val="20"/>
                  <w:u w:val="single"/>
                </w:rPr>
                <w:t>Condensed Consolidated Statements of Operations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22">
              <w:r>
                <w:rPr>
                  <w:rStyle w:val="InternetLink"/>
                  <w:rFonts w:ascii="Times New Roman;sans-serif" w:hAnsi="Times New Roman;sans-serif"/>
                  <w:b w:val="false"/>
                  <w:strike w:val="false"/>
                  <w:dstrike w:val="false"/>
                  <w:color w:val="000000"/>
                  <w:sz w:val="20"/>
                  <w:u w:val="none"/>
                  <w:effect w:val="none"/>
                </w:rPr>
                <w:t>3</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3051F2"/>
                <w:sz w:val="20"/>
                <w:u w:val="single"/>
              </w:rPr>
              <w:t xml:space="preserve">Unaudited </w:t>
            </w:r>
            <w:hyperlink w:anchor="i1301563096d14af9a6e8b4336e60c864_25">
              <w:r>
                <w:rPr>
                  <w:rStyle w:val="InternetLink"/>
                  <w:rFonts w:ascii="Times New Roman;sans-serif" w:hAnsi="Times New Roman;sans-serif"/>
                  <w:b w:val="false"/>
                  <w:color w:val="000080"/>
                  <w:sz w:val="20"/>
                  <w:u w:val="single"/>
                </w:rPr>
                <w:t xml:space="preserve">Condensed Consolidated Statements of </w:t>
              </w:r>
            </w:hyperlink>
            <w:r>
              <w:rPr>
                <w:rFonts w:ascii="Times New Roman;sans-serif" w:hAnsi="Times New Roman;sans-serif"/>
                <w:b w:val="false"/>
                <w:color w:val="3051F2"/>
                <w:sz w:val="20"/>
                <w:u w:val="single"/>
              </w:rPr>
              <w:t>Mezzanine Equity</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25">
              <w:r>
                <w:rPr>
                  <w:rStyle w:val="InternetLink"/>
                  <w:rFonts w:ascii="Times New Roman;sans-serif" w:hAnsi="Times New Roman;sans-serif"/>
                  <w:b w:val="false"/>
                  <w:strike w:val="false"/>
                  <w:dstrike w:val="false"/>
                  <w:color w:val="000000"/>
                  <w:sz w:val="20"/>
                  <w:u w:val="none"/>
                  <w:effect w:val="none"/>
                </w:rPr>
                <w:t>4</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31">
              <w:r>
                <w:rPr>
                  <w:rStyle w:val="InternetLink"/>
                  <w:rFonts w:ascii="Times New Roman;sans-serif" w:hAnsi="Times New Roman;sans-serif"/>
                  <w:b w:val="false"/>
                  <w:color w:val="0000FF"/>
                  <w:sz w:val="20"/>
                  <w:u w:val="single"/>
                </w:rPr>
                <w:t>Unaudited Condensed Consolidated Statements of Shareholders’ Deficit</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31">
              <w:r>
                <w:rPr>
                  <w:rStyle w:val="InternetLink"/>
                  <w:rFonts w:ascii="Times New Roman;sans-serif" w:hAnsi="Times New Roman;sans-serif"/>
                  <w:b w:val="false"/>
                  <w:strike w:val="false"/>
                  <w:dstrike w:val="false"/>
                  <w:color w:val="000000"/>
                  <w:sz w:val="20"/>
                  <w:u w:val="none"/>
                  <w:effect w:val="none"/>
                </w:rPr>
                <w:t>5</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3051F2"/>
                <w:sz w:val="20"/>
                <w:u w:val="single"/>
              </w:rPr>
              <w:t xml:space="preserve">Unaudited </w:t>
            </w:r>
            <w:hyperlink w:anchor="i1301563096d14af9a6e8b4336e60c864_37">
              <w:r>
                <w:rPr>
                  <w:rStyle w:val="InternetLink"/>
                  <w:rFonts w:ascii="Times New Roman;sans-serif" w:hAnsi="Times New Roman;sans-serif"/>
                  <w:b w:val="false"/>
                  <w:color w:val="000080"/>
                  <w:sz w:val="20"/>
                  <w:u w:val="single"/>
                </w:rPr>
                <w:t>Condensed Consolidated Statements of Cash Flows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37">
              <w:r>
                <w:rPr>
                  <w:rStyle w:val="InternetLink"/>
                  <w:rFonts w:ascii="Times New Roman;sans-serif" w:hAnsi="Times New Roman;sans-serif"/>
                  <w:b w:val="false"/>
                  <w:strike w:val="false"/>
                  <w:dstrike w:val="false"/>
                  <w:color w:val="000000"/>
                  <w:sz w:val="20"/>
                  <w:u w:val="none"/>
                  <w:effect w:val="none"/>
                </w:rPr>
                <w:t>7</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40">
              <w:r>
                <w:rPr>
                  <w:rStyle w:val="InternetLink"/>
                  <w:rFonts w:ascii="Times New Roman;sans-serif" w:hAnsi="Times New Roman;sans-serif"/>
                  <w:b w:val="false"/>
                  <w:color w:val="3051F2"/>
                  <w:sz w:val="20"/>
                  <w:u w:val="single"/>
                </w:rPr>
                <w:t>Notes to Unaudited Condensed Consolidated Financial Statements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40">
              <w:r>
                <w:rPr>
                  <w:rStyle w:val="InternetLink"/>
                  <w:rFonts w:ascii="Times New Roman;sans-serif" w:hAnsi="Times New Roman;sans-serif"/>
                  <w:b w:val="false"/>
                  <w:strike w:val="false"/>
                  <w:dstrike w:val="false"/>
                  <w:color w:val="000000"/>
                  <w:sz w:val="20"/>
                  <w:u w:val="none"/>
                  <w:effect w:val="none"/>
                </w:rPr>
                <w:t>8</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09">
              <w:r>
                <w:rPr>
                  <w:rStyle w:val="InternetLink"/>
                  <w:rFonts w:ascii="Times New Roman;sans-serif" w:hAnsi="Times New Roman;sans-serif"/>
                  <w:b w:val="false"/>
                  <w:color w:val="3051F2"/>
                  <w:sz w:val="20"/>
                  <w:u w:val="single"/>
                </w:rPr>
                <w:t>Item 2. Management’s Discussion and Analysis of Financial Condition and Results of Operations of Intuitive Machines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09">
              <w:r>
                <w:rPr>
                  <w:rStyle w:val="InternetLink"/>
                  <w:rFonts w:ascii="Times New Roman;sans-serif" w:hAnsi="Times New Roman;sans-serif"/>
                  <w:b w:val="false"/>
                  <w:strike w:val="false"/>
                  <w:dstrike w:val="false"/>
                  <w:color w:val="000000"/>
                  <w:sz w:val="20"/>
                  <w:u w:val="none"/>
                  <w:effect w:val="none"/>
                </w:rPr>
                <w:t>28</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51">
              <w:r>
                <w:rPr>
                  <w:rStyle w:val="InternetLink"/>
                  <w:rFonts w:ascii="Times New Roman;sans-serif" w:hAnsi="Times New Roman;sans-serif"/>
                  <w:b w:val="false"/>
                  <w:color w:val="3051F2"/>
                  <w:sz w:val="20"/>
                  <w:u w:val="single"/>
                </w:rPr>
                <w:t>Item 3. Quantitative and Qualitative Disclosures About Market Risk</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51">
              <w:r>
                <w:rPr>
                  <w:rStyle w:val="InternetLink"/>
                  <w:rFonts w:ascii="Times New Roman;sans-serif" w:hAnsi="Times New Roman;sans-serif"/>
                  <w:b w:val="false"/>
                  <w:strike w:val="false"/>
                  <w:dstrike w:val="false"/>
                  <w:color w:val="000000"/>
                  <w:sz w:val="20"/>
                  <w:u w:val="none"/>
                  <w:effect w:val="none"/>
                </w:rPr>
                <w:t>45</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54">
              <w:r>
                <w:rPr>
                  <w:rStyle w:val="InternetLink"/>
                  <w:rFonts w:ascii="Times New Roman;sans-serif" w:hAnsi="Times New Roman;sans-serif"/>
                  <w:b w:val="false"/>
                  <w:color w:val="3051F2"/>
                  <w:sz w:val="20"/>
                  <w:u w:val="single"/>
                </w:rPr>
                <w:t>Item 4. Controls and Procedures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54">
              <w:r>
                <w:rPr>
                  <w:rStyle w:val="InternetLink"/>
                  <w:rFonts w:ascii="Times New Roman;sans-serif" w:hAnsi="Times New Roman;sans-serif"/>
                  <w:b w:val="false"/>
                  <w:strike w:val="false"/>
                  <w:dstrike w:val="false"/>
                  <w:color w:val="000000"/>
                  <w:sz w:val="20"/>
                  <w:u w:val="none"/>
                  <w:effect w:val="none"/>
                </w:rPr>
                <w:t>45</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60">
              <w:r>
                <w:rPr>
                  <w:rStyle w:val="InternetLink"/>
                  <w:rFonts w:ascii="Times New Roman;sans-serif" w:hAnsi="Times New Roman;sans-serif"/>
                  <w:b w:val="false"/>
                  <w:color w:val="3051F2"/>
                  <w:sz w:val="20"/>
                  <w:u w:val="single"/>
                </w:rPr>
                <w:t xml:space="preserve">Part II – Other Information </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60">
              <w:r>
                <w:rPr>
                  <w:rStyle w:val="InternetLink"/>
                  <w:rFonts w:ascii="Times New Roman;sans-serif" w:hAnsi="Times New Roman;sans-serif"/>
                  <w:b w:val="false"/>
                  <w:strike w:val="false"/>
                  <w:dstrike w:val="false"/>
                  <w:color w:val="000000"/>
                  <w:sz w:val="20"/>
                  <w:u w:val="none"/>
                  <w:effect w:val="none"/>
                </w:rPr>
                <w:t>46</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63">
              <w:r>
                <w:rPr>
                  <w:rStyle w:val="InternetLink"/>
                  <w:rFonts w:ascii="Times New Roman;sans-serif" w:hAnsi="Times New Roman;sans-serif"/>
                  <w:b w:val="false"/>
                  <w:color w:val="3051F2"/>
                  <w:sz w:val="20"/>
                  <w:u w:val="single"/>
                </w:rPr>
                <w:t>Item 1. Legal Proceedings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63">
              <w:r>
                <w:rPr>
                  <w:rStyle w:val="InternetLink"/>
                  <w:rFonts w:ascii="Times New Roman;sans-serif" w:hAnsi="Times New Roman;sans-serif"/>
                  <w:b w:val="false"/>
                  <w:strike w:val="false"/>
                  <w:dstrike w:val="false"/>
                  <w:color w:val="000000"/>
                  <w:sz w:val="20"/>
                  <w:u w:val="none"/>
                  <w:effect w:val="none"/>
                </w:rPr>
                <w:t>46</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66">
              <w:r>
                <w:rPr>
                  <w:rStyle w:val="InternetLink"/>
                  <w:rFonts w:ascii="Times New Roman;sans-serif" w:hAnsi="Times New Roman;sans-serif"/>
                  <w:b w:val="false"/>
                  <w:color w:val="3051F2"/>
                  <w:sz w:val="20"/>
                  <w:u w:val="single"/>
                </w:rPr>
                <w:t>Item 1A. Risk Factors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66">
              <w:r>
                <w:rPr>
                  <w:rStyle w:val="InternetLink"/>
                  <w:rFonts w:ascii="Times New Roman;sans-serif" w:hAnsi="Times New Roman;sans-serif"/>
                  <w:b w:val="false"/>
                  <w:strike w:val="false"/>
                  <w:dstrike w:val="false"/>
                  <w:color w:val="000000"/>
                  <w:sz w:val="20"/>
                  <w:u w:val="none"/>
                  <w:effect w:val="none"/>
                </w:rPr>
                <w:t>46</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69">
              <w:r>
                <w:rPr>
                  <w:rStyle w:val="InternetLink"/>
                  <w:rFonts w:ascii="Times New Roman;sans-serif" w:hAnsi="Times New Roman;sans-serif"/>
                  <w:b w:val="false"/>
                  <w:color w:val="3051F2"/>
                  <w:sz w:val="20"/>
                  <w:u w:val="single"/>
                </w:rPr>
                <w:t>Item 2. Unregistered Sales of Equity Securities and Use of Proceeds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69">
              <w:r>
                <w:rPr>
                  <w:rStyle w:val="InternetLink"/>
                  <w:rFonts w:ascii="Times New Roman;sans-serif" w:hAnsi="Times New Roman;sans-serif"/>
                  <w:b w:val="false"/>
                  <w:strike w:val="false"/>
                  <w:dstrike w:val="false"/>
                  <w:color w:val="000000"/>
                  <w:sz w:val="20"/>
                  <w:u w:val="none"/>
                  <w:effect w:val="none"/>
                </w:rPr>
                <w:t>46</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75">
              <w:r>
                <w:rPr>
                  <w:rStyle w:val="InternetLink"/>
                  <w:rFonts w:ascii="Times New Roman;sans-serif" w:hAnsi="Times New Roman;sans-serif"/>
                  <w:b w:val="false"/>
                  <w:color w:val="3051F2"/>
                  <w:sz w:val="20"/>
                  <w:u w:val="single"/>
                </w:rPr>
                <w:t>Item 3. Defaults Upon Senior Securities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75">
              <w:r>
                <w:rPr>
                  <w:rStyle w:val="InternetLink"/>
                  <w:rFonts w:ascii="Times New Roman;sans-serif" w:hAnsi="Times New Roman;sans-serif"/>
                  <w:b w:val="false"/>
                  <w:strike w:val="false"/>
                  <w:dstrike w:val="false"/>
                  <w:color w:val="000000"/>
                  <w:sz w:val="20"/>
                  <w:u w:val="none"/>
                  <w:effect w:val="none"/>
                </w:rPr>
                <w:t>46</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78">
              <w:r>
                <w:rPr>
                  <w:rStyle w:val="InternetLink"/>
                  <w:rFonts w:ascii="Times New Roman;sans-serif" w:hAnsi="Times New Roman;sans-serif"/>
                  <w:b w:val="false"/>
                  <w:color w:val="3051F2"/>
                  <w:sz w:val="20"/>
                  <w:u w:val="single"/>
                </w:rPr>
                <w:t>Item 4. Mine Safety Disclosures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78">
              <w:r>
                <w:rPr>
                  <w:rStyle w:val="InternetLink"/>
                  <w:rFonts w:ascii="Times New Roman;sans-serif" w:hAnsi="Times New Roman;sans-serif"/>
                  <w:b w:val="false"/>
                  <w:strike w:val="false"/>
                  <w:dstrike w:val="false"/>
                  <w:color w:val="000000"/>
                  <w:sz w:val="20"/>
                  <w:u w:val="none"/>
                  <w:effect w:val="none"/>
                </w:rPr>
                <w:t>46</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81">
              <w:r>
                <w:rPr>
                  <w:rStyle w:val="InternetLink"/>
                  <w:rFonts w:ascii="Times New Roman;sans-serif" w:hAnsi="Times New Roman;sans-serif"/>
                  <w:b w:val="false"/>
                  <w:color w:val="3051F2"/>
                  <w:sz w:val="20"/>
                  <w:u w:val="single"/>
                </w:rPr>
                <w:t>Item 5. Other Information</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81">
              <w:r>
                <w:rPr>
                  <w:rStyle w:val="InternetLink"/>
                  <w:rFonts w:ascii="Times New Roman;sans-serif" w:hAnsi="Times New Roman;sans-serif"/>
                  <w:b w:val="false"/>
                  <w:strike w:val="false"/>
                  <w:dstrike w:val="false"/>
                  <w:color w:val="000000"/>
                  <w:sz w:val="20"/>
                  <w:u w:val="none"/>
                  <w:effect w:val="none"/>
                </w:rPr>
                <w:t>46</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87">
              <w:r>
                <w:rPr>
                  <w:rStyle w:val="InternetLink"/>
                  <w:rFonts w:ascii="Times New Roman;sans-serif" w:hAnsi="Times New Roman;sans-serif"/>
                  <w:b w:val="false"/>
                  <w:color w:val="3051F2"/>
                  <w:sz w:val="20"/>
                  <w:u w:val="single"/>
                </w:rPr>
                <w:t>Item 6. Exhibits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87">
              <w:r>
                <w:rPr>
                  <w:rStyle w:val="InternetLink"/>
                  <w:rFonts w:ascii="Times New Roman;sans-serif" w:hAnsi="Times New Roman;sans-serif"/>
                  <w:b w:val="false"/>
                  <w:strike w:val="false"/>
                  <w:dstrike w:val="false"/>
                  <w:color w:val="000000"/>
                  <w:sz w:val="20"/>
                  <w:u w:val="none"/>
                  <w:effect w:val="none"/>
                </w:rPr>
                <w:t>47</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01563096d14af9a6e8b4336e60c864_193">
              <w:r>
                <w:rPr>
                  <w:rStyle w:val="InternetLink"/>
                  <w:rFonts w:ascii="Times New Roman;sans-serif" w:hAnsi="Times New Roman;sans-serif"/>
                  <w:b w:val="false"/>
                  <w:color w:val="000080"/>
                  <w:sz w:val="20"/>
                  <w:u w:val="single"/>
                </w:rPr>
                <w:t>Signature</w:t>
              </w:r>
            </w:hyperlink>
            <w:r>
              <w:rPr>
                <w:rFonts w:ascii="Times New Roman;sans-serif" w:hAnsi="Times New Roman;sans-serif"/>
                <w:b w:val="false"/>
                <w:color w:val="3051F2"/>
                <w:sz w:val="20"/>
                <w:u w:val="single"/>
              </w:rPr>
              <w:t>s</w:t>
            </w:r>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01563096d14af9a6e8b4336e60c864_193">
              <w:r>
                <w:rPr>
                  <w:rStyle w:val="InternetLink"/>
                  <w:rFonts w:ascii="Times New Roman;sans-serif" w:hAnsi="Times New Roman;sans-serif"/>
                  <w:b w:val="false"/>
                  <w:strike w:val="false"/>
                  <w:dstrike w:val="false"/>
                  <w:color w:val="000000"/>
                  <w:sz w:val="20"/>
                  <w:u w:val="none"/>
                  <w:effect w:val="non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This Quarterly Report on Form 10-Q (the “Quarterly Report”) contains “forward-looking statements” within the meaning of the Private Securities Litigation Reform Act of 1995, as amended. All statements other than statements of historical facts contained in this Quarterly Report are forward-looking statements.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w:t>
      </w:r>
      <w:r>
        <w:rPr>
          <w:rFonts w:ascii="Times New Roman;sans-serif" w:hAnsi="Times New Roman;sans-serif"/>
          <w:b w:val="false"/>
          <w:color w:val="000000"/>
          <w:sz w:val="20"/>
          <w:shd w:fill="FFFFFF" w:val="clear"/>
        </w:rPr>
        <w:t xml:space="preserve">ments regarding our expectations and plans relating to our first mission to the Moon,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These forward-looking statements reflect our </w:t>
      </w:r>
      <w:r>
        <w:rPr>
          <w:rFonts w:ascii="Times New Roman;sans-serif" w:hAnsi="Times New Roman;sans-serif"/>
          <w:b w:val="false"/>
          <w:color w:val="000000"/>
          <w:sz w:val="20"/>
        </w:rPr>
        <w:t>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Quarterly Report:</w:t>
      </w:r>
    </w:p>
    <w:p>
      <w:pPr>
        <w:pStyle w:val="TextBody"/>
        <w:bidi w:val="0"/>
        <w:spacing w:before="0" w:after="0"/>
        <w:jc w:val="left"/>
        <w:rPr/>
      </w:pPr>
      <w:r>
        <w:rPr/>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reliance upon the efforts of our Board of Directors (the “Board”) and key personnel to be successful;</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limited operating history;</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manage our growth effectively;</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competition from existing or new companies;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unsatisfactory safety performance of our spaceflight systems or security incidents at our facilities;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failure of the market for commercial spaceflight to achieve the growth potential we expect;</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any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customer concentration;</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reliance on a single launch service provider;</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risks associated with commercial spaceflight, including any accident on launch or during the journey into space;</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risks associated with the handling, production and disposition of potentially explosive and ignitable energetic materials and other dangerous chemicals in our operations;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 xml:space="preserve">our reliance on a limited number of suppliers for certain materials and supplied components; </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failure of our products to operate in the expected manner or defects in our sub-systems;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counterparty risks on contracts entered into with our customers and failure of our prime contractors to maintain their relationships with their counterparties and fulfill their contractual obligations;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failure to comply with various laws and regulations relating to various aspects of our business and any changes in the funding levels of various governmental entities with which we do business;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protect the confidentiality of our trade secrets and unpatented know how;</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comply with the terms of third-party open source software our systems utilize;</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ability to maintain an effective system of internal control over financial reporting, and to address and remediate existing material weaknesses in our internal control over financial reporting;</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 xml:space="preserve">the U.S. government’s budget deficit and the national debt, as well as any inability of the U.S. government to complete its budget process for any government fiscal year, and our dependence on U.S. government contracts;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comply with U.S. export and import control laws and regulations and U.S. economic sanctions and trade control laws and regulations;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uncertain global macro-economic and political conditions (including as a result of a failure to raise the “debt ceiling”) and rising inflation;</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 xml:space="preserve">our history of losses and failure to achieve profitability in the future or failure of our business to generate sufficient funds to continue operations; </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the cost and potential outcomes of potential future litigation;</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public securities’ potential liquidity and trading; and</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and other factors detailed under the section titled Part I, Item 1A. Risk Factors of our Annual Report on Form 10-K for the fiscal year ended December 31, 2023 (the “2023 Annual Report on Form 10-K”), the section titled Part I, Item 2, Management’s Discussion and Analysis of Financial Condition and Results of Operations and the section titled Part II., Item 1A. “Risk Factors” in this Quarterly Report and in our subsequent filings with the U.S. Securities and Exchange Commission (the “SEC”).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based on information available as of the date of this Quarterly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INTUITIVE MACHINES,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 and par value)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3024"/>
        <w:gridCol w:w="2347"/>
        <w:gridCol w:w="2354"/>
        <w:gridCol w:w="196"/>
        <w:gridCol w:w="736"/>
        <w:gridCol w:w="109"/>
        <w:gridCol w:w="109"/>
        <w:gridCol w:w="109"/>
        <w:gridCol w:w="109"/>
        <w:gridCol w:w="218"/>
        <w:gridCol w:w="720"/>
        <w:gridCol w:w="174"/>
      </w:tblGrid>
      <w:tr>
        <w:trPr/>
        <w:tc>
          <w:tcPr>
            <w:tcW w:w="3024"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net of allowance for expected credit losses of $440 and $0,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MEZZANINE EQUITY AND SHAREHOLDERS’ DEFICIT</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affiliated companies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139,327 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MEZZANINE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 subject to possible redemption, $0.0001 par value, 25,000,000 shares authorized, 5,000 and 26,000 shares issued and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181,662 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500,000,000 shares authorized, 62,469,364 and 22,237,988 shares issued, and 61,219,364 and 20,987,988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100,000,000 shares authorized, 0 shares issued and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100,000,000 shares authorized, 66,109,012 shares issued and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1,250,000 shares, at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(250,466)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deficit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(263,282)</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Noncontrolling interests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(263,282)</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mezzanine equity and shareholders’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39"/>
        <w:gridCol w:w="1478"/>
        <w:gridCol w:w="1491"/>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193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(excluding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SAFE Agreements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issuance of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Intuitive Machines, LLC prior to the Business Combination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(post Business Combination)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the Company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Class A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Net income (loss) per share</w:t>
            </w:r>
            <w:r>
              <w:rPr>
                <w:color w:val="000000"/>
              </w:rPr>
              <w:t xml:space="preserve"> </w:t>
            </w:r>
            <w:r>
              <w:rPr>
                <w:rFonts w:ascii="Times New Roman;sans-serif" w:hAnsi="Times New Roman;sans-serif"/>
                <w:b w:val="false"/>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Class A common stock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Class A common stock -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55,093,365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45,844,343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15,543,800</w:t>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62,275,592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19,383,601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45,844,343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24,191,853</w:t>
            </w:r>
          </w:p>
        </w:tc>
      </w:tr>
    </w:tbl>
    <w:p>
      <w:pPr>
        <w:pStyle w:val="TextBody"/>
        <w:bidi w:val="0"/>
        <w:spacing w:lineRule="auto" w:line="288" w:before="240" w:after="283"/>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As a result of the Business Combination, the capital structure changed and the net loss per share information for 2023 represents results after the Closing Date of the Business Combination, for the period from February 13, 2023 through June 30, 2023. See Note 1 - Business Description and Note 11 - Net Income (Loss) per Share for additional information.</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Mezzanine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033" w:type="dxa"/>
        <w:jc w:val="left"/>
        <w:tblInd w:w="0" w:type="dxa"/>
        <w:tblLayout w:type="fixed"/>
        <w:tblCellMar>
          <w:top w:w="28" w:type="dxa"/>
          <w:left w:w="28" w:type="dxa"/>
          <w:bottom w:w="28" w:type="dxa"/>
          <w:right w:w="28" w:type="dxa"/>
        </w:tblCellMar>
      </w:tblPr>
      <w:tblGrid>
        <w:gridCol w:w="1708"/>
        <w:gridCol w:w="1502"/>
        <w:gridCol w:w="1514"/>
        <w:gridCol w:w="237"/>
        <w:gridCol w:w="237"/>
        <w:gridCol w:w="245"/>
        <w:gridCol w:w="128"/>
        <w:gridCol w:w="128"/>
        <w:gridCol w:w="128"/>
        <w:gridCol w:w="230"/>
        <w:gridCol w:w="761"/>
        <w:gridCol w:w="128"/>
        <w:gridCol w:w="109"/>
        <w:gridCol w:w="109"/>
        <w:gridCol w:w="109"/>
        <w:gridCol w:w="496"/>
        <w:gridCol w:w="1870"/>
        <w:gridCol w:w="394"/>
      </w:tblGrid>
      <w:tr>
        <w:trPr/>
        <w:tc>
          <w:tcPr>
            <w:tcW w:w="170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003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443,181 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preferred dividends</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preferred stock discount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Subsequent remeasurement of redeemable noncontrolling interests</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(221,933)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redeemable noncontrolling interests</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(3,088)</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2024</w:t>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218,160 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28,201 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181,662 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Series A preferred stock (Note 7)</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(23,120)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preferred dividends</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preferred stock discount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Subsequent remeasurement of redeemable noncontrolling interests</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62,877 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redeemable noncontrolling interests</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2024</w:t>
            </w:r>
          </w:p>
        </w:tc>
        <w:tc>
          <w:tcPr>
            <w:tcW w:w="7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218,160 </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04"/>
        <w:gridCol w:w="1497"/>
        <w:gridCol w:w="1509"/>
        <w:gridCol w:w="323"/>
        <w:gridCol w:w="323"/>
        <w:gridCol w:w="203"/>
        <w:gridCol w:w="127"/>
        <w:gridCol w:w="127"/>
        <w:gridCol w:w="127"/>
        <w:gridCol w:w="229"/>
        <w:gridCol w:w="760"/>
        <w:gridCol w:w="127"/>
        <w:gridCol w:w="109"/>
        <w:gridCol w:w="109"/>
        <w:gridCol w:w="109"/>
        <w:gridCol w:w="506"/>
        <w:gridCol w:w="1906"/>
        <w:gridCol w:w="410"/>
      </w:tblGrid>
      <w:tr>
        <w:trPr/>
        <w:tc>
          <w:tcPr>
            <w:tcW w:w="170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Interests</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736,028 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preferred dividends</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preferred stock discount</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Subsequent remeasurement of redeemable noncontrolling interests</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(146,654)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redeemable noncontrolling interests</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(10,744)</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578,630 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A preferred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preferred dividends</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preferred stock discount</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Establishment of redeemable noncontrolling interests</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(85,865)</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Subsequent remeasurement of redeemable noncontrolling interests</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683,575 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redeemable noncontrolling interests</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(19,080)</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8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578,630 </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525" w:type="dxa"/>
        <w:jc w:val="center"/>
        <w:tblInd w:w="0" w:type="dxa"/>
        <w:tblLayout w:type="fixed"/>
        <w:tblCellMar>
          <w:top w:w="28" w:type="dxa"/>
          <w:left w:w="28" w:type="dxa"/>
          <w:bottom w:w="28" w:type="dxa"/>
          <w:right w:w="28" w:type="dxa"/>
        </w:tblCellMar>
      </w:tblPr>
      <w:tblGrid>
        <w:gridCol w:w="603"/>
        <w:gridCol w:w="201"/>
        <w:gridCol w:w="202"/>
        <w:gridCol w:w="254"/>
        <w:gridCol w:w="254"/>
        <w:gridCol w:w="258"/>
        <w:gridCol w:w="109"/>
        <w:gridCol w:w="109"/>
        <w:gridCol w:w="109"/>
        <w:gridCol w:w="181"/>
        <w:gridCol w:w="241"/>
        <w:gridCol w:w="109"/>
        <w:gridCol w:w="109"/>
        <w:gridCol w:w="109"/>
        <w:gridCol w:w="109"/>
        <w:gridCol w:w="109"/>
        <w:gridCol w:w="109"/>
        <w:gridCol w:w="117"/>
        <w:gridCol w:w="117"/>
        <w:gridCol w:w="304"/>
        <w:gridCol w:w="261"/>
        <w:gridCol w:w="201"/>
        <w:gridCol w:w="109"/>
        <w:gridCol w:w="109"/>
        <w:gridCol w:w="109"/>
        <w:gridCol w:w="199"/>
        <w:gridCol w:w="265"/>
        <w:gridCol w:w="122"/>
        <w:gridCol w:w="175"/>
        <w:gridCol w:w="175"/>
        <w:gridCol w:w="176"/>
        <w:gridCol w:w="181"/>
        <w:gridCol w:w="556"/>
        <w:gridCol w:w="109"/>
        <w:gridCol w:w="109"/>
        <w:gridCol w:w="109"/>
        <w:gridCol w:w="109"/>
        <w:gridCol w:w="207"/>
        <w:gridCol w:w="464"/>
        <w:gridCol w:w="125"/>
        <w:gridCol w:w="109"/>
        <w:gridCol w:w="109"/>
        <w:gridCol w:w="109"/>
        <w:gridCol w:w="181"/>
        <w:gridCol w:w="631"/>
        <w:gridCol w:w="109"/>
        <w:gridCol w:w="109"/>
        <w:gridCol w:w="109"/>
        <w:gridCol w:w="109"/>
        <w:gridCol w:w="181"/>
        <w:gridCol w:w="631"/>
        <w:gridCol w:w="109"/>
        <w:gridCol w:w="109"/>
        <w:gridCol w:w="109"/>
        <w:gridCol w:w="109"/>
        <w:gridCol w:w="214"/>
        <w:gridCol w:w="481"/>
        <w:gridCol w:w="131"/>
        <w:gridCol w:w="109"/>
        <w:gridCol w:w="109"/>
        <w:gridCol w:w="109"/>
        <w:gridCol w:w="181"/>
        <w:gridCol w:w="631"/>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79" w:type="dxa"/>
            <w:gridSpan w:val="5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2446"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Shareholders’ Deficit attributable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Shareholders’ Deficit</w:t>
            </w:r>
          </w:p>
        </w:tc>
        <w:tc>
          <w:tcPr>
            <w:tcW w:w="1293"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March 31, 2024</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52,496,932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70,909,012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(480,837)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(493,650)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(492,678)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Cumulative preferred dividends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of preferred stock discount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warrants exercised</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stock options exercised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vested RSUs and PSUs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1,286,880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Class C canceled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4,800,000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(4,800,000)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Distribution to noncontrolling interests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(973)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Class A Common Stock related to the ATM Program (Note 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3,582,583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17,044 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Subsequent remeasurement of redeemable noncontrolling interests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(18,421)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240,354 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221,933 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income attributable to noncontrolling interest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income attributable to the Company</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18,280 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June 30, 2024</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62,469,364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66,109,012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7</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(12,825)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(222,203)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(235,015)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788</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(234,227)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9" w:type="dxa"/>
            <w:gridSpan w:val="5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2446"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Shareholders’ Deficit attributable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Shareholders’ Deficit</w:t>
            </w:r>
          </w:p>
        </w:tc>
        <w:tc>
          <w:tcPr>
            <w:tcW w:w="1293"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December 31, 2023</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22,279,876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70,909,012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(250,466)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(263,282)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(263,282)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5,895 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Cumulative preferred dividends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(608)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of preferred stock discount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Conversion of Series A preferred stock (Note 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7,738,743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23,119 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warrants exercised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19,123,633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127,579 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127,581 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related to loan conversion (Notes 5 and 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stock options exercised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170,371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vested RSUs and PSUs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1,286,880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Class C canceled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4,800,000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(4,800,000)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Distribution to noncontrolling interests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(973)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Class A Common Stock related to the ATM Program (Note 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3,582,583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17,044 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Subsequent remeasurement of redeemable noncontrolling interests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(171,197)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(62,877)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(62,877)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income attributable to noncontrolling interest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 attributable to the Company</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(80,057)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(80,057)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(80,057)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June 30, 2024</w:t>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62,469,364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66,109,012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7</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(12,825)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(222,203)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(235,015)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788</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(234,227)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tbl>
      <w:tblPr>
        <w:tblW w:w="14812" w:type="dxa"/>
        <w:jc w:val="center"/>
        <w:tblInd w:w="0" w:type="dxa"/>
        <w:tblLayout w:type="fixed"/>
        <w:tblCellMar>
          <w:top w:w="28" w:type="dxa"/>
          <w:left w:w="28" w:type="dxa"/>
          <w:bottom w:w="28" w:type="dxa"/>
          <w:right w:w="28" w:type="dxa"/>
        </w:tblCellMar>
      </w:tblPr>
      <w:tblGrid>
        <w:gridCol w:w="663"/>
        <w:gridCol w:w="201"/>
        <w:gridCol w:w="202"/>
        <w:gridCol w:w="293"/>
        <w:gridCol w:w="293"/>
        <w:gridCol w:w="300"/>
        <w:gridCol w:w="109"/>
        <w:gridCol w:w="109"/>
        <w:gridCol w:w="109"/>
        <w:gridCol w:w="181"/>
        <w:gridCol w:w="406"/>
        <w:gridCol w:w="109"/>
        <w:gridCol w:w="109"/>
        <w:gridCol w:w="109"/>
        <w:gridCol w:w="109"/>
        <w:gridCol w:w="254"/>
        <w:gridCol w:w="254"/>
        <w:gridCol w:w="258"/>
        <w:gridCol w:w="109"/>
        <w:gridCol w:w="109"/>
        <w:gridCol w:w="109"/>
        <w:gridCol w:w="181"/>
        <w:gridCol w:w="406"/>
        <w:gridCol w:w="109"/>
        <w:gridCol w:w="109"/>
        <w:gridCol w:w="109"/>
        <w:gridCol w:w="109"/>
        <w:gridCol w:w="169"/>
        <w:gridCol w:w="169"/>
        <w:gridCol w:w="173"/>
        <w:gridCol w:w="109"/>
        <w:gridCol w:w="109"/>
        <w:gridCol w:w="109"/>
        <w:gridCol w:w="181"/>
        <w:gridCol w:w="406"/>
        <w:gridCol w:w="109"/>
        <w:gridCol w:w="109"/>
        <w:gridCol w:w="109"/>
        <w:gridCol w:w="109"/>
        <w:gridCol w:w="254"/>
        <w:gridCol w:w="254"/>
        <w:gridCol w:w="258"/>
        <w:gridCol w:w="109"/>
        <w:gridCol w:w="109"/>
        <w:gridCol w:w="109"/>
        <w:gridCol w:w="181"/>
        <w:gridCol w:w="406"/>
        <w:gridCol w:w="109"/>
        <w:gridCol w:w="109"/>
        <w:gridCol w:w="109"/>
        <w:gridCol w:w="109"/>
        <w:gridCol w:w="181"/>
        <w:gridCol w:w="556"/>
        <w:gridCol w:w="109"/>
        <w:gridCol w:w="109"/>
        <w:gridCol w:w="109"/>
        <w:gridCol w:w="109"/>
        <w:gridCol w:w="181"/>
        <w:gridCol w:w="541"/>
        <w:gridCol w:w="109"/>
        <w:gridCol w:w="109"/>
        <w:gridCol w:w="109"/>
        <w:gridCol w:w="109"/>
        <w:gridCol w:w="181"/>
        <w:gridCol w:w="631"/>
        <w:gridCol w:w="109"/>
        <w:gridCol w:w="327"/>
        <w:gridCol w:w="109"/>
        <w:gridCol w:w="109"/>
        <w:gridCol w:w="109"/>
        <w:gridCol w:w="109"/>
        <w:gridCol w:w="109"/>
        <w:gridCol w:w="109"/>
        <w:gridCol w:w="109"/>
        <w:gridCol w:w="109"/>
        <w:gridCol w:w="181"/>
        <w:gridCol w:w="631"/>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83" w:type="dxa"/>
            <w:gridSpan w:val="7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1729" w:type="dxa"/>
            <w:gridSpan w:val="10"/>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Members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Shareholders’ Deficit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March 31, 2023</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16,021,803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68,140,188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(870,511)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(883,328)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 expense</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Member distributions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Cumulative preferred dividends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of preferred stock discount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warrants exercised</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1,183,901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Recapitalization adjustment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Class A Common Stock related to the Equity Facility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95,785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Class C common stock related to earn-out awards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Subsequent remeasurement of redeemable noncontrolling interests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(33,141)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179,795 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146,654 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Other</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income attributable to the Company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June 30, 2023</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17,301,489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10,566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70,640,188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(12,825)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(665,456)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(678,272)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3" w:type="dxa"/>
            <w:gridSpan w:val="7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729" w:type="dxa"/>
            <w:gridSpan w:val="10"/>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Members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Shareholders’ Deficit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December 31, 2022</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122,505,500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(72,587)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(57,619)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units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 expense</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Effects of Business Combination</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Recapitalization</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(122,527,000)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13,736,932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68,140,188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47,445 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Conversion of SAFE Agreements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2,066,666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warrants to preferred shareholders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Transaction costs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Establishment of the earn-out liabilities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(99,659)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(99,659)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Establishment of redeemable noncontrolling interest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85,865 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Activities subsequent to the Business Combination</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 expense</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Member distributions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Cumulative preferred dividends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of preferred stock discount</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Repurchase of common stock</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warrants exercised</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1,402,106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Recapitalization adjustment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Issuance of Class A Common Stock related to Equity Facility </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95,785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Class C common stock related to earn-out awards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Other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Subsequent remeasurement of redeemable noncontrolling interests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(80,557)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(603,018)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(683,575)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income attributable to the Company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June 30, 2023</w:t>
            </w:r>
          </w:p>
        </w:tc>
        <w:tc>
          <w:tcPr>
            <w:tcW w:w="8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17,301,489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10,566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70,640,188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(12,825)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(665,456)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(678,272)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756" w:type="dxa"/>
        <w:jc w:val="center"/>
        <w:tblInd w:w="0" w:type="dxa"/>
        <w:tblLayout w:type="fixed"/>
        <w:tblCellMar>
          <w:top w:w="28" w:type="dxa"/>
          <w:left w:w="28" w:type="dxa"/>
          <w:bottom w:w="28" w:type="dxa"/>
          <w:right w:w="28" w:type="dxa"/>
        </w:tblCellMar>
      </w:tblPr>
      <w:tblGrid>
        <w:gridCol w:w="1846"/>
        <w:gridCol w:w="1624"/>
        <w:gridCol w:w="1629"/>
        <w:gridCol w:w="196"/>
        <w:gridCol w:w="811"/>
        <w:gridCol w:w="109"/>
        <w:gridCol w:w="109"/>
        <w:gridCol w:w="109"/>
        <w:gridCol w:w="109"/>
        <w:gridCol w:w="196"/>
        <w:gridCol w:w="646"/>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Bad debt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fair value of SAFE Agreements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fair value of earn-out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fair value of warrant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issuance of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 accounts receivable,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Contract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and 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 affiliated companies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Contract liabilities – current and long-term</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Business Combination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 of Series A 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borrowings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 of loans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 of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Member distributions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option exercises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of withholding taxes from share-based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Forward purchase agreement termination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Warrants exercised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to noncontrolling interests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at beginning of the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at end of the period</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at end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Supplemental disclosure of cash flow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interest,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Noncash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Transaction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SAFE Agreements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Class A Common Stock related to Equity Facility (Note 7)</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 of Series A preferred stock (Note 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Preferred dividends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BUSINESS DESCRIPTION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Intuitive Machines, Inc. </w:t>
      </w:r>
      <w:r>
        <w:rPr>
          <w:rFonts w:ascii="Times New Roman;sans-serif" w:hAnsi="Times New Roman;sans-serif"/>
          <w:b w:val="false"/>
          <w:color w:val="000000"/>
          <w:sz w:val="20"/>
          <w:shd w:fill="FFFFFF" w:val="clear"/>
        </w:rPr>
        <w:t xml:space="preserve">(formerly known as Inflection Point Acquisition Corp. or “IPAX”), </w:t>
      </w:r>
      <w:r>
        <w:rPr>
          <w:rFonts w:ascii="Times New Roman;sans-serif" w:hAnsi="Times New Roman;sans-serif"/>
          <w:b w:val="false"/>
          <w:color w:val="000000"/>
          <w:sz w:val="20"/>
        </w:rPr>
        <w:t>collectively with its subsidiaries (the “Company,” “IM,” “Intuitive Machines,” “we,” “us” or “our”) designs, manufactures and operates space products and services. Intuitive Machines’ near-term focus is to create and operate space systems and space infrastructure on and in the vicinity of the Moon that enable scientific and human exploration and utilization of lunar resources to support sustainable human presence on the Moon and exploration to Mars and beyond. Intuitive Machines offers its customers the flexibility needed to pioneer a thriving and diverse lunar economy designed to enable a permanent presence in lunar orbit and on the lunar surface. IM is currently headquartered in Houston, Texas.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Intuitive Machines, Inc.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Stock Market LLC (“Nasdaq”).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IPAX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September 16, 2022, IPAX entered into a certain Business Combination Agreement (the “Business Combination Agreement”) by and between IPAX and Intuitive Machines, LLC, a Delaware limited liability company (formerly, a Texas limited liability company). On February 10, 2023, IPAX filed a notice of deregistration with the Cayman Islands Registrar of Companies, together with the necessary accompanying documents, and filed a certificate of incorporation and certificate of corporate domestication with the Secretary of State of the State of Delaware, pursuant to which IPAX was domesticated and continues as a Delaware corporation, changing its name to “Intuitive Machines, Inc.”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13, 2023 (the “Closing Date”), Intuitive Machines, Inc. and Intuitive Machines, LLC consummated the previously announced business combination (the “Business Combination”) and related transactions (the “Transactions”) contemplated by the Business Combination Agreement. As a result of the Transactions, all of the issued and outstanding common units of Intuitive Machines, LLC were converted into common stock of Intuitive Machines, Inc. using an exchange ratio of 0.5562 shares of Intuitive Machines, Inc. common stock per each unit of Intuitive Machines, LLC Common Unit. In addition, Intuitive Machines, LLC’s share-based compensation plan and related share-based compensation awards were exchanged or converted, as applicable, into common stock of Intuitive Machines,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Transactions, the Company was reorganized into an Up-C structure, in which substantially all of the assets and business of the Company are held by Intuitive Machines, LLC and continue to operate through Intuitive Machines, LLC and its subsidiaries. Intuitive Machines, Inc. is a holding company whose only material asset is its equity ownership interests of Intuitive Machines, LLC. While Intuitive Machines, LLC became a subsidiary of Intuitive Machines, Inc. and Intuitive Machines, Inc. was appointed as its managing member, Intuitive Machines, LLC was deemed to be the acquirer in the Business Combination for accounting purposes. Accordingly, the Business Combination was accounted for as a reverse recapitalization, in which case the condensed consolidated financial statements of the Company represent a continuation of the Intuitive Machines, LLC and the issuance of common stock in exchange for the net assets of Intuitive Machines, Inc. was recorded at historical cost with no recognition of goodwill or other intangible assets. Operations prior to the Business Combination are those of Intuitive Machines, LLC. In addition, the number of shares subject to, and the exercise price of, the Company’s outstanding options were adjusted to reflect the Business Combination. The treatment of the Business Combination as a reverse recapitalization was based upon the pre-merger members of Intuitive Machines, LLC holding the majority of the voting interests of Intuitive Machines, Inc., Intuitive Machines, LLC’s existing management team serving as the initial management team of Intuitive Machines, Inc., Intuitive Machines, LLC’s appointment of the majority of the initial board of directors of Intuitive Machines, Inc., and the significance of Intuitive Machines, LLC’s operations prior to the Business Combination which represent the entirety of Company’s operations.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the Business Combination, approximately $34.1 million of cash held in trust, net of redemptions by IPAX’s public shareholders, became available for use by the Company as well as proceeds received from the contemporaneous sale of preferred stock in connection with the closing of a PIPE investment. In addition, the Company entered into a common stock purchase agreement, dated September 16, 2022 (the “Cantor Purchase Agreement”) relating to an equity facility under which shares of newly issued Intuitive Machines Class A common stock, par value $0.0001 per share (the “Class A Common Stock”) may be sold to CF Principal Investments LLC (“CFPI”), at the Company’s discretion, up to the lesser of (i.) $50.0 million and (ii) the “exchange cap” specified therein, subject to certain customary conditions and limitations set for in the Cantor Purchase Agreement. Beginning on February 14, 2023,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0"/>
          <w:shd w:fill="FFFFFF" w:val="clear"/>
        </w:rPr>
        <w:t>Class A Common Stock and warrants to purchase the Class A Common Stock at an exercise price of $11.50</w:t>
      </w:r>
      <w:r>
        <w:rPr>
          <w:color w:val="000000"/>
        </w:rPr>
        <w:t xml:space="preserve"> </w:t>
      </w:r>
      <w:r>
        <w:rPr>
          <w:rFonts w:ascii="Times New Roman;sans-serif" w:hAnsi="Times New Roman;sans-serif"/>
          <w:b w:val="false"/>
          <w:color w:val="000000"/>
          <w:sz w:val="20"/>
        </w:rPr>
        <w:t>per share (th</w:t>
      </w:r>
      <w:r>
        <w:rPr>
          <w:rFonts w:ascii="Times New Roman;sans-serif" w:hAnsi="Times New Roman;sans-serif"/>
          <w:b w:val="false"/>
          <w:color w:val="000000"/>
          <w:sz w:val="20"/>
          <w:shd w:fill="FFFFFF" w:val="clear"/>
        </w:rPr>
        <w:t xml:space="preserve">e “Public Warrants”) began trading on Nasdaq under the symbols “LUNR” and “LUNRW,”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160" w:after="283"/>
        <w:jc w:val="both"/>
        <w:rPr/>
      </w:pPr>
      <w:r>
        <w:rPr>
          <w:rFonts w:ascii="Times New Roman;sans-serif" w:hAnsi="Times New Roman;sans-serif"/>
          <w:b w:val="false"/>
          <w:color w:val="000000"/>
          <w:sz w:val="20"/>
        </w:rPr>
        <w:t>The Company’s unaudited condensed consolidated financial statements and related notes have been prepared in accordance with United States generally accepted accounting principles (“GAAP”) for interim reporting and pursuant to the rules and regulations of the SEC. Certain information and footnote disclosures normally included in annual financial statements prepared in accordance with GAAP have been condensed or omitted pursuant to such rules and regulations relating to interim financial statements. Our condensed consolidated financial statements include the accounts of Intuitive Machines, the accounts of Intuitive Aviation Inc. (“IA” or “Intuitive Aviation”), a wholly owned subsidiary, Space Network Solutions, LLC (“SNS” or “Space Network Solu</w:t>
      </w:r>
      <w:r>
        <w:rPr>
          <w:rFonts w:ascii="Times New Roman;sans-serif" w:hAnsi="Times New Roman;sans-serif"/>
          <w:b w:val="false"/>
          <w:color w:val="000000"/>
          <w:sz w:val="20"/>
          <w:shd w:fill="FFFFFF" w:val="clear"/>
        </w:rPr>
        <w:t xml:space="preserve">tions”) a majority-owned subsidiary, </w:t>
      </w:r>
      <w:r>
        <w:rPr>
          <w:rFonts w:ascii="Times New Roman;sans-serif" w:hAnsi="Times New Roman;sans-serif"/>
          <w:b w:val="false"/>
          <w:color w:val="000000"/>
          <w:sz w:val="20"/>
        </w:rPr>
        <w:t xml:space="preserve">and IX, LLC, a variable interest entity (“VIE”) for which we are the primary beneficiary. All intercompany balances and transactions have been eliminated in consolidation. </w:t>
      </w:r>
    </w:p>
    <w:p>
      <w:pPr>
        <w:pStyle w:val="TextBody"/>
        <w:bidi w:val="0"/>
        <w:spacing w:lineRule="auto" w:line="288" w:before="160" w:after="283"/>
        <w:jc w:val="both"/>
        <w:rPr/>
      </w:pPr>
      <w:r>
        <w:rPr>
          <w:rFonts w:ascii="Times New Roman;sans-serif" w:hAnsi="Times New Roman;sans-serif"/>
          <w:b w:val="false"/>
          <w:color w:val="000000"/>
          <w:sz w:val="20"/>
        </w:rPr>
        <w:t>The accompanying unaudited condensed consolidated financial state</w:t>
      </w:r>
      <w:r>
        <w:rPr>
          <w:rFonts w:ascii="Times New Roman;sans-serif" w:hAnsi="Times New Roman;sans-serif"/>
          <w:b w:val="false"/>
          <w:color w:val="000000"/>
          <w:sz w:val="20"/>
          <w:shd w:fill="FFFFFF" w:val="clear"/>
        </w:rPr>
        <w:t xml:space="preserve">ments should be read in conjunction with the Company’s audited consolidated financial statements as of and for the years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contained in our Annual Report on Form 10-K, filed with the SEC on March 25, 2024. O</w:t>
      </w:r>
      <w:r>
        <w:rPr>
          <w:rFonts w:ascii="Times New Roman;sans-serif" w:hAnsi="Times New Roman;sans-serif"/>
          <w:b w:val="false"/>
          <w:color w:val="000000"/>
          <w:sz w:val="20"/>
        </w:rPr>
        <w:t>perating results for the three months ended June 30, 2024 are not necessarily indicative of the results that may be expected for the year ending December 31, 2024. Management’s opinion is that all adjustments for a fair statement of the results for the interim periods have been made, and all adjustments are of a normal recurring nature or a description of the nature and amount of any adjustments other than normal recurring adjustments have been appropriately disclosed.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w:t>
      </w:r>
    </w:p>
    <w:p>
      <w:pPr>
        <w:pStyle w:val="TextBody"/>
        <w:bidi w:val="0"/>
        <w:spacing w:lineRule="auto" w:line="26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did not opt out of such extended transition period which means that when a standard is issued or revised and it has different application dates for public or private companies, the Company, as an EGC, can adopt the new or revised standard at the time private companies adopt the new or revised standard. </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GAAP requires us to make estimates and assumptions that affect the amounts reported in the condensed consolidated financial statements and the accompanying notes. Due to the inherent uncertainty involved in making estimates, actual results could differ from those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estimates and assumptions on historical experience, other factors, including the current economic environment, and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reporting periods.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separate discrete financial information is available for evaluation by the chief operating decision-maker (“CODM”) in making decisions regarding resource allocation and assessing performance. All of the Company’s assets are maintained in the United States. 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Concentration of Credit Risks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concentrations of credit risk consist principally of cash and cash equivalents and accounts receivable. By their nature, all such financial instruments involve risks, including the credit risk of nonperformance by counterparties.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cash and cash equivalents are held at major financial institutions. Certain account balances exceed the Federal Deposit Insurance Corporation insurance limits of $250,000 per account. The Company generally does not require collateral to support the obligations of the counterparties and cash levels held at banks are more than federally insured limits. The Company limits its exposure to credit loss by maintaining its cash and cash equivalents with highly rated financial institutions. The Company has not experienced material losses on its deposits of cash and cash equivalents.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the creditworthiness of its customers to whom it grants credit terms in the normal course of its business.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expected credit losses against amounts to reduce the net recognized receivable to the amount it reasonably believes will be collected and revenue recognition is deferred until the amount is collected and the contract is completed. For all other customers, the Company records allowances for credit losses based on the specific analysis of the customer’s ability to pay on an as needed basis.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Major customers are defined as those individually comprising more than 10% of the Company’s total revenue. There was one major customer that accounted for 90% and 92%, respectively, of the Company’s total revenue for the three and six months ended June 30, 2024, and accounted for 67% and 70%, respectively, of the Company’s total revenue for the three and six months ended June 30, 2023. The largest customer’s accounts receivable balance was 73% and 80% as of June 30, 2024 and December 31, 2023, respectively.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Major suppliers are defined as those individually comprising more than 10% of the annual goods or services purchased. For the six months ended June 30, 2024 and 2023, there was one major supplier that accounted for 20% and 34%, respectively, of the goods and services purchased, and no major supplier for the three months ended June 30, 2024 and 2023. As of June 30, 2024, there was one major supplier that accounted for 17% of the accounts payable balance and no major supplier as of December 31, 2023 with an accounts payable balance representing more than 10%. </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as of June 30, 2024 and for the six months ended June 30, 2024 and 2023, and related notes were prepared on the basis of a going concern, which contemplates that the Company will be able to realize assets and discharge liabilities in the normal course of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had cash and cash equivalents of $31.6 million and a working capital deficit of $1.9 million. The Company has historically funded its operations through internally generated cash on hand, proceeds from sales of its capital stock including the execution of SAFE Agreements, our At The Market Offering program (the “ATM” Program) with Cantor (as described below), proceeds from warrant exercises, and proceeds from the issuance of bank debt. For the six months ended June 30, 2024, the Company received approximately $78.8 million in gross proceeds from warrant exercises, sales of stock under our ATM program and other equity transactions, as further described in Notes 7 and 8.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as discussed in Notes 1 and 7, the Company entered into the Cantor Purchase Agreement, pursuant to which the Company may direct CFPI, at the Company’s discretion, to purchase up to the lesser of (i) $50.0 million of newly issued shares of Class A Common Stock and (ii) the “exchange cap” specified therein, subject to certain customary conditions and limitations set forth in the agreement. Additionally, in April 2024, the Company and Cantor entered into a Controlled Equity Offering Sales Agreement with Cantor acting as the Company’s exclusive sales agent for the sale of newly issued shares of Class A Common Stock for aggregate proceeds up to $100.0 million, as further described in Note 7. During the second quarter of 2024, the Company raised approximately $17.0 million in net proceeds pursuant to the ATM Program, followed by an additional raise of $4.1 million in net proceeds in early July 2024.</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the cash and cash equivalents as of June 30, 2024, and the additional liquidity available with the Cantor Purchase Agreement and Controlled Equity Offering Sales Agreement discussed in Note 7, will be sufficient to fund the short-term liquidity needs and the execution of the business plan through at least the twelve-month period from the date the financial statements are issued.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Transaction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consist of direct legal, consulting, audit and other fees related to the consummation of the Business Combination and related transactions as described further in Note 1. These costs were initially capitalized as incurred and recorded as prepaid expenses in our condensed consolidated balance sheets and totaled $5.3 million as of December 31, 2022. Upon the completion of the Business Combination, transaction costs directly related to the issuance of shares were netted against the proceeds from the merger and recorded as an offset in additional paid-in capital upon consummation of the transactions. Total transaction costs charged to additional paid in capital were approximately $24.4 million during the six months ended June 30, 2023. Approximately, $9.4 million in transaction costs were paid by Intuitive Machines, LLC during the six months ended June 30, 2023. The remaining difference was paid by Intuitive Machines, LLC in 2022 or by IPAX prior to the closing of the Business Combination.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which focuses on the rate reconciliation and income taxes paid. ASU No. 2023-09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public business entities, the new standard is effective for annual periods beginning after December 15, 2024, with early adoption permitted. An entity may apply the amendments in this ASU prospectively by providing the revised disclosures for the period ending December 31, 2025 and continue to provide the pre-ASU disclosures for the prior periods or may apply the amendments retrospectively by providing the revised disclosures for all period presented. The Company is assessing the potential impact of adopting the ASU on its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It requires a public entity to disclose the title and position of the Chief Operating Decision Maker.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The Company is assessing the potential impact of adopting the ASU on its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Current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other current liabilities consisted of the following (in thousands):</w:t>
      </w:r>
    </w:p>
    <w:p>
      <w:pPr>
        <w:pStyle w:val="TextBody"/>
        <w:bidi w:val="0"/>
        <w:spacing w:before="0" w:after="0"/>
        <w:jc w:val="both"/>
        <w:rPr/>
      </w:pPr>
      <w:r>
        <w:rPr/>
      </w:r>
    </w:p>
    <w:tbl>
      <w:tblPr>
        <w:tblW w:w="5837" w:type="dxa"/>
        <w:jc w:val="left"/>
        <w:tblInd w:w="0" w:type="dxa"/>
        <w:tblLayout w:type="fixed"/>
        <w:tblCellMar>
          <w:top w:w="28" w:type="dxa"/>
          <w:left w:w="28" w:type="dxa"/>
          <w:bottom w:w="28" w:type="dxa"/>
          <w:right w:w="28" w:type="dxa"/>
        </w:tblCellMar>
      </w:tblPr>
      <w:tblGrid>
        <w:gridCol w:w="1245"/>
        <w:gridCol w:w="1090"/>
        <w:gridCol w:w="1099"/>
        <w:gridCol w:w="211"/>
        <w:gridCol w:w="616"/>
        <w:gridCol w:w="109"/>
        <w:gridCol w:w="109"/>
        <w:gridCol w:w="109"/>
        <w:gridCol w:w="109"/>
        <w:gridCol w:w="245"/>
        <w:gridCol w:w="716"/>
        <w:gridCol w:w="179"/>
      </w:tblGrid>
      <w:tr>
        <w:trPr/>
        <w:tc>
          <w:tcPr>
            <w:tcW w:w="1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accruals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accruals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insurance 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 shares liability (see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 REVENUE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Disaggregated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 from contracts with customers by contract type. The following table provides information about disaggregated revenue for the three and six months ended June 30, 2024 and 2023 (in thousands):</w:t>
      </w:r>
    </w:p>
    <w:tbl>
      <w:tblPr>
        <w:tblW w:w="10722" w:type="dxa"/>
        <w:jc w:val="left"/>
        <w:tblInd w:w="0" w:type="dxa"/>
        <w:tblLayout w:type="fixed"/>
        <w:tblCellMar>
          <w:top w:w="28" w:type="dxa"/>
          <w:left w:w="28" w:type="dxa"/>
          <w:bottom w:w="28" w:type="dxa"/>
          <w:right w:w="28" w:type="dxa"/>
        </w:tblCellMar>
      </w:tblPr>
      <w:tblGrid>
        <w:gridCol w:w="654"/>
        <w:gridCol w:w="258"/>
        <w:gridCol w:w="25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271"/>
        <w:gridCol w:w="109"/>
        <w:gridCol w:w="109"/>
        <w:gridCol w:w="109"/>
        <w:gridCol w:w="211"/>
        <w:gridCol w:w="826"/>
        <w:gridCol w:w="109"/>
        <w:gridCol w:w="109"/>
        <w:gridCol w:w="109"/>
        <w:gridCol w:w="109"/>
        <w:gridCol w:w="232"/>
        <w:gridCol w:w="234"/>
        <w:gridCol w:w="271"/>
        <w:gridCol w:w="109"/>
        <w:gridCol w:w="109"/>
        <w:gridCol w:w="109"/>
        <w:gridCol w:w="211"/>
        <w:gridCol w:w="721"/>
        <w:gridCol w:w="109"/>
        <w:gridCol w:w="109"/>
        <w:gridCol w:w="109"/>
        <w:gridCol w:w="109"/>
        <w:gridCol w:w="233"/>
        <w:gridCol w:w="233"/>
        <w:gridCol w:w="316"/>
      </w:tblGrid>
      <w:tr>
        <w:trPr/>
        <w:tc>
          <w:tcPr>
            <w:tcW w:w="6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 by Contract Type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 Assets and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primarily relate to deferred contract costs for subcontracted launch services, as well as work completed not yet billed for performance obligations that are satisfied over time. Deferred contract costs and unbilled receivables are recorded contract assets on our condensed consolidated balance sheets. Contract assets related to deferred contract costs are amortized straight-line across the life of the long-term service arrangement. Contract assets related to work completed for performance obligations that are satisfied over time are transferred to receivables when the right to consideration becomes unconditional. Contract liabilities relate to billings or consideration received in advance of performance (obligation to transfer goods or services to a customer) under the contract as well as provisions for loss contracts. Contract liabilities are recognized as revenue when the performance obligation has been performed. Current deferred revenue and provisions for loss contracts are recorded in current contract liabilities on our condensed consolidated balance sheets. Long-term deferred revenue and provisions for loss contracts are recorded in long-term contract liabilities on our condensed consolidated balance sheets.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contract assets as of June 30, 2024 and December 31, 2023 (in thousands):</w:t>
      </w:r>
    </w:p>
    <w:tbl>
      <w:tblPr>
        <w:tblW w:w="4368" w:type="dxa"/>
        <w:jc w:val="left"/>
        <w:tblInd w:w="0" w:type="dxa"/>
        <w:tblLayout w:type="fixed"/>
        <w:tblCellMar>
          <w:top w:w="28" w:type="dxa"/>
          <w:left w:w="28" w:type="dxa"/>
          <w:bottom w:w="28" w:type="dxa"/>
          <w:right w:w="28" w:type="dxa"/>
        </w:tblCellMar>
      </w:tblPr>
      <w:tblGrid>
        <w:gridCol w:w="711"/>
        <w:gridCol w:w="625"/>
        <w:gridCol w:w="629"/>
        <w:gridCol w:w="211"/>
        <w:gridCol w:w="616"/>
        <w:gridCol w:w="109"/>
        <w:gridCol w:w="109"/>
        <w:gridCol w:w="109"/>
        <w:gridCol w:w="109"/>
        <w:gridCol w:w="245"/>
        <w:gridCol w:w="716"/>
        <w:gridCol w:w="179"/>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associated with deferred contract costs for subcontracted launch services was recorded in cost of revenue and was $1.5 million and $6.2 million, respectively, for the three and six months ended June 30, 2024, and $8.1 million and $18.0 million, respectively, for the three and six months ended June 30,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contract liabilities as of June 30, 2024 and December 31, 2023 (in thousands):</w:t>
      </w:r>
    </w:p>
    <w:tbl>
      <w:tblPr>
        <w:tblW w:w="5582" w:type="dxa"/>
        <w:jc w:val="left"/>
        <w:tblInd w:w="0" w:type="dxa"/>
        <w:tblLayout w:type="fixed"/>
        <w:tblCellMar>
          <w:top w:w="28" w:type="dxa"/>
          <w:left w:w="28" w:type="dxa"/>
          <w:bottom w:w="28" w:type="dxa"/>
          <w:right w:w="28" w:type="dxa"/>
        </w:tblCellMar>
      </w:tblPr>
      <w:tblGrid>
        <w:gridCol w:w="1115"/>
        <w:gridCol w:w="978"/>
        <w:gridCol w:w="982"/>
        <w:gridCol w:w="211"/>
        <w:gridCol w:w="721"/>
        <w:gridCol w:w="109"/>
        <w:gridCol w:w="109"/>
        <w:gridCol w:w="109"/>
        <w:gridCol w:w="109"/>
        <w:gridCol w:w="221"/>
        <w:gridCol w:w="757"/>
        <w:gridCol w:w="161"/>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 – 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loss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launch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 – current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 – long-term</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loss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 – long-term</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from amounts included in contract liabilities at the beginning of the period was $4.4 million and $27.5 million during the six months ended June 30, 2024 and 2023,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Loss Contracts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losses are a result of constraining variable consideration and estimated contract costs exceeding current contract price. The Company experiences favorable or unfavorable changes to contract losses from time to time due to changes in estimated contract costs and modifications that result in changes to contract price. We recorded (favorable) and unfavorable changes in net losses related to contracts with customers of $19.4 million and $11.2 million, respectively, for the three and six months ended June 30, 2024, and $7.0 million and $13.6 million, respectively, for the three and six months ended June 30,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status of these loss contracts was as follows: </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The first contract, for lunar payload services, became a loss contract in 2019 due to the constraint of variable consideration. The contract was successfully completed in February 2024</w:t>
      </w:r>
      <w:r>
        <w:rPr>
          <w:rFonts w:ascii="Times New Roman;sans-serif" w:hAnsi="Times New Roman;sans-serif"/>
          <w:b w:val="false"/>
          <w:color w:val="000000"/>
          <w:sz w:val="20"/>
          <w:shd w:fill="FFFFFF" w:val="clear"/>
        </w:rPr>
        <w:t xml:space="preserve">. As a result of the successful mission, previously constrained variable consideration of $12.3 million as of December 31, 2023 was released and approximately </w:t>
      </w:r>
      <w:r>
        <w:rPr>
          <w:rFonts w:ascii="Times New Roman;sans-serif" w:hAnsi="Times New Roman;sans-serif"/>
          <w:b w:val="false"/>
          <w:color w:val="000000"/>
          <w:sz w:val="20"/>
        </w:rPr>
        <w:t>$11.6 million</w:t>
      </w:r>
      <w:r>
        <w:rPr>
          <w:color w:val="000000"/>
          <w:shd w:fill="FFFFFF" w:val="clear"/>
        </w:rPr>
        <w:t xml:space="preserve"> </w:t>
      </w:r>
      <w:r>
        <w:rPr>
          <w:rFonts w:ascii="Times New Roman;sans-serif" w:hAnsi="Times New Roman;sans-serif"/>
          <w:b w:val="false"/>
          <w:color w:val="000000"/>
          <w:sz w:val="20"/>
          <w:shd w:fill="FFFFFF" w:val="clear"/>
        </w:rPr>
        <w:t xml:space="preserve">was recognized as revenue during the first quarter of 2024. </w:t>
      </w:r>
      <w:r>
        <w:rPr>
          <w:rFonts w:ascii="Times New Roman;sans-serif" w:hAnsi="Times New Roman;sans-serif"/>
          <w:b w:val="false"/>
          <w:color w:val="000000"/>
          <w:sz w:val="20"/>
        </w:rPr>
        <w:t xml:space="preserve">For the six months ended June 30, 2024, and 2023, changes in estimated contract costs resulted in (favorable) and unfavorable changes of $(6.7) million and $5.1 million contract loss, respectively. As of December 31, 2023, the contract loss provision recorded in contract liabilities, current in our condensed consolidated balance sheets was $10 thousand. </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The second contract, for lunar payload services, became a loss contract in 2021 due to the constraint of variable consideration and estimated contract costs exceeding current contract price. Variable consideration has been constrained to $0 from a total potential amount of $8.8 million. For the six months ended June 30, 2024 and 2023, changes in estimated contract costs resulted in an additional $10.9 million and $1.8 million in contract loss, respectively. As of June 30, 2024, and 2023, this contract was approximately 59% complete and 48% complete, respectively. The period of performance for this contract currently runs through June 2026 as a result of ongoing discussions with the customer and pending modifications to the contract. As of June 30, 2024 and December 31, 2023, the contract loss provision recorded in contract liabilities, current was $9.4 million and $7.4 million, respectively, and $3.3 million and zero, respectively, in contract liabilities, non-current in our condensed consolidated balance sheets.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The third contract, for lunar payload services, became a loss contract in 2022 due to the constraint of variable consideration and estimated contract costs exceeding current contract price. Variable consideration has been constrained to $0 from a total potential amount of $13.0 million. For the six months ended June 30, 2024 and 2023, changes in estimated contract costs resulted in an additional $6.7 million and $5.9 million in contract loss, respectively. As of June 30, 2024 this contract was approximately 87% complete. The period of performance for this contract currently runs through August 2025 as a result of modifications to the contract. As of June 30, 2024 and December 31, 2023, the contract loss provision recorded in contract liabilities, current in our condensed consolidated balance sheets was $3.2 million and $2.1 million, respectively.</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The remaining loss contracts are individually and collectively immaterial.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Remaining Performance Obligations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remaining transaction price of firm orders for which work has not been performed and excludes unexercised contract options. As of June 30, 2024, the aggregate amount of the transaction price allocated to remaining fixed price performance obligations was $94.6 million. The Company expects to recognize revenue on approximately 45-50% of the remaining performance obligations over the next 6 months, 50-55% in 2025 and the remaining thereafter. Remaining performance obligations do not include variable consideration that was determined to be constrained as of June 30, 2024.</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time and materials contracts and cost reimbursable contracts, we have adopted the practical expedient that allows us to recognize revenue based on our right to invoice; therefore, we do not report unfulfilled performance obligations for time and materials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4 - PROPERTY AND EQUIPMENT,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property and equipment, net consisted of the following (in thousands):</w:t>
      </w:r>
    </w:p>
    <w:tbl>
      <w:tblPr>
        <w:tblW w:w="6616" w:type="dxa"/>
        <w:jc w:val="left"/>
        <w:tblInd w:w="0" w:type="dxa"/>
        <w:tblLayout w:type="fixed"/>
        <w:tblCellMar>
          <w:top w:w="28" w:type="dxa"/>
          <w:left w:w="28" w:type="dxa"/>
          <w:bottom w:w="28" w:type="dxa"/>
          <w:right w:w="28" w:type="dxa"/>
        </w:tblCellMar>
      </w:tblPr>
      <w:tblGrid>
        <w:gridCol w:w="1489"/>
        <w:gridCol w:w="1306"/>
        <w:gridCol w:w="1314"/>
        <w:gridCol w:w="211"/>
        <w:gridCol w:w="721"/>
        <w:gridCol w:w="109"/>
        <w:gridCol w:w="109"/>
        <w:gridCol w:w="109"/>
        <w:gridCol w:w="109"/>
        <w:gridCol w:w="221"/>
        <w:gridCol w:w="757"/>
        <w:gridCol w:w="161"/>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and trailers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depreciation expense related to property and equipment for the three and six months ended June 30, 2024 was $423 thousand and $837 thousand, respectively, and $319 thousand and $615 thousand, respectively, for the three and six months ended June 30, 2023.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pledged property and equipment with net book value of approximately $21.3 million and $18.3 million, respectively, as security for its Credit Mobilization Facility (as defined in Note 5) with Live Oak Banking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construction in progress includes construction costs of $15.9 million associated with the fabrication of a commercial communications satellite. The Company capitalized interest in connection with construction in progress of $158 thousand and $371 thousand, respectively, for the three and six months ended June 30, 2024 and $206 thousand and $379 thousand, respectively, for the three and six months ended June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DEBT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outstanding debt (in thousands):</w:t>
      </w:r>
    </w:p>
    <w:tbl>
      <w:tblPr>
        <w:tblW w:w="5808" w:type="dxa"/>
        <w:jc w:val="left"/>
        <w:tblInd w:w="0" w:type="dxa"/>
        <w:tblLayout w:type="fixed"/>
        <w:tblCellMar>
          <w:top w:w="28" w:type="dxa"/>
          <w:left w:w="28" w:type="dxa"/>
          <w:bottom w:w="28" w:type="dxa"/>
          <w:right w:w="28" w:type="dxa"/>
        </w:tblCellMar>
      </w:tblPr>
      <w:tblGrid>
        <w:gridCol w:w="1233"/>
        <w:gridCol w:w="1083"/>
        <w:gridCol w:w="1089"/>
        <w:gridCol w:w="211"/>
        <w:gridCol w:w="616"/>
        <w:gridCol w:w="109"/>
        <w:gridCol w:w="109"/>
        <w:gridCol w:w="109"/>
        <w:gridCol w:w="109"/>
        <w:gridCol w:w="245"/>
        <w:gridCol w:w="716"/>
        <w:gridCol w:w="179"/>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Mobilization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financing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weighted-average interest rate on short-term borrowings outstanding was 10.52% and 10.20%,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Live Oak Credit Mobilization Facility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the Company entered into a loan agreement with Live Oak Banking Company (the “Credit Mobilization Facility”) which provided a $12.0 million credit mobilization facility that was paid in full as of November 2023. In July 2022, we entered into the Second Amended and Restated Loan Agreement with Live Oak Banking Company which provided an $8.0 million credit mobilization facility with a loan maturity of July 14, 2024. The Credit Mobilization Facility bears interest (payable monthly) at a rate per annum equal to the greater of (a) the prime rate, as published in the Wall Street Journal newspaper, plus 2.0% and (b) 5.0% and requires the Company to meet certain financial and other covenants and are secured by substantially all of the assets of the Company. There was $3.0 million and $8.0 million outstanding under the Credit Mobilization Facility as of June 30, 2024 and December 31, 2023, respectively. The Company paid $5.0 million during the second quarter of 2024 and paid the remaining $3.0 million in July 2024 on the Credit Mobilization Facility and the facility has been terminated.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Bridge Loan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10, 2024, the Company entered into a series of loan documents with Pershing LLC, an affiliate of Bank of New York Mellon, pursuant to which Pershing LLC agreed to an extension of credit in an amount not to exceed $10.0 million to the Company (the “Bridge Loan”). Borrowings under the Bridge Loan bear interest at the target interest rate set by the Federal Open Market Committee (“Fed Funds Rate”), subject to a 5.5% floor, plus a margin. For borrowings, the applicable rate margin is 0.9%. The $10.0 million in borrowings are available for working capital needs and other general corporate purposes must be repaid by February 22,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Bridge Loan included guarantees (the “Credit Support Guarantees”) by Ghaffarian Enterprises, LLC (an affiliate of Dr. Kamal Ghaffarian) (“Ghaffarian Enterprises” or “Guarantor”) and documentation by which Ghaffarian Enterprises, LLC supported such Credit Support Guarantees with collateral including marketable securities (the “Credit Support”), in each case in favor of the lender for the benefit of the Company. On January 10, 2024, the Company and Ghaffarian Enterprises entered into a credit support fee and subrogation agreement, where the Company agreed to pay a support fee of $148 thousand for the Credit Support.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29, 2024, the Bridge Loan was repaid in full as a result of $10.0 million in contributions from the Guarantor under the Bridge Loan Conversion transaction further described in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corporation and thus is subject to United States (“U.S.”) federal, state and local income taxes. Intuitive Machines, LLC is a partnership for U.S. federal income tax purposes and therefore does not pay U.S. federal income tax on its taxable income. Instead, the Intuitive Machines, LLC unitholders, including the Company, are liable for U.S. federal income tax on their respective shares of Intuitive Machines, LLC’s taxable income. Intuitive Machines, LLC is liable for income taxes in those states which tax entities classified as partnerships for U.S. federal income tax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we recognized a combined U.S. federal and state expense for income taxes of zero, and our combined U.S. federal and state income tax rates were 0.0%. For the three and six months ended June 30, 2023, we recognized a combined U.S. federal and state expense for income taxes of $3.5 million and $0.3 million, respectively, and our effective combined U.S. federal and state income tax rates were (23.1%) and 6.3%, respectively. For the three and six months ended June 30, 2024, our effective tax rate differed from the statutory rate of 21% primarily due to deferred taxes for which no benefit is being recorded and losses attributable to noncontrolling interest unitholders that are taxable on their respective share of taxable income. For the three and six months ended June 30, 2023, our effective tax rate differed from the statutory rate primarily due to Intuitive Machines, LLC's status as a partnership for U.S. federal income tax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consummation of the Transactions, Intuitive Machines, Inc. entered into a tax receivable agreement (the “TRA”). Pursuant to the TRA, the Company will generally be required to pay the TRA Holders 85% of the amount of the cash tax savings, if any, in U.S. federal, state, and local taxes that are based on, or measured with respect to, net income or profits, and any interest related thereto that the Company (and applicable consolidated, unitary, or combined subsidiaries thereof, if any and collectively the “Tax Group”) realizes, or is deemed to realize, as a result of certain tax attributes (the “Tax Attributes”),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tax basis adjustments resulting from taxable exchanges of Intuitive Machines, LLC Common Units (including any such adjustments resulting from certain payments made by the Company under the TRA) acquired by the Company from a TRA Holder pursuant to the terms of the Second A&amp;R Operating Agreement;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tax deductions in respect of portions of certain payments made under the TRA.</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 remains in effect until all such tax benefits have been utilized or expired unless the Company exercises its rights to terminate the TRA or in the case of a change in control of the Company or a material breach of the Company's obligations under the TRA, at which time all obligations under the TRA will be accelerated and become payable for an amount representing the present value of anticipated future tax benefits. The resulting TRA amount from an early termination would be material to the financial statements, but due to the contingent nature of such early termination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 cannot be estimated at this time. No notice of early termination has been given and the Company is not aware of any events in the foreseeable future that would give rise to an early termination of the TRA.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primarily on historical losses of Intuitive Machines, Inc., management has determined it is more-likely-than-not that the Company will be unable to utilize its deferred tax assets subject to the TRA; therefore, management applies a full valuation allowance to deferred tax asset for a corresponding liability under the TRA related to the tax savings the Company may realize from the utilization of tax deductions related to basis adjustments created by the transactions in the Business Combination Agreement. The TRA is unrecognized. Due to the fact that the Company's deferred tax assets and corresponding TRA liability are unrecognized, changes to the TRA liability had no impact on the condensed consolidated statements of operations and condensed consolidated statements of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MEZZANINE EQUITY AND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 Placement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2023, the Company consummated a securities purchase agreement (the “Purchase Agreement”) with Armistice Capital Master Fund Ltd (the “Purchaser”) pursuant to which the Company agreed to sell securities to the Purchaser in a private placement (the “Private Placement”). The Purchase Agreement provided for the sale and issuance by the Company of (i) an aggregate of 4,705,883 shares of the Company’s Class A Common Stock (the “PIPE Shares”) and (ii) an accompanying (a) warrant to purchase up to 4,705,883 shares of Class A Common Stock (the “Initial Series A Warrant”) at an exercise price of $4.75 per share and (b) warrant to purchase up to 4,705,883 shares of Class A Common Stock (the “Initial Series B Warrant”) at an exercise price of $4.75 per share, for aggregate gross proceeds of $20.0 million, before deducting related transaction costs of $1.4 million. The Initial Series A Warrant and the Initial Series B Warrant are immediately exercisable and will expire on March 5, 2029 and March 5, 2025, respectively. During the first quarter of 2024, the Initial Series A Warrant and the Initial Series B Warrant were fully exercised.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for additional information on the Initial Series A and the Initial Series B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Bridge Loan Conversion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28, 2024, the Company and the Guarantor entered into a letter agreement (the “Letter Agreement”) pursuant to which, on January 29, 2024 the Guarantor contributed $10.0 million to the Company for purposes of repaying the principal amount owed to the lender under the Bridge Loan in exchange for which the Company issued to the Guarantor 3,487,278 shares of the Company’s Class A Common Stock and Conversion Warrants described further in Note 8. Following the contribution, all amounts due to the Lender in satisfaction of the Bridge Loan were repaid in full.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for further discussion of the Conversion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Capital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reflects share information about the Company’s capital stock as of June 30, 2024. </w:t>
      </w:r>
    </w:p>
    <w:p>
      <w:pPr>
        <w:pStyle w:val="TextBody"/>
        <w:bidi w:val="0"/>
        <w:spacing w:before="0" w:after="0"/>
        <w:jc w:val="both"/>
        <w:rPr/>
      </w:pPr>
      <w:r>
        <w:rPr/>
      </w:r>
    </w:p>
    <w:tbl>
      <w:tblPr>
        <w:tblW w:w="9161" w:type="dxa"/>
        <w:jc w:val="left"/>
        <w:tblInd w:w="0" w:type="dxa"/>
        <w:tblLayout w:type="fixed"/>
        <w:tblCellMar>
          <w:top w:w="28" w:type="dxa"/>
          <w:left w:w="28" w:type="dxa"/>
          <w:bottom w:w="28" w:type="dxa"/>
          <w:right w:w="28" w:type="dxa"/>
        </w:tblCellMar>
      </w:tblPr>
      <w:tblGrid>
        <w:gridCol w:w="743"/>
        <w:gridCol w:w="654"/>
        <w:gridCol w:w="658"/>
        <w:gridCol w:w="211"/>
        <w:gridCol w:w="721"/>
        <w:gridCol w:w="109"/>
        <w:gridCol w:w="109"/>
        <w:gridCol w:w="109"/>
        <w:gridCol w:w="109"/>
        <w:gridCol w:w="379"/>
        <w:gridCol w:w="379"/>
        <w:gridCol w:w="383"/>
        <w:gridCol w:w="109"/>
        <w:gridCol w:w="109"/>
        <w:gridCol w:w="109"/>
        <w:gridCol w:w="378"/>
        <w:gridCol w:w="378"/>
        <w:gridCol w:w="385"/>
        <w:gridCol w:w="109"/>
        <w:gridCol w:w="109"/>
        <w:gridCol w:w="109"/>
        <w:gridCol w:w="429"/>
        <w:gridCol w:w="429"/>
        <w:gridCol w:w="431"/>
        <w:gridCol w:w="109"/>
        <w:gridCol w:w="109"/>
        <w:gridCol w:w="109"/>
        <w:gridCol w:w="346"/>
        <w:gridCol w:w="346"/>
        <w:gridCol w:w="49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62,469,364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61,219,364</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66,109,012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66,109,012</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128,583,376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127,333,376</w:t>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Equity Facility</w:t>
      </w:r>
    </w:p>
    <w:p>
      <w:pPr>
        <w:pStyle w:val="TextBody"/>
        <w:bidi w:val="0"/>
        <w:spacing w:before="0" w:after="0"/>
        <w:jc w:val="both"/>
        <w:rPr/>
      </w:pPr>
      <w:r>
        <w:rPr/>
      </w:r>
    </w:p>
    <w:p>
      <w:pPr>
        <w:pStyle w:val="TextBody"/>
        <w:bidi w:val="0"/>
        <w:spacing w:lineRule="auto" w:line="25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2022, the Company entered into the Cantor Purchase Agreement with CFPI relating to an equity facility under which shares of newly issued Class A Common Stock may be sold to CFPI by Intuitive Machines, Inc. Pursuant to the terms of the Cantor Purchase Agreement, Intuitive Machines, Inc. will have the right, but not the obligation, from time to time at its sole discretion, until the first day of the month following the 18-month period from and after the Commencement (as defined in the Cantor Purchase Agreement), to direct CFPI to purchase up to the lesser of (i) $50.0 million of newly issued shares of Class A Common Stock and (ii) the Exchange Cap, by delivering written notice to CFPI prior to the commencement of trading on any trading day, subject to certain customary conditions and limitations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Cantor Purchase Agreement. In connection with the execution of the Cantor Purchase Agreement, the Company agreed to issue 100,000 shares of Class A Common Stock to CFPI. The Company entered into a registration rights agreement with CFPI, pursuant to which it agreed to register for resale, pursuant to Rule 415 under the Securities Act, the shares of Class A Common Stock that are sold to CFPI under the equity facility and the Commitment Shares. During the second quarter of 2023, we recorded a recapitalization adjustment to increase other current liabilities and decrease to paid-in capital for $1.0 million to recognize the Commitment Share liability within our condensed consolidated balance sheets which was not previously recognized in the balance sheet of IPAX prior to the closing of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issued 95,785 Commitment Shares to CFPI. Under the terms of the Cantor Purchase Agreement, to the extent after the resale of the Commitment Shares by CFPI is less than $1.0 million, the Company will pay CFPI the difference between $1.0 million and the net proceeds of the resale of the Commitment Shares received by CFPI in cash. During the first quarter of 2024, CFPI sold the 95,785 Commitment Shares. As of June 30, 2024, Company has a remaining liability of approximately $334 thousand, reflected in other current liabilities in our condensed consolidated balance sheets.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no shares of Class A Common Stock have been sold to CFPI under the Cantor Purchase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Controlled Equity Offering Sales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2024, the Company entered into a Controlled Equity Offering Sales Agreement (the “Sales Agreement”) with Cantor Fitzgerald &amp; Co. (“Cantor” or “agent”) to sell shares of the Class A Common Stock having an aggregate sale price of up to $100.0 million through our ATM Program under which Cantor acts as the sales agent. The sales of the shares made under the ATM Program may be made by any method permitted by law deemed to be an “at the market offering” as defined in Rule 415 promulgated under the Securities Act of 1933, as amended. The agent sells the Class A Common Stock based upon the Company’s instructions (including any price, time or size limits or other customary parameters or conditions the Company may impose). Under the ATM Program, the agent is entitled to total compensation at a commission rate of up to 3.0% of the sales price per share sold.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has sold and issued 3,582,583 shares of Class A Common Stock under the ATM Program and received net cash proceeds of approximately $17.0 million.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Series A Preferred Stock</w:t>
      </w:r>
      <w:r>
        <w:rPr>
          <w:color w:val="000000"/>
        </w:rPr>
        <w:t xml:space="preserve"> </w:t>
      </w:r>
      <w:r>
        <w:rPr>
          <w:rFonts w:ascii="Times New Roman;sans-serif" w:hAnsi="Times New Roman;sans-serif"/>
          <w:b w:val="false"/>
          <w:i/>
          <w:color w:val="000000"/>
          <w:sz w:val="20"/>
        </w:rPr>
        <w:t>(Mezzanine Equity)</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As a result of the</w:t>
      </w:r>
      <w:r>
        <w:rPr>
          <w:color w:val="342F2F"/>
          <w:shd w:fill="FFFFFF" w:val="clear"/>
        </w:rPr>
        <w:t xml:space="preserve"> </w:t>
      </w:r>
      <w:r>
        <w:rPr>
          <w:rFonts w:ascii="Times New Roman;sans-serif" w:hAnsi="Times New Roman;sans-serif"/>
          <w:b w:val="false"/>
          <w:color w:val="342F2F"/>
          <w:sz w:val="20"/>
          <w:shd w:fill="FFFFFF" w:val="clear"/>
        </w:rPr>
        <w:t>Private Placement Transaction on September 5, 2023 dis</w:t>
      </w:r>
      <w:r>
        <w:rPr>
          <w:rFonts w:ascii="Times New Roman;sans-serif" w:hAnsi="Times New Roman;sans-serif"/>
          <w:b w:val="false"/>
          <w:color w:val="342F2F"/>
          <w:sz w:val="20"/>
        </w:rPr>
        <w:t xml:space="preserve">cussed above and in accordance with the terms of the Certificate of Designation, the Series A Preferred Stock conversion price was reduced from </w:t>
      </w:r>
      <w:r>
        <w:rPr>
          <w:rFonts w:ascii="Times New Roman;sans-serif" w:hAnsi="Times New Roman;sans-serif"/>
          <w:b w:val="false"/>
          <w:color w:val="000000"/>
          <w:sz w:val="20"/>
        </w:rPr>
        <w:t>$12.00</w:t>
      </w:r>
      <w:r>
        <w:rPr>
          <w:color w:val="342F2F"/>
        </w:rPr>
        <w:t xml:space="preserve"> </w:t>
      </w:r>
      <w:r>
        <w:rPr>
          <w:rFonts w:ascii="Times New Roman;sans-serif" w:hAnsi="Times New Roman;sans-serif"/>
          <w:b w:val="false"/>
          <w:color w:val="342F2F"/>
          <w:sz w:val="20"/>
        </w:rPr>
        <w:t xml:space="preserve">per share to $5.10 per share. Additionally, as a result of </w:t>
      </w:r>
      <w:r>
        <w:rPr>
          <w:rFonts w:ascii="Times New Roman;sans-serif" w:hAnsi="Times New Roman;sans-serif"/>
          <w:b w:val="false"/>
          <w:color w:val="000000"/>
          <w:sz w:val="20"/>
        </w:rPr>
        <w:t xml:space="preserve">the Warrant Exercise Agreement on January 10, 2024 in conjunction with the warrant transactions discussed in Note 8, the Series A Preferred Stock conversion price was further reduced from $5.10 per share to $3.00 per share. </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 series of notifications to the Company during February 2024, the registered holder of 21,000 shares of Series A Preferred Stock elected to convert all of its Series A Preferred Stock holdings into Class A Common Stock at a conversion price of $3.00 per share. The Company issued 7,738,743 shares of Class A Common Stock as a result of the conversion and recorded an increase to equity of approximately $23.1 million and a corresponding decrease to Series A Preferred Stock in the condensed consolidated balance sheets.</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color w:val="000000"/>
          <w:sz w:val="20"/>
        </w:rPr>
        <w:t xml:space="preserve">Redeemable Noncontrolling Interests </w:t>
      </w:r>
      <w:r>
        <w:rPr>
          <w:rFonts w:ascii="Times New Roman;sans-serif" w:hAnsi="Times New Roman;sans-serif"/>
          <w:b w:val="false"/>
          <w:i/>
          <w:color w:val="000000"/>
          <w:sz w:val="20"/>
        </w:rPr>
        <w:t>(Mezzanine Equity)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As of June 30, 2024, the prior investors of Intuitive Machines, LLC own 51.9% of the outstanding common units of Intuitive Machines, LLC. The prior investors of Intuitive Machines, LLC have the right to exchange their common units in Intuitive Machines, LLC </w:t>
      </w:r>
      <w:r>
        <w:rPr>
          <w:rFonts w:ascii="Times New Roman;sans-serif" w:hAnsi="Times New Roman;sans-serif"/>
          <w:b w:val="false"/>
          <w:color w:val="000000"/>
          <w:sz w:val="20"/>
          <w:shd w:fill="FFFFFF" w:val="clear"/>
        </w:rPr>
        <w:t>(along with the cancellation of the paired shares of Class B Common Stock or Class C Common Stock in Intuitive Machines, Inc.)</w:t>
      </w:r>
      <w:r>
        <w:rPr>
          <w:color w:val="000000"/>
        </w:rPr>
        <w:t xml:space="preserve"> </w:t>
      </w:r>
      <w:r>
        <w:rPr>
          <w:rFonts w:ascii="Times New Roman;sans-serif" w:hAnsi="Times New Roman;sans-serif"/>
          <w:b w:val="false"/>
          <w:color w:val="000000"/>
          <w:sz w:val="20"/>
        </w:rPr>
        <w:t>for shares of Class A Common Stock on a one-to-one basis or cash proceeds for an equivalent amount. The option to redeem Intuitive Machines, LLC’s common units for cash proceeds must be approved by the Board, which as of June 30, 2024, is controlled by the prior investors. The ability to put common units is solely within the control of the holder of the redeemable noncontrolling interests. If the prior investors elect the redemption to be settled in cash, the cash used to settle the redemption must be funded through a private or public offering of Class A Common Stock and subject to the Company’s Board approval.</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results of Intuitive Machines, LLC and its subsidiaries are consolidated with Intuitive Machines, Inc. with the redeemable noncontrolling interests' share of our net loss separately allocated.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240" w:after="283"/>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Public and Private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closing of the Business Combination, on February 13, 2023, the Company assumed a total of 23,332,500 warrants to purchase one share of the Company’s Class A Common Stock with an exercise price of $11.50 per share, subject to adjustment. Of the warrants, 16,487,500 Public Warrants were originally issued in the IPAX initial public offering (the “IPO”) and 6,845,000 private warrants (the “Private Warrants”) were originally issued in a private placement in connection with the IPO. The Company evaluated the terms of the warrants and determined they meet the criteria in ASC 815, “Derivatives and Hedging”, to be classified in shareholders’ equity upon issuance. The warrants became exercisable 30 days after the closing of the Business Combination and will expire five years after the closing of the Business Combination.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 Warrants are identical to the Public Warrants except that the Private Warrants may not, subject to certain limited exceptions, be transferred assigned or sold by the holders until 30 days after the closing of the Business Combination. The Public Warrants and Private Warrants do not entitle the holder to any voting rights, dividends or other rights as a shareholder of the Company prior to exercise.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Once the warrants become exercisable, the Company may redeem the outstanding warrants, in whole or in part, at a price of $0.01 per warrant upon a minimum of 30 days prior written notice of redemption and if, and only if, the closing price of the Company’s Class A Common Stock equals or exceeds $18.00 per share (as adjusted for adjustments to the number of shares issuable upon exercise pursuant to any anti-dilution adjustments) for any 20 days within a 30-trading day period ending three business days before the Company sends the notice of redemption to the warrant holders. The number of Class A Common Stock issuable on exercise of each warrant will be increased in proportion to certain increases in outstanding Class A Common Stock including any share capitalization payable, sub-division of shares or other similar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six months ended June 30, 2024, 101 Public Warrants were exercised resulting in the issuance of an equal number of shares of Class A Common Stock. During the year ended December 31, 2023, Public Warrants of 1,402,106 were exercised resulting in the issuance of an equal number of shares of Class A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Series A Preferred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issuance of Series A Preferred Stock at closing of the Business Combination, the Company issued 541,667 Preferred Investor Warrants to purchase one share of the Company’s Class A Common Stock with an exercise price of $15.00, subject to adjustment. The Company evaluated the terms of the Preferred Investor Warrants and determined they meet the criteria to be classified in shareholders’ equity upon issuance.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Preferred Investor Warrants were immediately exercisable upon issuance and expire five years from the closing of the Business Combination. The Preferred Investor Warrants include customary cash and cashless exercise provisions and may be exercised on a cashless basis if, at any time after the six month anniversary of the Closing Date, there is not an effective registration statement with respect to the Class A Common Stock. The Preferred Investor Warrants have the same terms and conditions as the Public Warrants. The Preferred Investor Warrants do not entitle the holder to any voting rights, dividends or other rights as a shareholder of the Company prior to exercise.</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 xml:space="preserve">As result of the Private Placement Transaction on September 5, 2023 discussed in Note 7 and in accordance with the terms of the Certificate of Designation, the Series A Preferred Warrants exercise price was reduced from </w:t>
      </w:r>
      <w:r>
        <w:rPr>
          <w:rFonts w:ascii="Times New Roman;sans-serif" w:hAnsi="Times New Roman;sans-serif"/>
          <w:b w:val="false"/>
          <w:color w:val="000000"/>
          <w:sz w:val="20"/>
        </w:rPr>
        <w:t>$15.00</w:t>
      </w:r>
      <w:r>
        <w:rPr>
          <w:color w:val="342F2F"/>
        </w:rPr>
        <w:t xml:space="preserve"> </w:t>
      </w:r>
      <w:r>
        <w:rPr>
          <w:rFonts w:ascii="Times New Roman;sans-serif" w:hAnsi="Times New Roman;sans-serif"/>
          <w:b w:val="false"/>
          <w:color w:val="342F2F"/>
          <w:sz w:val="20"/>
        </w:rPr>
        <w:t>to $11.50 per share and the aggregate number of shares of Class A Common Stock issuable upon exercise of the Series A Preferred Warrants was proportionally increased to 706,522.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have been no exercises of the Preferred Investor Warrants.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Warrant Exercise Agreement and Warrant Exercises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10, 2024, the Company entered into a Warrant Exercise Agreement with the Armistice Capital Master Fund Ltd (the “Purchaser”) to exercise in full a warrant to purchase up to an aggregate 4,705,883 shares of Class A Common Stock (the “Initial Series B Warrant”). In consideration for the immediate and full exercise of the Initial Series B Warrant, the existing investor received (i) a new unregistered Series A Common Stock Purchase Warrant to purchase up to an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aggregate of 4,705,883 shares of Class A Common Stock with an exercise price of $2.75 per share and a term of 5.5 years (the “New Series A Warrant”) and (ii) a new unregistered Series B Common Stock Purchase Warrant to purchase up to an aggregate of 4,705,883 shares of Class A Common Stock with an exercise price of $2.75 per share and a term of 18 months (the “New Series B Warrant”), collectively, (the “New Warrants”), in a private placement pursuant to Section 4(a)(2) of the Securities Act of 1933. In connection with the Warrant Exercise Agreement, the Company also agreed to reduce the exercise price of the Initial Series B Warrant from $4.75 to $2.50 per share and reduced the exercise price of a warrant to purchase up to 4,705,883 shares of Class A Common Stock (the “Initial Series A Warrant”) from $4.75 to $2.75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modifications to the 4,705,883 Initial Series A Warrant and the 4,705,883 Initial Series B Warrant, collectively (the “Initial Warrants”), the Company recognized an unfavorable change in fair value of warrant liabilities of $1.2 million in the condensed consolidated statement of operations. Upon the immediate exercise of the 4,705,883 Initial Series B Warrants, the Company issued 4,705,883 shares of Class A Common Stock, received cash proceeds of approximately $11.8 million and recognized a gain on issuance of securities of approximately $1.3 million in the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Series A Warrant and New Series B Warrant were immediately exercisable and have a term of 5.5 years and 18 months, respectively. The Company evaluated the terms of the New Warrants and determined they meet the criteria in ASC 815, “Derivatives and Hedging”, to be classified as a derivative liability, initially measured at fair value with changes in fair value recognized in other income (expense) on the condensed consolidated statement of operations. The New Series A Warrant and New Series B Warrant had an initial fair value of $10.8 million and $5.7 million, respectively, which was recorded as a $16.6 million loss on issuance of securities in our condensed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Subsequently, the Purchaser exercised 4,705,883 Initial Series A Warrants, 4,705,883 New Series A Warrants and 4,705,883 New Series B Warrants during the period from February 9, 2024 to February 23, 2024. As a result, the Company issued 14,117,649 shares of Class A Common Stock and received cash proceeds of approximately $38.8 million. The Company recorded a loss on issuance of securities of approximately $47.9 million as a result of these warrant exercises.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Conversion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connection with the January 2024 Bridge Loan Conversion discussed further in Note 7, the Company agreed to issue to the Guarantor, pursuant to Section 4(a)(2) of the Securities Act of 1933, (i) a new unregistered Series A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 of 5 years, (the “Conversion Series A Warrant”) and (ii) a new unregistered Series B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w:t>
      </w:r>
      <w:r>
        <w:rPr>
          <w:color w:val="000000"/>
          <w:shd w:fill="FFFFFF" w:val="clear"/>
        </w:rPr>
        <w:t xml:space="preserve"> </w:t>
      </w:r>
      <w:r>
        <w:rPr>
          <w:rFonts w:ascii="Times New Roman;sans-serif" w:hAnsi="Times New Roman;sans-serif"/>
          <w:b w:val="false"/>
          <w:color w:val="000000"/>
          <w:sz w:val="20"/>
          <w:shd w:fill="FFFFFF" w:val="clear"/>
        </w:rPr>
        <w:t xml:space="preserve">of 18 months </w:t>
      </w:r>
      <w:r>
        <w:rPr>
          <w:rFonts w:ascii="Times New Roman;sans-serif" w:hAnsi="Times New Roman;sans-serif"/>
          <w:b w:val="false"/>
          <w:color w:val="000000"/>
          <w:sz w:val="20"/>
        </w:rPr>
        <w:t>(the “Conversion Series B Warrant”), collectively (the “Conversion Warrants”). On May 31, 2024, the Guarantor assigned the Conversion Warrants to a third party investor in a private transaction. Pursuant to the assignment to a third party investor, the Conversion Warrants are no longer exercisable for Class C Common Stock. All other terms related to the Conversion Warrants remain the same as previously discussed. Pursuant to the guidance under ASC 480 “Distinguishing Liabilities from Equity,” the Company determined that the Conversion Warrants should be recorded as liabilities as of the issuance date and March 31, 2024 and subsequently determined that they meet the criteria in ASC 815, “Derivatives and Hedging”, to be classified as a derivative liability as of May 31, 2024 and June 30, 2024, initially measured at fair value with changes in fair value recognized in earnings in other income (expense) on the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Series A Warrant and Conversion Series B Warrant had an initial fair value of $10.0 million and $5.5 million, respectively. The gross proceeds of $10.0 million from the Letter Agreement were allocated to the Conversion Warrants resulting in a loss on the transaction of approximately $5.5 million recognized as loss on issuance of securities in our condensed consolidated statement of operations. As of June 30, 2024, the fair value of the Conversion Series A Warrant and Conversion Series B Warrant increased to approximately $10.3 million and $5.8 million, respectively, resulting in a loss of approximately $0.6 million recognized as change in fair value of warrant liabilities in our condensed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June 2024, the investor exercised 300,000 Conversion Series B Warrants resulting in the issuance of an equal number of shares of Class A Common Stock and cash proceeds to the Company of $0.8 million. The Company recorded a gain on issuance of securities of approximately $0.6 million as a result of these warrant exercises.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SHARE-BASED COMPENSATION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2021 Unit Option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25, 2021, the Intuitive Machines, LLC’s board of directors adopted, and its members approved the 2021 Unit Option Plan (the “2021 Plan”). The 2021 Plan allowed the Intuitive Machines, LLC to grant incentive unit options (“Incentive Unit Options”) to purchase Class B unit interests. Pursuant to the 2021 Plan, up to 6,125,000 shares of Class B units were reserved for issuance, upon exercise of the aforementioned Incentive Unit Options made to employees, directors and consultants.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a result of the Business Combination discussed in Note 1 and per the terms of the Second Amended and Restated Intuitive Machines, LLC Operating Agreement, the unexpired and </w:t>
      </w:r>
      <w:r>
        <w:rPr>
          <w:rFonts w:ascii="Times New Roman;sans-serif" w:hAnsi="Times New Roman;sans-serif"/>
          <w:b w:val="false"/>
          <w:color w:val="000000"/>
          <w:sz w:val="20"/>
          <w:shd w:fill="FFFFFF" w:val="clear"/>
        </w:rPr>
        <w:t xml:space="preserve">unexercised outstanding Incentive Unit Options at the closing of the Business Combination,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(the “Class B Common Units”). When an option is exercised, the participant will receive Class A Common Stock. As a result of the conversions, there was no incremental compensation cost and the terms of the outstanding options, including fair value, vesting conditions and classification, were unchanged.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Intuitive Machines, LLC was authorized to issue a total of 1,138,181 Class B Common Units upon exercise of the Incentive Unit Options under the 2021 Plan. The following table provides a summary of the option activity under the 2021 Plan for the six months ended June 30, 2024:</w:t>
      </w:r>
    </w:p>
    <w:tbl>
      <w:tblPr>
        <w:tblW w:w="8240" w:type="dxa"/>
        <w:jc w:val="left"/>
        <w:tblInd w:w="0" w:type="dxa"/>
        <w:tblLayout w:type="fixed"/>
        <w:tblCellMar>
          <w:top w:w="28" w:type="dxa"/>
          <w:left w:w="28" w:type="dxa"/>
          <w:bottom w:w="28" w:type="dxa"/>
          <w:right w:w="28" w:type="dxa"/>
        </w:tblCellMar>
      </w:tblPr>
      <w:tblGrid>
        <w:gridCol w:w="1147"/>
        <w:gridCol w:w="1006"/>
        <w:gridCol w:w="1012"/>
        <w:gridCol w:w="309"/>
        <w:gridCol w:w="309"/>
        <w:gridCol w:w="313"/>
        <w:gridCol w:w="109"/>
        <w:gridCol w:w="109"/>
        <w:gridCol w:w="109"/>
        <w:gridCol w:w="211"/>
        <w:gridCol w:w="511"/>
        <w:gridCol w:w="109"/>
        <w:gridCol w:w="109"/>
        <w:gridCol w:w="109"/>
        <w:gridCol w:w="109"/>
        <w:gridCol w:w="330"/>
        <w:gridCol w:w="330"/>
        <w:gridCol w:w="331"/>
        <w:gridCol w:w="109"/>
        <w:gridCol w:w="109"/>
        <w:gridCol w:w="109"/>
        <w:gridCol w:w="211"/>
        <w:gridCol w:w="97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br/>
              <w:t>(000’s)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June 30, 2024</w:t>
            </w:r>
          </w:p>
        </w:tc>
        <w:tc>
          <w:tcPr>
            <w:tcW w:w="9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885,770 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 represents the difference between the exercise price of the options and the market price of our Class A Common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weighted-average grant-date fair value of unit options under the 2021 Plan:</w:t>
      </w:r>
    </w:p>
    <w:tbl>
      <w:tblPr>
        <w:tblW w:w="4079" w:type="dxa"/>
        <w:jc w:val="left"/>
        <w:tblInd w:w="0" w:type="dxa"/>
        <w:tblLayout w:type="fixed"/>
        <w:tblCellMar>
          <w:top w:w="28" w:type="dxa"/>
          <w:left w:w="28" w:type="dxa"/>
          <w:bottom w:w="28" w:type="dxa"/>
          <w:right w:w="28" w:type="dxa"/>
        </w:tblCellMar>
      </w:tblPr>
      <w:tblGrid>
        <w:gridCol w:w="1120"/>
        <w:gridCol w:w="982"/>
        <w:gridCol w:w="988"/>
        <w:gridCol w:w="238"/>
        <w:gridCol w:w="577"/>
        <w:gridCol w:w="17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2023</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June 30, 2024</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options was $106 thousand and $220 thousand for the three and six months ended June 30, 2024, respectively, and $278 thousand and $485 thousand for the three and six months ended June 30, 2023, respectively, and was classified in the condensed consolidated statement of operations under general and administrative expense. As of June 30, 2024, the Company had $479 thousand in estimated unrecognized share-based compensation costs related to outstanding unit options that is expected to be recognized over a weighted average period of 2.97 years.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the Business Combination, no new awards will be granted under the 2021 Plan.</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Intuitive Machines, Inc. 2023 Long Term Omnibus Incentive Plan (the “2023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2023 Plan, which became effective in conjunction with closing of the Business Combination, provides for the award to certain directors, officers, employees, consultants and advisors of the Company of incentive and nonqualified stock options, stock appreciation rights, restricted stock, restricted stock units, other stock-based awards as well as cash-based awards and dividend equivalents, as determined, and subject to the terms and conditions established, by the Company’s Compensation Committee. Under the 2023 Plan, a maximu</w:t>
      </w:r>
      <w:r>
        <w:rPr>
          <w:rFonts w:ascii="Times New Roman;sans-serif" w:hAnsi="Times New Roman;sans-serif"/>
          <w:b w:val="false"/>
          <w:color w:val="000000"/>
          <w:sz w:val="20"/>
          <w:shd w:fill="FFFFFF" w:val="clear"/>
        </w:rPr>
        <w:t xml:space="preserve">m of </w:t>
      </w:r>
      <w:r>
        <w:rPr>
          <w:rFonts w:ascii="Times New Roman;sans-serif" w:hAnsi="Times New Roman;sans-serif"/>
          <w:b w:val="false"/>
          <w:color w:val="000000"/>
          <w:sz w:val="20"/>
        </w:rPr>
        <w:t>12,706,811</w:t>
      </w:r>
      <w:r>
        <w:rPr>
          <w:color w:val="000000"/>
          <w:shd w:fill="FFFFFF" w:val="clear"/>
        </w:rPr>
        <w:t xml:space="preserve"> </w:t>
      </w:r>
      <w:r>
        <w:rPr>
          <w:rFonts w:ascii="Times New Roman;sans-serif" w:hAnsi="Times New Roman;sans-serif"/>
          <w:b w:val="false"/>
          <w:color w:val="000000"/>
          <w:sz w:val="20"/>
          <w:shd w:fill="FFFFFF" w:val="clear"/>
        </w:rPr>
        <w:t>sh</w:t>
      </w:r>
      <w:r>
        <w:rPr>
          <w:rFonts w:ascii="Times New Roman;sans-serif" w:hAnsi="Times New Roman;sans-serif"/>
          <w:b w:val="false"/>
          <w:color w:val="000000"/>
          <w:sz w:val="20"/>
        </w:rPr>
        <w:t xml:space="preserve">ares of Class A Common Stock are authorized to be issued. As of June 30, 2024, the Company has issued restricted stock units (“RSUs”) and performance stock units (“PSUs) as outlined in the following disclosures. No other awards have been granted under the 2023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 and Performance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2023 Plan, the Company grants RSUs with time-based vesting requirements which typically vest over one to four years and PSUs with target performance-based vesting requirements based on continuous service. The fair value of RSUs and PSUs are based on the Company’s closing stock price on the date of grant.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Company’s RSU and PSU activity:</w:t>
      </w:r>
    </w:p>
    <w:p>
      <w:pPr>
        <w:pStyle w:val="TextBody"/>
        <w:bidi w:val="0"/>
        <w:spacing w:before="0" w:after="0"/>
        <w:jc w:val="both"/>
        <w:rPr/>
      </w:pPr>
      <w:r>
        <w:rPr/>
      </w:r>
    </w:p>
    <w:tbl>
      <w:tblPr>
        <w:tblW w:w="7751" w:type="dxa"/>
        <w:jc w:val="left"/>
        <w:tblInd w:w="0" w:type="dxa"/>
        <w:tblLayout w:type="fixed"/>
        <w:tblCellMar>
          <w:top w:w="28" w:type="dxa"/>
          <w:left w:w="28" w:type="dxa"/>
          <w:bottom w:w="28" w:type="dxa"/>
          <w:right w:w="28" w:type="dxa"/>
        </w:tblCellMar>
      </w:tblPr>
      <w:tblGrid>
        <w:gridCol w:w="1147"/>
        <w:gridCol w:w="1006"/>
        <w:gridCol w:w="1012"/>
        <w:gridCol w:w="347"/>
        <w:gridCol w:w="347"/>
        <w:gridCol w:w="355"/>
        <w:gridCol w:w="109"/>
        <w:gridCol w:w="109"/>
        <w:gridCol w:w="109"/>
        <w:gridCol w:w="773"/>
        <w:gridCol w:w="1873"/>
        <w:gridCol w:w="56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40" w:before="0" w:after="0"/>
              <w:jc w:val="center"/>
              <w:rPr/>
            </w:pPr>
            <w:r>
              <w:rPr>
                <w:rFonts w:ascii="Times New Roman;sans-serif" w:hAnsi="Times New Roman;sans-serif"/>
                <w:b/>
                <w:color w:val="000000"/>
                <w:sz w:val="16"/>
              </w:rPr>
              <w:t>Units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10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    PSU grants of 919,007 were included at the 100% attainment level which were based on several performance goals related to our mission which successfully completed in February 2024 of which all 919,007 PSU grants fully vested in April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RSUs was $1.4 million and $2.5 million for the three and six months ended June 30, 2024, respectively, and $0.7 million for the three and six months ended June 30, 2023. Share-based compensation expense related to PSUs was $0.5 million and $3.2 million for the three and six months ended June 30, 2024, respectively. Share-based compensation expense for RSUs and PSUs are classified in the condensed consolidated statement of operations under general and administrative expense. As of June 30, 2024, the Company had $11.9 million in estimated unrecognized share-based compensation costs related to unvested RSUs that is expected to be recognized over a weighted average period of 3.06 years. As of April 2024, the PSUs were fully vested and hence the Company has no estimated unrecognized share-based compensation costs related to unvested PSUs.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FAIR VALUE MEASUREMENTS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fair value of assets and liabilities that are recorded in the Company’s condensed consolidated balance sheets as of June 30, 2024 and December 31, 2023 at fair value on a recurring basis. </w:t>
      </w:r>
    </w:p>
    <w:p>
      <w:pPr>
        <w:pStyle w:val="TextBody"/>
        <w:bidi w:val="0"/>
        <w:spacing w:before="0" w:after="0"/>
        <w:jc w:val="both"/>
        <w:rPr/>
      </w:pPr>
      <w:r>
        <w:rPr/>
      </w:r>
    </w:p>
    <w:tbl>
      <w:tblPr>
        <w:tblW w:w="9342" w:type="dxa"/>
        <w:jc w:val="left"/>
        <w:tblInd w:w="0" w:type="dxa"/>
        <w:tblLayout w:type="fixed"/>
        <w:tblCellMar>
          <w:top w:w="28" w:type="dxa"/>
          <w:left w:w="28" w:type="dxa"/>
          <w:bottom w:w="28" w:type="dxa"/>
          <w:right w:w="28" w:type="dxa"/>
        </w:tblCellMar>
      </w:tblPr>
      <w:tblGrid>
        <w:gridCol w:w="1223"/>
        <w:gridCol w:w="1071"/>
        <w:gridCol w:w="1080"/>
        <w:gridCol w:w="360"/>
        <w:gridCol w:w="360"/>
        <w:gridCol w:w="361"/>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Frequency of</w:t>
              <w:br/>
              <w:t>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 - Series A</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 - Series B</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Warrant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measured at fair value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42" w:type="dxa"/>
        <w:jc w:val="left"/>
        <w:tblInd w:w="0" w:type="dxa"/>
        <w:tblLayout w:type="fixed"/>
        <w:tblCellMar>
          <w:top w:w="28" w:type="dxa"/>
          <w:left w:w="28" w:type="dxa"/>
          <w:bottom w:w="28" w:type="dxa"/>
          <w:right w:w="28" w:type="dxa"/>
        </w:tblCellMar>
      </w:tblPr>
      <w:tblGrid>
        <w:gridCol w:w="1223"/>
        <w:gridCol w:w="1071"/>
        <w:gridCol w:w="1080"/>
        <w:gridCol w:w="360"/>
        <w:gridCol w:w="360"/>
        <w:gridCol w:w="361"/>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Frequency of</w:t>
              <w:br/>
              <w:t>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 - Series A</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 - Series B</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Warrant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measured at fair value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roll-forward of the Company’s Level 3 liabilities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6"/>
        <w:gridCol w:w="685"/>
        <w:gridCol w:w="688"/>
        <w:gridCol w:w="279"/>
        <w:gridCol w:w="956"/>
        <w:gridCol w:w="144"/>
        <w:gridCol w:w="109"/>
        <w:gridCol w:w="109"/>
        <w:gridCol w:w="109"/>
        <w:gridCol w:w="439"/>
        <w:gridCol w:w="1285"/>
        <w:gridCol w:w="227"/>
        <w:gridCol w:w="109"/>
        <w:gridCol w:w="109"/>
        <w:gridCol w:w="109"/>
        <w:gridCol w:w="437"/>
        <w:gridCol w:w="1277"/>
        <w:gridCol w:w="225"/>
        <w:gridCol w:w="109"/>
        <w:gridCol w:w="109"/>
        <w:gridCol w:w="109"/>
        <w:gridCol w:w="343"/>
        <w:gridCol w:w="1175"/>
        <w:gridCol w:w="258"/>
      </w:tblGrid>
      <w:tr>
        <w:trPr/>
        <w:tc>
          <w:tcPr>
            <w:tcW w:w="80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Earn-out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 liabilities -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 liabilities -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Warrant liabilities</w:t>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Converted to equity</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2024</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16,109 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Earn-out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earn-out liabilities as of June 30, 2024 was estimated using a Monte Carlo simulation approach that modeled the triggering events including the simulated stock price of the Company over the maturity dates. The significant assumptions utilized in estimating the fair value of the earn-out liabilities include: (i) Intuitive Machines stock price of $3.30; (ii) a dividend yield of 0.0%; (iii) a risk-free rate of 4.36%; and (iv) expected volatility of 85%.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certain Intuitive Machines, LLC members received 10,000,000 earn out units of Intuitive Machines, LLC (“Earn Out Units”) subject to certain triggering events. Upon the vesting of any Earn Out Units, each of the certain Intuitive Machines, LLC members will be issued (i) by Intuitive Machines, LLC an equal number of Intuitive Machines, LLC Common Units and (ii) by Intuitive Machines, an equal number of shares of Class C Common Stock, in exchange for surrender of the applicable Earn Out Units and the payment to Intuitive Machines, Inc. of a per-share price equal to the par value per share of the Class C Common Stock. Under the earn out agreement, Earn Out Units of 2,500,000 vested for the year ended December 31, 2023. For the six months ended June 30, 2024, there was no vesting of Earn Out Units.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Warrant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Initial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Warrant Exercise Agreement on January 10, 2024 (as further described in Note 8 and discussed below), the terms of the Initial Warrants were modified, and the Initial Series B Warrant was exercised in full and converted to equity. The pre-modification fair value of the Initial Warrant liabilities was estimated using a Black-Scholes-Merton model. The significant assumptions utilized in estimating the pre-modification fair value of the Series A Warrant liabilities include: (i) a per share price of the Class A Common Stock of $2.83; (ii) a dividend yield of 0.0%; (iii) a risk-free rate of 3.99%; and (iv) expected volatility of 104%. The significant assumptions utilized in estimating the pre-modification fair value of the Series B Warrant liabilities include: (i) a per share price of the Class A Common Stock of $2.83; (ii) a dividend yield of 0.0%; (iii) a risk-free rate of 4.75%; and (iv) expected volatility of 85%.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February 2024, the investor also fully exercised and converted to equity the Initial Series A Warrant. Refer to Note 8 for more information on the warrant exercises.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New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Warrant Exercise Agreement on January 10, 2024 as described further in Note 8, the fair values of the New Series A Warrant and the New Series B Warrant liabilities were estimated at $10.8 million and $5.7 million, respectively, utilizing the Black-Scholes-Merton model. The significant assumptions utilized in estimating the fair value of the New Series A Warrant liabilities include: (i) a per share price of the Class A Common Stock of $2.83; (ii) a dividend yield of 0.0%; (iii) a risk-free rate of 4.00%; and (iv) expected volatility of 105%. The significant assumptions utilized in estimating the fair value of the New Series B Warrant liabilities include: (i) a per share price of the Class A Common Stock of $2.83; (ii) a dividend yield of 0.0%; (iii) a risk-free rate of 4.55%; and (iv) expected volatility of 83%.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February 2024, the investor fully exercised and converted to equity the New Warrants. Refer to Note 8 for more information on the warrant exercises.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Letter Agreement and the issuance of warrants on January 29, 2024 as described further in Notes 5 and 8, the fair values of the Conversion Series A Warrant and the Conversion Series B Warrant liabilities were estimated at $10.0 million and $5.5 million, respectively, utilizing the Black-Scholes-Merton model. The significant assumptions utilized in estimating the fair value of the Conversion Series A Warrant liabilities include: (i) a per share price of the Class A Common Stock of $3.05; (ii) a dividend yield of 0.0%; (iii) a risk-free rate of 3.97%; and (iv) expected volatility of 102%. The significant assumptions utilized in estimating the fair value of the Conversion Series B Warrant liabilities include: (i) a per share price of the Class A Common Stock of $3.05; (ii) a dividend yield of 0.0%; (iii) a risk-free rate of 4.53%; and (iv) expected volatility of 76%.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Conversion Series A Warrant and the Conversion Series B Warrant liabilities as of June 30, 2024 was estimated using a Black-Scholes-Merton model. The significant assumptions utilized in estimating the fair value of the Conversion Series A Warrant liabilities include: (i) a per share price of the Class A Common Stock of $3.30; (ii) a dividend yield of 0.0%; (iii) a risk-free rate of 4.37%; and (iv) expected volatility of 94%. The significant assumptions utilized in estimating the fair value of the Conversion Series B Warrant liabilities include: (i) a per share price of the Class A Common Stock of $3.30; (ii) a dividend yield of 0.0%; (iii) a risk-free rate of 5.06%; and (iv) expected volatility of 89%.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NET INCOME (LOSS) PER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Basic net</w:t>
      </w:r>
      <w:r>
        <w:rPr>
          <w:color w:val="000000"/>
          <w:shd w:fill="FFFFFF" w:val="clear"/>
        </w:rPr>
        <w:t xml:space="preserve"> </w:t>
      </w:r>
      <w:r>
        <w:rPr>
          <w:rFonts w:ascii="Times New Roman;sans-serif" w:hAnsi="Times New Roman;sans-serif"/>
          <w:b w:val="false"/>
          <w:color w:val="000000"/>
          <w:sz w:val="20"/>
          <w:shd w:fill="FFFFFF" w:val="clear"/>
        </w:rPr>
        <w:t>loss p</w:t>
      </w:r>
      <w:r>
        <w:rPr>
          <w:rFonts w:ascii="Times New Roman;sans-serif" w:hAnsi="Times New Roman;sans-serif"/>
          <w:b w:val="false"/>
          <w:color w:val="000000"/>
          <w:sz w:val="20"/>
        </w:rPr>
        <w:t>er share of Class A common stock is computed by dividing</w:t>
      </w:r>
      <w:r>
        <w:rPr>
          <w:color w:val="000000"/>
          <w:shd w:fill="FFFFFF" w:val="clear"/>
        </w:rPr>
        <w:t xml:space="preserve"> </w:t>
      </w:r>
      <w:r>
        <w:rPr>
          <w:rFonts w:ascii="Times New Roman;sans-serif" w:hAnsi="Times New Roman;sans-serif"/>
          <w:b w:val="false"/>
          <w:color w:val="000000"/>
          <w:sz w:val="20"/>
          <w:shd w:fill="FFFFFF" w:val="clear"/>
        </w:rPr>
        <w:t xml:space="preserve">net loss attributable to Class A common shareholders for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rPr>
        <w:t>June 30, 2024, the three months ended June 30, 2023, and the period from February 13, 2023, or the Closing Date, to June 30, 2023</w:t>
      </w:r>
      <w:r>
        <w:rPr>
          <w:color w:val="000000"/>
          <w:shd w:fill="FFFFFF" w:val="clear"/>
        </w:rPr>
        <w:t xml:space="preserve"> </w:t>
      </w:r>
      <w:r>
        <w:rPr>
          <w:rFonts w:ascii="Times New Roman;sans-serif" w:hAnsi="Times New Roman;sans-serif"/>
          <w:b w:val="false"/>
          <w:color w:val="000000"/>
          <w:sz w:val="20"/>
        </w:rPr>
        <w:t>by the weighted-average number of shares of Class A common stock outstanding for the same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of Class A common stock includes additional weighted average common shares that would have been outstanding if potential common shares with a dilutive effect had been issued using the if-converted method for the Series A Preferred Stock and the treasury method for our RSUs, PSUs, options, and warrants. During loss periods, diluted net loss per share for all periods presented is the same as basic net loss per share as the inclusion of the potentially issuable shares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the basic and diluted income per share of Class A Common Stock (in thousands, except share data):</w:t>
      </w:r>
    </w:p>
    <w:tbl>
      <w:tblPr>
        <w:tblW w:w="10205" w:type="dxa"/>
        <w:jc w:val="left"/>
        <w:tblInd w:w="0" w:type="dxa"/>
        <w:tblLayout w:type="fixed"/>
        <w:tblCellMar>
          <w:top w:w="28" w:type="dxa"/>
          <w:left w:w="28" w:type="dxa"/>
          <w:bottom w:w="28" w:type="dxa"/>
          <w:right w:w="28" w:type="dxa"/>
        </w:tblCellMar>
      </w:tblPr>
      <w:tblGrid>
        <w:gridCol w:w="1807"/>
        <w:gridCol w:w="1511"/>
        <w:gridCol w:w="1530"/>
        <w:gridCol w:w="211"/>
        <w:gridCol w:w="721"/>
        <w:gridCol w:w="109"/>
        <w:gridCol w:w="109"/>
        <w:gridCol w:w="109"/>
        <w:gridCol w:w="109"/>
        <w:gridCol w:w="211"/>
        <w:gridCol w:w="721"/>
        <w:gridCol w:w="109"/>
        <w:gridCol w:w="109"/>
        <w:gridCol w:w="109"/>
        <w:gridCol w:w="109"/>
        <w:gridCol w:w="211"/>
        <w:gridCol w:w="886"/>
        <w:gridCol w:w="109"/>
        <w:gridCol w:w="109"/>
        <w:gridCol w:w="109"/>
        <w:gridCol w:w="109"/>
        <w:gridCol w:w="211"/>
        <w:gridCol w:w="721"/>
        <w:gridCol w:w="156"/>
      </w:tblGrid>
      <w:tr>
        <w:trPr/>
        <w:tc>
          <w:tcPr>
            <w:tcW w:w="180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xml:space="preserve">Numerator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(post Business Combination)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Net loss attributable to redeemable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Net income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the Company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Cumulative preferred dividends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Class A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Denominator</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 weighted-average shares of Class A common stock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55,093,365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15,705,265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45,844,343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15,543,800</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RSUs, PSUs, and Options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1,426,566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1,457,129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1,505,845</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Series A Preferred Stock</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1,869,280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2,221,207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2,207,590</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Warrants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3,886,381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4,934,618</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 weighted-average shares of Class A common stock outstanding</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62,275,592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19,383,601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45,844,343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24,191,853</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per share of Class A common stock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per share of Class A common stock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potentially dilutive securities, as of the end of the period, excluded from the computation of diluted net loss per share of Class A Common Stock as their effect would be anti-dilutive or because of unsatisfied contingent issuance conditions.</w:t>
      </w:r>
    </w:p>
    <w:tbl>
      <w:tblPr>
        <w:tblW w:w="8096" w:type="dxa"/>
        <w:jc w:val="left"/>
        <w:tblInd w:w="0" w:type="dxa"/>
        <w:tblLayout w:type="fixed"/>
        <w:tblCellMar>
          <w:top w:w="28" w:type="dxa"/>
          <w:left w:w="28" w:type="dxa"/>
          <w:bottom w:w="28" w:type="dxa"/>
          <w:right w:w="28" w:type="dxa"/>
        </w:tblCellMar>
      </w:tblPr>
      <w:tblGrid>
        <w:gridCol w:w="796"/>
        <w:gridCol w:w="702"/>
        <w:gridCol w:w="707"/>
        <w:gridCol w:w="550"/>
        <w:gridCol w:w="251"/>
        <w:gridCol w:w="251"/>
        <w:gridCol w:w="251"/>
        <w:gridCol w:w="251"/>
        <w:gridCol w:w="251"/>
        <w:gridCol w:w="551"/>
        <w:gridCol w:w="251"/>
        <w:gridCol w:w="251"/>
        <w:gridCol w:w="109"/>
        <w:gridCol w:w="109"/>
        <w:gridCol w:w="109"/>
        <w:gridCol w:w="497"/>
        <w:gridCol w:w="294"/>
        <w:gridCol w:w="245"/>
        <w:gridCol w:w="224"/>
        <w:gridCol w:w="224"/>
        <w:gridCol w:w="224"/>
        <w:gridCol w:w="427"/>
        <w:gridCol w:w="254"/>
        <w:gridCol w:w="317"/>
      </w:tblGrid>
      <w:tr>
        <w:trPr/>
        <w:tc>
          <w:tcPr>
            <w:tcW w:w="7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RSUs</w:t>
            </w:r>
            <w:r>
              <w:rPr>
                <w:rFonts w:ascii="Times New Roman;sans-serif" w:hAnsi="Times New Roman;sans-serif"/>
                <w:b w:val="false"/>
                <w:color w:val="000000"/>
                <w:sz w:val="12"/>
              </w:rPr>
              <w:t>(1)</w:t>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3,121,206</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Options</w:t>
            </w:r>
            <w:r>
              <w:rPr>
                <w:rFonts w:ascii="Times New Roman;sans-serif" w:hAnsi="Times New Roman;sans-serif"/>
                <w:b w:val="false"/>
                <w:color w:val="000000"/>
                <w:sz w:val="12"/>
              </w:rPr>
              <w:t>(1)</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250,308</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1,138,181</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Series A Preferred Stock</w:t>
            </w:r>
            <w:r>
              <w:rPr>
                <w:rFonts w:ascii="Times New Roman;sans-serif" w:hAnsi="Times New Roman;sans-serif"/>
                <w:b w:val="false"/>
                <w:color w:val="000000"/>
                <w:sz w:val="12"/>
              </w:rPr>
              <w:t>(2)</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1,907,409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Warrants</w:t>
            </w:r>
            <w:r>
              <w:rPr>
                <w:rFonts w:ascii="Times New Roman;sans-serif" w:hAnsi="Times New Roman;sans-serif"/>
                <w:b w:val="false"/>
                <w:color w:val="000000"/>
                <w:sz w:val="12"/>
              </w:rPr>
              <w:t>(1)</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22,636,805</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22,472,061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30,638,365</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Earn Out Units</w:t>
            </w:r>
            <w:r>
              <w:rPr>
                <w:rFonts w:ascii="Times New Roman;sans-serif" w:hAnsi="Times New Roman;sans-serif"/>
                <w:b w:val="false"/>
                <w:color w:val="000000"/>
                <w:sz w:val="12"/>
              </w:rPr>
              <w:t>(3)</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7,500,000</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7,500,000</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7,500,000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7"/>
        </w:rPr>
      </w:pPr>
      <w:r>
        <w:rPr>
          <w:rFonts w:ascii="Times New Roman;sans-serif" w:hAnsi="Times New Roman;sans-serif"/>
          <w:b w:val="false"/>
          <w:color w:val="000000"/>
          <w:sz w:val="17"/>
        </w:rPr>
        <w:t>(1)    Represents number of instruments outstanding at the end of the period that were evaluated under the treasury stock method for potentially dilutive effects and were determined to be anti-dilutive.</w:t>
      </w:r>
    </w:p>
    <w:p>
      <w:pPr>
        <w:pStyle w:val="TextBody"/>
        <w:bidi w:val="0"/>
        <w:spacing w:lineRule="auto" w:line="288" w:before="0" w:after="0"/>
        <w:ind w:left="0" w:right="0" w:hanging="360"/>
        <w:jc w:val="both"/>
        <w:rPr>
          <w:rFonts w:ascii="Times New Roman;sans-serif" w:hAnsi="Times New Roman;sans-serif"/>
          <w:b w:val="false"/>
          <w:color w:val="000000"/>
          <w:sz w:val="17"/>
        </w:rPr>
      </w:pPr>
      <w:r>
        <w:rPr>
          <w:rFonts w:ascii="Times New Roman;sans-serif" w:hAnsi="Times New Roman;sans-serif"/>
          <w:b w:val="false"/>
          <w:color w:val="000000"/>
          <w:sz w:val="17"/>
        </w:rPr>
        <w:t>(2)    Represents number of instruments outstanding as converted at the end of the period that were evaluated under the if-converted method for potentially dilutive effects and were determined to be anti-dilutive.</w:t>
      </w:r>
    </w:p>
    <w:p>
      <w:pPr>
        <w:pStyle w:val="TextBody"/>
        <w:bidi w:val="0"/>
        <w:spacing w:lineRule="auto" w:line="288" w:before="0" w:after="0"/>
        <w:ind w:left="0" w:right="0" w:hanging="360"/>
        <w:jc w:val="both"/>
        <w:rPr>
          <w:rFonts w:ascii="Times New Roman;sans-serif" w:hAnsi="Times New Roman;sans-serif"/>
          <w:b w:val="false"/>
          <w:color w:val="000000"/>
          <w:sz w:val="17"/>
        </w:rPr>
      </w:pPr>
      <w:r>
        <w:rPr>
          <w:rFonts w:ascii="Times New Roman;sans-serif" w:hAnsi="Times New Roman;sans-serif"/>
          <w:b w:val="false"/>
          <w:color w:val="000000"/>
          <w:sz w:val="17"/>
        </w:rPr>
        <w:t>(3)    Represents number of Earn Out Units outstanding at the end of the period that were excluded due to unsatisfied contingent issuance conditions.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various lawsuits, claims and other legal proceedings that arise in the ordinary course of business. The Company applies accounting for contingencies to determine when and how much to accrue for and disclose related to legal and other contingencies. Accordingly, the Company discloses contingencies deemed to be reasonably possible and accrues loss contingencies when, in consultation with legal advisors, it is concluded that a loss is probable and reasonably estimable. While the resolution of these legal proceedings and claims cannot be predicted with certainty, management believes the outcome of such matters will not have a material adverse effect on our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 Commitments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time-to-time, we enter into long-term commitments with vendors to purchase launch services and for the development of certain components in conjunction with our obligations under revenue contracts with our customers. As of June 30, 2024, we had remaining purchase obligations under non-cancelable commitments with seven vendors totaling $32.6 million of which $27.1 million is due within the next twelve months and the remaining $5.5 million is due in the subsequent twelve-month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13 - RELATED PARTY TRANSACTIONS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IX LLC and Space Network Solutions, LLC have entered into recurring transaction agreements with certain related parties, including sales agreements and loan agreements.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Axiom Space,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 from Axiom Space, Inc. (“Axiom”) related to space infrastructure development activities of $50 thousand for the three and six months ended June 30, 2024, and $53 thousand and $124 thousand for the three and six months ended June 30, 2023. As of June 30, 2024, there was $50 thousand affiliate accounts receivable and no affiliate accounts receivable as of December 31, 2023 related to Axiom. Kamal Ghaffarian, the Chairman of the Board and one of the co-founders of Intuitive Machines, LLC is a co-founder and Executive Chairman of Axiom. Revenue related to Axiom are incurred in the normal course of business and amounts are settled under normal business terms.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IBX, LLC and PTX, LLC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expenses with IBX, LLC and PTX, LLC (“IBX/PTX”) of $1.0 million and $0.2 million for the three months ended June 30, 2024 and 2023, respectively and $2.3 million and $0.6 million, for the six months ended June 30, 2024 and 2023, respectively. As of June 30, 2024 and December 31, 2023, there were $0.1 million and $0.4 million, respectively, of affiliate accounts payable related to IBX expenses. IBX/PTX is an innovation and investment firm committed to advancing the state of humanity and human knowledge. We rely on IBX/PTX for the provision of management and professional services in the day-to-day operation of our business. These expenses include, among others, fees for the provision of administrative, accounting and legal services. As such, expenses incurred in relation to IBX/PTX are incurred in the normal course of business and amounts are settled under normal business terms. Kamal Ghaffarian, the Chairman of the Board and one of the co-founders of Intuitive Machines, is a co-founder and current member of management of IBX/PTX.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KBR, Inc.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12, 2020, KBR, Inc. (“KBR”), a U.S.-based firm operating in the science, technology and engineering industries, made an initial investment in one of our operating subsidiaries, Space Network Solutions, LLC (“SNS”) resulting in a 10% ownership by KBR of Space Network Solutions as of the date of such investment. As of June 30, 2024, KBR held approximately 10% of the equity of Space Network Solutions. The Company recognized affiliate revenue from KBR related to engineering services of $0.6 million and $0.8 million for the three months ended June 30, 2024 and 2023, respectively, and $1.3 million and $1.4 million for the six months ended June 30, 2024 and 2023, respectively. As of June 30, 2024 and December 31, 2023, there was $0.4 million and $0.5 million, respectively, of affiliate accounts receivable related to KBR revenue. Revenue related to KBR are incurred in the normal course of business and amounts are settled under normal business terms. In addition, SNS incurred cost of revenue with KBR related to the OMES III contract of $9.3 million and $18.6 million for three and six months ended June 30, 2024, respectively.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 from ASES related to engineering services of $0.1 million and $0.3 million for the three months ended June 30, 2024 and 2023, respectively, and $0.4 million and $0.5 million for the six months ended June 30, 2024 and 2023, respectively. As of June 30, 2024 and December 31, 2023, there was $0.1 million of affiliate accounts receivable related to ASES revenue. ASES is a joint venture between Aerodyne Industries, LLC and KBR. Kamal Ghaffarian, the Chairman of the Board and one of the co-founders of Intuitive Machines, LLC is a current member of management of Aerodyne Industries, LLC. Revenue related to ASES are incurred in the normal course of business and amounts are settled under normal business terms.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X-energy, LLC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expenses with X-energy, LLC (“X-energy”) of $0.2 million and $0.3 million for the three and six months ended June 30, 2024, respectively, and none for the three months ended June 30, 2023. As of June 30, 2024, there was $0.1 million affiliate accounts payable and no affiliate accounts payable as of December 31, 2023, related to X-energy expenses. Expenses related to X-energy are incurred in the normal course of business and amounts are settled under normal business terms. Kamal Ghaffarian, the Chairman of the Board and one of the co-founders of Intuitive Machines, LLC is the Executive Chairman of X-Energy Reactor Company, LLC, which is the parent company of X-Energy.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14 - VARIABLE INTEREST ENTITIES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joint ventures in which it has invested meet the criteria of a variable interest entity or “VIE” at the start of each new venture and when a reconsideration event has occurred. A VIE is a legal entity that satisfies any of the following characteristics: (a) the legal entity does not have sufficient equity investment at risk; (b) the equity investors at risk as a group, lack the characteristics of a controlling financial interest; or (c) the legal entity is structured with disproportionate voting rights.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consolidates a VIE if it is determined to be the primary beneficiary of the VIE.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Space Network Solutions, LLC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participates in the Space Network Solutions joint venture with KBR, a leading provider of specialized engineering, and professional, scientific and technical services primarily to the U.S. federal government. Under the terms of the Amended Space Network Solutions limited liability company agreement, we hold a 90% interest in the Space Network Solutions and KBR hold a 10% interest. Space Network Solutions is a VIE and Intuitive Machines is the primary beneficiary.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Space Network Solutions was formed to provide cyber security as well as communication &amp; tracking services using its expertise in developing secure ground system architecture for lunar space missions. In the second quarter of 2023, NASA awarded Space Network Solutions a cost-plus-fixed-fee indefinite-delivery, indefinite quantity contract to support work related to the Joint Polar Satellite System, NASA’s Exploration and In-space Services. Intuitive Machines and KBR entered into a separate joint venture agreement (the “OMES III JV Agreement”) within Space Network Solutions to execute the OMES III contract with a profits interest of 47% for Intuitive Machines and 53% for KBR. We have determined that the OMES III JV Agreement represents a silo within Space Network Solutions and is a standalone VIE. Intuitive Machines is the primary beneficiary of this silo based on the governance structure of the OMES III JV Agreement. As of June 30, 2024, SNS LLC had total assets of $25.7 million and total liabilities of $22.8 million. As of December 31, 2023, SNS LLC had total assets of $13.7 million and total liabilities of $12.0 million.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IX, LLC Joint Venture</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the IX, LLC joint venture (“IX LLC JV”) with X-energy, a nuclear reactor and fuel design engineering company, developing high-temperature gas cooled nuclear reactors and fuel to power them. We hold a 51% interest in the IX LLC JV and X-energy holds a 49% interest. Kamal Ghaffarian is also the co-founder and current member of management of X-energy. Intuitive Machines and X-energy are common controlled entities. We have determined that IX, LLC JV is a variable interest entity and Intuitive Machines is the primary beneficiary because it is most closely associated with the activities of the joint venture. Therefore, we consolidate this VIE for financial reporting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IX LLC JV was formed to pursue nuclear space propulsion and surface power systems in support of future space exploration goals. In the third quarter of 2022, the IX LLC JV received an award from Battelle Energy Alliance to design a fission surface power system that can operate on the surface of the Moon to support sustained lunar presence and exploration of Mars. As of June 30, 2024 and December 31, 2023, the IX LLC JV had no assets and no liabilities, associated with project execution activities subcontracted to the IX LLC JV partners and other third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in conjunction with our condensed consolidated financial statements and related notes thereto included elsewhere in this Quarterly Report, as well as our audited consolidated financial statements as of and for the years ended December 31, 2023 and 2022 which was filed with the Securities and Exchange Commission (the “SEC”) on March 25, 2024. Certain of the information contained in this discussion and analysis or set forth elsewhere in this Quarterly Report, includes forward-looking statements that involve risks and uncertainties. As a result of many factors, including those factors set forth in the sections titled “Cautionary Note Regarding Forward-Looking Statements “and Part II. Item 1A. “Risk Factors” included in this Quarterly Report and in the section titled Part I. Item 1A. “Risk Factors” in our 2023 Annual Report on Form 10-K filed with the SEC on March 25, 2024, our actual results could differ materially from the results described in or implied by the forward-looking statements contained in the following discussion and analysis.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or the context otherwise requires, references in this section to the “Company,” “IM,” “Intuitive Machines,” “we,” “us,”, or “our” refer to Intuitive Machines,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space infrastructure and services company founded in 2013 that is contributing to the establishment of lunar infrastructure and commerce on the Moon. We believe we have a leading position in the development of lunar space operating in four business lines described further below. We are initially focused on establishing the lunar infrastructure and basis for commerce to inform and sustain human presence off Earth. We believe our business is well positioned for continued growth and expansion:</w:t>
      </w:r>
    </w:p>
    <w:p>
      <w:pPr>
        <w:pStyle w:val="TextBody"/>
        <w:bidi w:val="0"/>
        <w:spacing w:before="0" w:after="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val="false"/>
          <w:color w:val="000000"/>
          <w:sz w:val="20"/>
          <w:u w:val="single"/>
        </w:rPr>
        <w:t>Right Now:</w:t>
      </w:r>
      <w:r>
        <w:rPr>
          <w:color w:val="000000"/>
        </w:rPr>
        <w:t xml:space="preserve"> </w:t>
      </w:r>
      <w:r>
        <w:rPr>
          <w:rFonts w:ascii="Times New Roman;sans-serif" w:hAnsi="Times New Roman;sans-serif"/>
          <w:b w:val="false"/>
          <w:color w:val="000000"/>
          <w:sz w:val="20"/>
        </w:rPr>
        <w:t>Servicing the National Aeronautics and Space Administration (“NASA”) and a worldwide set of commercial payload customers, working to provide access to the lunar surface, cislunar space and data transmission for science, technology, and infrastructure.</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val="false"/>
          <w:color w:val="000000"/>
          <w:sz w:val="20"/>
          <w:u w:val="single"/>
        </w:rPr>
        <w:t>Tomorrow:</w:t>
      </w:r>
      <w:r>
        <w:rPr>
          <w:color w:val="000000"/>
        </w:rPr>
        <w:t xml:space="preserve"> </w:t>
      </w:r>
      <w:r>
        <w:rPr>
          <w:rFonts w:ascii="Times New Roman;sans-serif" w:hAnsi="Times New Roman;sans-serif"/>
          <w:b w:val="false"/>
          <w:color w:val="000000"/>
          <w:sz w:val="20"/>
        </w:rPr>
        <w:t>Working to provide a thriving, diverse lunar economy, creating new opportunities and markets to enable on-orbit applications, a permanent presence on the Moon, and expand the commercial space exploration marketplace.</w:t>
      </w:r>
    </w:p>
    <w:p>
      <w:pPr>
        <w:pStyle w:val="TextBody"/>
        <w:bidi w:val="0"/>
        <w:spacing w:before="0" w:after="0"/>
        <w:ind w:left="0" w:right="0" w:hanging="9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working to provide access to the lunar surface and collect and transmit cislunar data for science, technology, and infrastructure. We are one of a select few companies servicing NASA and a worldwide set of commercial payload customers. We believe we have a strong position with a first mover advantage, as evidenced by two remaining Commercial Lunar Payload Services (“CLPS”) awards as of June 30, 2024. On February 22, 2024, Intuitive Machines’ Nova-C lander became the first U.S. vehicle to softly land on the lunar surface since 1972 and landed the vehicle further south than any vehicle in the world has ever soft-landed on the Moon. We believe this February landing validates our ability to provide the three service pillars required to commercialize a celestial body: delivery, data &amp; communications, and autonomous operations in space. Our Nova-C lander on the IM-1 mission carried approximately 100 kilograms of payloads and executed numerous experiments and technology demonstrations at the lunar surface near the south pole. Our goal is to follow the successful IM-1 mission with IM-2, which will continue to execute experiments and technology demonstrations at the Shackleton Connecting Ridge at the lunar south pole, and IM-3, our third CLPS award, which will land at Reiner Gamma. These missions, along with additional expeditions, are in partnership with NASA, Nokia Corporation, Columbia Sportswear Company, Aegis Aerospace, Inc. and other commercial players. Intuitive Machines empowers its customers to achieve their ambitious visions and commercial goals in space through seamless collaboration with our robust service pillars.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Additionally, the U.S. Space Forces’ (the “Space Force”) requirement to ensure freedom of action in space is driving their initial focus on cislunar Space Domain Awareness sensors and xGEO Position Navigation and Tim</w:t>
      </w:r>
      <w:r>
        <w:rPr>
          <w:rFonts w:ascii="Times New Roman;sans-serif" w:hAnsi="Times New Roman;sans-serif"/>
          <w:b w:val="false"/>
          <w:color w:val="000000"/>
          <w:sz w:val="20"/>
        </w:rPr>
        <w:t xml:space="preserve">ing solutions as a result of the ongoing efforts by the United States and the People’s Republic of China (“China”) to return to the lunar surface in a sustainable manner. We believe the U.S. Department of Defense funding for cislunar activities will drive the Space Force to rely on purchasing cislunar commercial services for the next five plus years, as opposed to acquiring and operating new government systems. This funding provides an opportunity for companies such as Intuitive Machines to sell Space Domain Awareness, Position Navigation and Timing, and secure communications to the Space Force, especially given that the commercial sector will be the driving force in providing cislunar products and services due to the capital that is flowing to new space entrants. This, along with other domestic and foreign allied policies, enhances our belief in the growing space economy and why we are well-positioned.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generate revenue through our contracts with customers of our orbital and lunar access services and by collecting and transmitting cislunar data for science, technology and infrastructure in our Space Products and Infrastructure services. We are a provider and supplier of space products and services that we believe will enable sustained robotic and human exploration to the Moon, Mars, and beyond.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employ a “land-and-expand” go-to-market strategy with the goal to deliver increasing value and repetitive revenue with each customer over time by expanding the scope of the services we offer. We work closely with our customers and partners to enable their early success. We expect that deeper adoption of our products and services from our customers will come in many forms, including increased reliance on our technology as a core part of a mission, increased usage of our landers for lunar transportation and exploration, and greater dependence on our advanced software analytics capabilities for satisfying each customers’ needs.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under three service pillars which we believe are required to commercialize a celestial body: delivery, data &amp; communications, and autonomous operations in space. These pillars are the backdrop to our four business units: Lunar Access Services, Orbital Services, Lunar Data Services and Space Products and Infrastructure. Under Accounting Standards Codification (“ASC”) 280 “Segment Reporting,” we concluded that our business units operate as one reportable segment. See our Segment Reporting disclosure under Note 2 in our condensed consolidated financial statements for further discussion on our reportable segment.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Lunar Access Services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Lunar Access Services business provides reliable and affordable means for governments, companies and individuals to explore and place objects in cislunar space or on the lunar surface. We have developed a complete lunar program that includes mission control, the Nova-C lander, a space-to-ground communications network, and a series of launch vehicle contracts with SpaceX. As of June 30, 2024, we had two remaining missions on the flight manifest, with plans to increase the frequency and complexity of the missions over time. On February 22, 2024, our Nova-C lander on the IM-1 mission became the first U.S. vehicle to softly land on the lunar surface since 1972 and landed the vehicle further south than any vehicle in the world has ever soft-landed on the Moon.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focused on using our proprietary lunar lander vehicles to execute CLPS contracts for NASA to fly scientific equipment to the lunar surface and support experiments. We also have a robust and growing set of commercial customers pursuing R&amp;D and technology maturation efforts aimed at capturing the growing cislunar economy. This service includes softly landing on the lunar surface while carrying significant payloads, shuttling numerous technology demonstrations to the lunar surface, deploying the first drill to test for water ice on the Moon and deploying drones to test Long Term Evolution networks.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Orbital Services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Orbital Services provides in-space orbital services for both commercial and government organizations. These services include repair, refueling, and raising the orbits of existing satellites. We seek to leverage our domain expertise and space products, such as optical navigation, rendezvous and proximity operations, robotic mechanisms for satellite delivery, debris removal and Space Domain Awareness in orbits from low Earth orbit out to cislunar space. We also serve as the prime contractor and partner on NASA center support contracts, such as the recently awarded OMES III and JETSON Low Power contracts, that expand our relationship with NASA and emphasize our capabilities in key technology focus areas.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Lunar Data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Lunar Data Services business will establish a private and secure network called the Lunar Data Network (the “LDN”) that sends and receives secure communications, navigation and imagery to and from the Moon. The LDN is designed to support line-of-sight and data relay services for spacecraft in cislunar space and systems anywhere on the lunar surface. We intend to evolve the network to provide backup services to NASA and the U.S. Space Force. The LDN is currently comprised of a mission control center, strategically positioned global ground stations, and base-band units installed at each ground station. </w:t>
      </w:r>
    </w:p>
    <w:p>
      <w:pPr>
        <w:pStyle w:val="TextBody"/>
        <w:bidi w:val="0"/>
        <w:jc w:val="both"/>
        <w:rPr/>
      </w:pPr>
      <w:r>
        <w:rPr/>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launch of future lander missions, the LDN will be further enhanced with the deployment of our lunar data relay satellites to offer continuous lunar coverage. We believe providing these lunar data services to NASA and the Space Force will be an increasingly important priority given China’s recent declaration that it intends to build its own lunar satellite network and manned lunar habitat.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Space Products and Infrastructure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Space Products and Infrastructure business offers reliable and cost-effective space products to its customers with offerings that include propulsion systems, navigation systems, lunar mobility, power infrastructure and human habitation systems. We also provide highly specialized aerospace engineering services for complex space systems development to NASA and the aerospace industry across the United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extensive additive manufacturing capabilities, including an in-house composites shop and robust machine shop, we believe we have the capabilities and expertise required to rapidly manufacture on-demand prototypes, development parts, flight units, and spares with a focus on producing small series and high-quality serial productions of metal components utilizing additive manufacturing. Additionally, we believe this business allows us to expand into prime positions on payload contracts with NASA and other customers.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As of June 30, 2024, the Company ceased being a controlled company within the meaning of the Nasdaq.</w:t>
      </w:r>
      <w:r>
        <w:rPr>
          <w:color w:val="000000"/>
        </w:rPr>
        <w:t xml:space="preserve"> </w:t>
      </w:r>
      <w:r>
        <w:rPr>
          <w:rFonts w:ascii="Times New Roman;sans-serif" w:hAnsi="Times New Roman;sans-serif"/>
          <w:b w:val="false"/>
          <w:color w:val="000000"/>
          <w:sz w:val="20"/>
          <w:shd w:fill="FFFFFF" w:val="clear"/>
        </w:rPr>
        <w:t>We were not relying on any Nasdaq corporate governance exemptions for controlled company status prior to June 30, 2024.</w:t>
      </w:r>
      <w:r>
        <w:rPr>
          <w:color w:val="000000"/>
        </w:rPr>
        <w:t xml:space="preserve"> </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Inflation and Macroeconomic Pressures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combination with the economic recovery from the COVID-19 pandemic and repercussions from geopolitical events, the global economy continues to experience volatile disruptions including to the commodity and labor markets. These disruptions have contributed to an inflationary environment which has affected, and may continue to adversely affect, the price and availability of certain products and services necessary for our operations, which in turn, has adversely impacted, and may continue to adversely impact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continue to monitor economic conditions and the impact of macroeconomic pressures, including repercussions from the recent banking crisis, rising interest rates, sustained inflation and recession fears, supply chain disruptions, </w:t>
      </w:r>
      <w:r>
        <w:rPr>
          <w:rFonts w:ascii="Times New Roman;sans-serif" w:hAnsi="Times New Roman;sans-serif"/>
          <w:b w:val="false"/>
          <w:color w:val="000000"/>
          <w:sz w:val="20"/>
          <w:shd w:fill="FFFFFF" w:val="clear"/>
        </w:rPr>
        <w:t xml:space="preserve">monetary and fiscal policy measures (including future actions or inactions of the United States government related to the “debt-ceiling”), heightened geopolitical tensions (such as the war in Ukraine and Israel), changes to the U.S. federal budget, and the political and regulatory environment </w:t>
      </w:r>
      <w:r>
        <w:rPr>
          <w:rFonts w:ascii="Times New Roman;sans-serif" w:hAnsi="Times New Roman;sans-serif"/>
          <w:b w:val="false"/>
          <w:color w:val="000000"/>
          <w:sz w:val="20"/>
        </w:rPr>
        <w:t>on our business, customers, suppliers and other third parties (including the potential for U.S. government shut down).</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rising costs and other inflationary pressures have not had a material impact on our business to date, we are monitoring the situation and assessing its impact on our business, including to our partners and customers.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Key Factors Affecting Our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future success and financial performance depend on several factors that present significant opportunities for our business, but also pose risks and challenges, including those discussed below and in the section titled Part I., Item 1A. “Risk Factors” in the 2023 Annual Report on Form 10-K.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expand spaceflight mission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large part on our ability to expand our lunar mission operations in 2024 and beyond. We completed our first mission in February 2024 and we are on track to complete the two additional funded missions with a goal of establishing a regular cadence of multiple missions per year of increasing size and complexity by late 2025. This will provide our customers with proven and reliable cislunar access, with which to plan their future manifest. With binding agreements for two additional launches as of June 30, 2024, we have $213.0 million in backlog, and we are in active discussions with numerous potential customers, including government agencies and private companies, to potentially add to our contracted revenue.</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commencing missions, we must complete internal integration activities as well as launch vehicle integration with our launch provider, SpaceX. Any delays in our launch date or in otherwise commencing our missions, including due to congestion at the pad launch site or delays in obtaining various approvals or licenses, could adversely impact our results and growth plans. As we improve production efficiency and schedule reliability and reach our target of multiple missions per year manifested 2-3 years in advance, we expect to improve our market penetration, which we believe will lead to higher revenue from both volume and mission complexity as well as increased operating leverage.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expand our product and services offerings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preliminary stages of developing our full space infrastructure. These services are expected to grant customers access to cislunar space and the lunar surface at lower price points than previous lunar missions. We are also working to provide data transmission services at lunar distance to include far-side connectivity, along with ancillary services that are likely to include orbital servicing and payload development and manufacture.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growth opportunity is dependent on our ability to win lunar missions and expand our portfolio of services. Our ability to sell additional products and services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 as well as demonstrate reliability through a successful lunar landing. If we fail to make the right investment decisions, are unable to raise capital, if customers do not adopt our products and services, or if our competitors are able to develop technology or products and services that are superior to ours, our business, prospects, financial condition and operating results could be adversely affected.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make significant investments in our lunar and data programs in the short term. Although we believe that our financial resources, will be sufficient to meet our capital needs in the short term, our timeline and budgeted costs for these offerings are subject to substantial uncertainty, including due to compliance requirements of U.S. federal export control laws and applicable foreign and local regulations, the impact of political and economic conditions, and the need to identify opportunities and negotiate long-term agreements with customers for these services, among other factors. Our business may not generate sufficient funds, and we may otherwise be unable to maintain sufficient cash reserves to pay any additional indebtedness that we may incur.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Ability to improve profit margins and scale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growth of our business is dependent on our ability to improve our profit margins over time while successfully scaling our business. We intend to continue investing in initiatives to improve our operating leverage and significantly increase utilization.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 If we are unable to achieve our goals, we may not be able to increase operating margin, which would negatively impact gross margin and profitability.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Ability to continue to capitalize on government expenditures and private enterprise investment in the space economy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is largely dependent on our ability to continue to capitalize on increased government spending and private investment in the space economy. From 2019 to 2024, the U.S. federal government increased its space exploration and development budget for NASA by approximately 15.8%, or $3.4 billion. U.S. federal government expenditures and private enterprise investment have fueled our growth in recent years, and it has resulted in our continued ability to secure increasingly valuable contracts for products and services in 2023. An increased focus on U.S. federal government spending could unfavorably impact the space exploration sector in the future. If our existing programs and project pursuits are not focused on the federal government’s higher priorities, our business, prospects, financial condition and operating results could be adversely affected. However, we expect U.S. federal government expenditures and private investment in the space economy will continue to result in increased purchases of our products and services.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continue to innovate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design, build, and test our landers, spacecraft and subsystems in-house and operate at the forefront of composite structures, liquid rocket engines, guidance, navigation and control software, precision landing and hazard avoidance software, and advanced manufacturing techniques. We believe the synergy of these technologies enables greater responsiveness to the commercial and government requirements for lunar exploration. To continue establishing market share and attracting customers, we plan to continue to make substantial investments in research and development for the continued enhancements of our landers and other space systems. Over time, we expect our research and development </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to continue to grow on an absolute basis, but remain consistent or decrease as a percent of our total revenue as we expand our service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 work under contracts that broadly consist of fixed-price, cost-reimbursable, time-and-materials or a combination of the three. Pricing for all customers is based on specific negotiations with each customer. For a description of our revenue recognition policies, see the section titled “Critical Accounting Policies and Estimates.”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most of our revenue has been derived from fixed-price, long-term contracts for the delivery of payloads to the lunar surface. In order to satisfy these contracts, we undertake the engineering for the research, design, development, manufacturing, integration and sustainment of advanced technology space systems. The integration of these technologies and systems lead to an organic and integrated capability to provide lunar access on a commercial services basis. Individual contracts are aggregated by mission (e.g., IM-1, IM-2, IM-3) for management purposes. Revenue is measured based on the amount of consideration specified in a contract with the customer.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when we transfer control of a promised good or service to a customer in an amount that reflects the consideration we expect to be entitled to in exchange for the good or service. Under the overtime revenue recognition model, revenue and gross profit are recognized over the contract period as work is performed based on actual costs incurred and an estimate of costs to complete and resulting total estimated costs at completion.</w:t>
      </w:r>
    </w:p>
    <w:p>
      <w:pPr>
        <w:pStyle w:val="TextBody"/>
        <w:bidi w:val="0"/>
        <w:spacing w:lineRule="auto" w:line="288" w:before="160" w:after="283"/>
        <w:jc w:val="both"/>
        <w:rPr/>
      </w:pPr>
      <w:r>
        <w:rPr>
          <w:rFonts w:ascii="Times New Roman;sans-serif" w:hAnsi="Times New Roman;sans-serif"/>
          <w:b w:val="false"/>
          <w:color w:val="000000"/>
          <w:sz w:val="20"/>
        </w:rPr>
        <w:t>Revenue from long-term contracts can fluctuate from period to period largely based on the stage of the project and overall mission. These projects will typically have a ramp up period in the beginning stage and wind down as the mission nears launch date. A significant portion of the revenue (approxi</w:t>
      </w:r>
      <w:r>
        <w:rPr>
          <w:rFonts w:ascii="Times New Roman;sans-serif" w:hAnsi="Times New Roman;sans-serif"/>
          <w:b w:val="false"/>
          <w:color w:val="000000"/>
          <w:sz w:val="20"/>
          <w:shd w:fill="FFFFFF" w:val="clear"/>
        </w:rPr>
        <w:t>mately 10% o</w:t>
      </w:r>
      <w:r>
        <w:rPr>
          <w:rFonts w:ascii="Times New Roman;sans-serif" w:hAnsi="Times New Roman;sans-serif"/>
          <w:b w:val="false"/>
          <w:color w:val="000000"/>
          <w:sz w:val="20"/>
        </w:rPr>
        <w:t>f the contract price) contains variable considerations which is constrained to nil for accounting purposes as it is dependent on a successful mission landing. This may cause fluctuations in future revenue, profits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late 2023, we have been performing a more significant amount of work on cost-reimbursable contracts such as OMES III. Under cost-reimbursable contracts, the price is generally variable based upon our actual allowable costs incurred for materials, equipment, reimbursable labor hours, overhead and G&amp;A expenses. Profit on cost-reimbursable contracts may be in the form of a fixed fee or a mark-up applied to costs incurred, or a combination of the two. The fee may also be an incentive fee based on performance indicators, milestones or targets and can be based on customer discretion or in the form of an award fee determined based on customer evaluation of the Company's performance against contractual criteria. Cost-reimbursable contracts are generally less risky because the owner/customer retains many of the project risks, however it generally requires us to use our best efforts to accomplish the scope of the work within a specified time and budget.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Cost-reimbursable contracts with the U.S. government are generally subject to the FAR and are competitively priced based on estimated or actual costs of providing the contractual goods or services. The FAR provides guidance on types of costs that are allowable in establishing prices for goods and services provided to the U.S. government and its agencies. Pricing for non-U.S. government agencies and commercial customers is based on specific negotiations with each customer.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 (excluding 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consists primarily of direct material and labor costs, launch costs, manufacturing overhead, other personnel-related expenses, which include salaries, bonuses, benefits and stock-based compensation expense and freight expense. We expect our cost of revenue to increase in absolute dollars in future periods as we sell more products and services. As we grow into our current capacity and execute on cost-optimization initiatives, we expect our cost of revenue as a percentage of revenue to decrease over time.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consists of the depreciation of tangible fixed assets for the relevant period based on the straight-line method over the useful life of the assets. Tangible fixed assets include property and equipment.</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 (excluding 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(excluding depreciation) consist primarily of personnel-related expenses for our sales, marketing, supply chain, finance, legal, human resources and administrative personnel, as well as the costs of customer service, information technology, professional services, insurance, travel, allocated overhead and other marketing, communications and administrative expenses. We expect to invest in our corporate organization and incur additional expenses associated with transitioning to, and operating as, a public company, including increased legal and accounting costs, investor relations costs, higher insurance premiums and compliance costs. As a result, we expect that selling, general and administrative expenses will increase in absolute dollars in future periods as a percentage of total revenue.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 (expense),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consists of interest income earned on cash and cash equivalents and short-term investment balances held by us in interest bearing time deposit accounts. Interest expense is incurred on long-term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 in fair value of earn-out liabilities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Earn Out Units are classified as liabilities transactions at initial issuance which were offset against paid-in capital as of the closing of the Business Combination. At each period end, the Earn Out Units are remeasured to their fair value with the changes during that period recognized in other income (expense) on the condensed consolidated statement of operations. Upon issuance and release of the shares after each Triggering Event is met, the related Earn Out Units will be remeasured to fair value at that time with the changes recognized in other income (expense), and such Earn Out Units will be reclassed to stockholders’ equity (deficit) on the consolidated balance sheet. See Note 10 of the condensed consolidated financial statements for additional information on the earn-out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Private Placement, Warrant Exercise Agreement, and the Bridge Loan Conversion, the Company has issued warrants which are classified as liabilities on our balance sheet. At each period end, the warrants are remeasured to their fair value with the changes during the period recognized in other income (expense) on our condensed consolidated statement of operations. See Notes 8 and 10 of the condensed consolidated financial statements for additional information on the warrant liabilities.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Gain (loss) on issuance of securities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Private Placement, Warrant Exercise Agreement, and the Bridge Loan Conversion, the Company has discussed in Notes 8 and 10 to the condensed consolidated financial statements, the Company issued warrants and recognized a loss on the issuance as the fair value of the securities exceeded the gross proceeds at the issuance date. The Company evaluated the terms of the warrants and determined they meet the criteria in ASC 815, “Derivatives and Hedging”, to be classified as a derivative liability, initially measured at fair value. The subsequent changes in fair value are recognized in earnings in other income (expense) on the condensed consolidated statement of operations.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primarily consists of immaterial miscellaneous income sources.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benefit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Inc. is a corporation and thus is subject to United States (“U.S.”) federal, state and local income taxes. Intuitive Machines, LLC is a partnership for U.S. federal income tax purposes and therefore does not pay United States federal income tax on its taxable income.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redeemable noncontrolling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represents the portion of Intuitive Machines, LLC that the Company controls and consolidates but does not own. The noncontrolling interests was created as a result of the Business Combination and represents 68,150,754 Class A and Class B units issued by Intuitive Machines, LLC to the prior investors represents approximately 81.2% of the ownership interests in the Company at the Closing Date. The Company allocates net income or loss attributable to the noncontrolling interests based on the weighted average ownership interests during the period. The net income or loss attributable to noncontrolling interests is reflected in the condensed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results of Intuitive Machines, LLC were consolidated into Intuitive Machines, Inc. for the periods February 13, 2023 forward and resulted in the allocation of approximately 51.9% of Intuitive Machines, LLC’s net loss to noncontrolling interests.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income attributable to noncontrolling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Intuitive Machines and KBR entered into a joint venture agreement (the “OMES III JV Agreement”) within Space Network Solutions to execute the OMES III contract with a profits interest of 47% for Intuitive Machines and 53% for KBR, which represents the noncontrolling interest. We have determined that the OMES III JV Agreement represents a silo within Space Network Solutions and is a standalone VIE.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The period-period comparison of financial results is not necessarily indicative of future results.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consolidated results of operations for the three months ended June 30, 2024 compared to the three months ended June 30, 2023, and for the six months ended June 30, 2024 compared to the six months ended June 30,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37"/>
        <w:gridCol w:w="569"/>
        <w:gridCol w:w="574"/>
        <w:gridCol w:w="196"/>
        <w:gridCol w:w="646"/>
        <w:gridCol w:w="109"/>
        <w:gridCol w:w="109"/>
        <w:gridCol w:w="109"/>
        <w:gridCol w:w="109"/>
        <w:gridCol w:w="196"/>
        <w:gridCol w:w="646"/>
        <w:gridCol w:w="109"/>
        <w:gridCol w:w="109"/>
        <w:gridCol w:w="109"/>
        <w:gridCol w:w="109"/>
        <w:gridCol w:w="196"/>
        <w:gridCol w:w="672"/>
        <w:gridCol w:w="109"/>
        <w:gridCol w:w="109"/>
        <w:gridCol w:w="109"/>
        <w:gridCol w:w="135"/>
        <w:gridCol w:w="135"/>
        <w:gridCol w:w="136"/>
        <w:gridCol w:w="196"/>
        <w:gridCol w:w="736"/>
        <w:gridCol w:w="109"/>
        <w:gridCol w:w="135"/>
        <w:gridCol w:w="135"/>
        <w:gridCol w:w="136"/>
        <w:gridCol w:w="196"/>
        <w:gridCol w:w="646"/>
        <w:gridCol w:w="109"/>
        <w:gridCol w:w="109"/>
        <w:gridCol w:w="109"/>
        <w:gridCol w:w="109"/>
        <w:gridCol w:w="196"/>
        <w:gridCol w:w="672"/>
        <w:gridCol w:w="109"/>
        <w:gridCol w:w="109"/>
        <w:gridCol w:w="157"/>
      </w:tblGrid>
      <w:tr>
        <w:trPr/>
        <w:tc>
          <w:tcPr>
            <w:tcW w:w="93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5"/>
              </w:rPr>
            </w:pPr>
            <w:r>
              <w:rPr>
                <w:rFonts w:ascii="Times New Roman;sans-serif" w:hAnsi="Times New Roman;sans-serif"/>
                <w:b/>
                <w:color w:val="000000"/>
                <w:sz w:val="15"/>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2024</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Operating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Cost of revenue (excluding 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 (excluding 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Operating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income (expense), net: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fair value of earn-out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fair value of warrant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fair value of SAFE Agreements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(loss) on issuance of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other income (expense), net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Income (loss)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 attributable to Intuitive Machines, LLC prior to the Business Combination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(loss) (post Business Combination)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 attributable to redeemable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attributable to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(loss) attributable to the Company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Preferred dividends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(loss) attributable to Class A common shareholders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(80,665)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(99,843)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for the three and six months ended June 30, 2024 and 2023 was primarily driven by NASA and other commercial payload contracts associated with the IM-1, IM-2 and IM-3 lunar payload missions as well as the OMES III contract where we provide engineering services to the Landsat Servicing mission at the Goddard Space Flight Center in Maryland.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provides a summary of the significant contracts and estimated mission launch dates for each lunar payload mission impacting our results of operations:</w:t>
      </w:r>
    </w:p>
    <w:p>
      <w:pPr>
        <w:pStyle w:val="TextBody"/>
        <w:bidi w:val="0"/>
        <w:spacing w:before="0" w:after="0"/>
        <w:jc w:val="both"/>
        <w:rPr/>
      </w:pPr>
      <w:r>
        <w:rPr/>
      </w:r>
    </w:p>
    <w:p>
      <w:pPr>
        <w:pStyle w:val="TextBody"/>
        <w:bidi w:val="0"/>
        <w:spacing w:lineRule="auto" w:line="268"/>
        <w:ind w:left="0" w:right="0" w:hanging="450"/>
        <w:jc w:val="both"/>
        <w:rPr/>
      </w:pPr>
      <w:r>
        <w:rPr>
          <w:color w:val="000000"/>
        </w:rPr>
        <w:t>•</w:t>
      </w:r>
      <w:r>
        <w:rPr>
          <w:rFonts w:ascii="Times New Roman;sans-serif" w:hAnsi="Times New Roman;sans-serif"/>
          <w:b w:val="false"/>
          <w:color w:val="000000"/>
          <w:sz w:val="20"/>
        </w:rPr>
        <w:t>The NASA payload contract for the IM-1 mission was awarded in June 2019 and was completed in February 2024.</w:t>
      </w:r>
      <w:r>
        <w:rPr>
          <w:color w:val="000000"/>
          <w:shd w:fill="FFFFFF" w:val="clear"/>
        </w:rPr>
        <w:t xml:space="preserve"> </w:t>
      </w:r>
      <w:r>
        <w:rPr>
          <w:rFonts w:ascii="Times New Roman;sans-serif" w:hAnsi="Times New Roman;sans-serif"/>
          <w:b w:val="false"/>
          <w:color w:val="000000"/>
          <w:sz w:val="20"/>
          <w:shd w:fill="FFFFFF" w:val="clear"/>
        </w:rPr>
        <w:t xml:space="preserve">As a result of the successful landing on the lunar surface, previously constrained revenue of approximately $12.3 million was released bringing the total IM-1 mission contract revenue under NASA and </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0"/>
          <w:shd w:fill="FFFFFF" w:val="clear"/>
        </w:rPr>
        <w:t>other commercial fixed-priced</w:t>
      </w:r>
      <w:r>
        <w:rPr>
          <w:color w:val="000000"/>
        </w:rPr>
        <w:t xml:space="preserve"> </w:t>
      </w:r>
      <w:r>
        <w:rPr>
          <w:rFonts w:ascii="Times New Roman;sans-serif" w:hAnsi="Times New Roman;sans-serif"/>
          <w:b w:val="false"/>
          <w:color w:val="000000"/>
          <w:sz w:val="20"/>
        </w:rPr>
        <w:t>contracts to $132.3 million. As of March 31 2024, the IM-1 mission and all related contracts have been closed out.</w:t>
      </w:r>
    </w:p>
    <w:p>
      <w:pPr>
        <w:pStyle w:val="TextBody"/>
        <w:bidi w:val="0"/>
        <w:spacing w:lineRule="auto" w:line="268" w:before="160" w:after="283"/>
        <w:ind w:left="0" w:right="0" w:hanging="450"/>
        <w:jc w:val="both"/>
        <w:rPr/>
      </w:pPr>
      <w:r>
        <w:rPr>
          <w:color w:val="000000"/>
          <w:shd w:fill="FFFFFF" w:val="clear"/>
        </w:rPr>
        <w:t>•</w:t>
      </w:r>
      <w:r>
        <w:rPr>
          <w:rFonts w:ascii="Times New Roman;sans-serif" w:hAnsi="Times New Roman;sans-serif"/>
          <w:b w:val="false"/>
          <w:color w:val="000000"/>
          <w:sz w:val="20"/>
        </w:rPr>
        <w:t>The initial NASA payload contract for the IM-2 mission was awarded in October 2020 with a targeted mission launch date i</w:t>
      </w:r>
      <w:r>
        <w:rPr>
          <w:rFonts w:ascii="Times New Roman;sans-serif" w:hAnsi="Times New Roman;sans-serif"/>
          <w:b w:val="false"/>
          <w:color w:val="000000"/>
          <w:sz w:val="20"/>
          <w:shd w:fill="FFFFFF" w:val="clear"/>
        </w:rPr>
        <w:t>n December 2022. Total IM-2 mission estimated contract revenue under NASA and other commercial fixed-priced contrac</w:t>
      </w:r>
      <w:r>
        <w:rPr>
          <w:rFonts w:ascii="Times New Roman;sans-serif" w:hAnsi="Times New Roman;sans-serif"/>
          <w:b w:val="false"/>
          <w:color w:val="000000"/>
          <w:sz w:val="20"/>
        </w:rPr>
        <w:t>ts increased to $122.4 million (excluding constrained revenue of $13.5 million) as of June 30, 2024 as compared to $106.0 million as of June 30, 2023. The increase in total mission estimated contract revenue is primarily due to a task order modification with NASA finalized in the second quarter of 2024 to change the mission targeted landing site within the South Pole region of the moon and extend the expected mission launch and post-launch services of IM-2 to no later than August 2025. The task order modification increased estimated contract revenue by approximately $12.5 million.</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val="false"/>
          <w:color w:val="000000"/>
          <w:sz w:val="20"/>
        </w:rPr>
        <w:t>The initial NASA payload contract for the IM-3 mission was awarded in November 2021 with an initial targeted mission launch date no later than June 2024 under our current contract with NASA. Total IM-3 mission estimated revenue under fixed-priced contracts is $86.9 million (excluding constrained revenue of $9.1 million) as of June 30, 2024 as compared to $80.9 million as of June 30, 2023. The increase in total mission estimated contract revenue is primarily due to a pending task order modification with NASA to identify its complement of payloads and extend the IM-3 mission timeline to no later than June 2026. The pending task order increased estimated contract revenue by approximately $10.0 million and is expected to be finalized in the third quarter of 2024.</w:t>
      </w:r>
    </w:p>
    <w:p>
      <w:pPr>
        <w:pStyle w:val="TextBody"/>
        <w:bidi w:val="0"/>
        <w:spacing w:before="0" w:after="0"/>
        <w:ind w:left="0" w:right="0" w:hanging="9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increased by $23.4 million, or 130%, for the three months ended June 30, 2024 compared to the same period in 2023, largely driven by the revenue from the OMES III contract execution which began in the fourth quarter of 2023 as further discussed below and was partially offset by decreases in revenue across our NASA and other commercial payload contracts associated with the IM lunar payload missions.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IM-1 mission completed in February 2024, and no revenue was recognized for the three months ended June 30, 2024 as compared to $4.3 million for the same period in 2023. Revenue on the IM-2 mission decreased by $4.7 million for the three months ended June 30, 2024 compared to the same period of 2023 and was primarily driven by unfavorable adjustments resulting from task order modifications to change the mission targeted landing site and extension of the targeted mission launch window to early 2025 as discussed above. Revenue from the IM-3 mission decreased by $8.3 million for the three months ended June 30, 2024 compared to the same period in 2023 as a result of unfavorable adjustments from pending task order modifications extending the targeted mission launch window to late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increased by $78.2 million, or 216%, for the six months ended June 30, 2024 compared to the same period in 2023 and was substantially driven by revenue from the OMES III contract execution which began in the fourth quarter of 2023 as further discussed below.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Revenue on the IM-1 mission increased by approximately $6.6 million to $12.3 million for the six months ended June 30, 2024 from $5.7 million for the same period in 2023. The increase in IM-1 revenue was due to the successful completion of the mission in February 2024 which resulted in the release of approximately </w:t>
      </w:r>
      <w:r>
        <w:rPr>
          <w:rFonts w:ascii="Times New Roman;sans-serif" w:hAnsi="Times New Roman;sans-serif"/>
          <w:b w:val="false"/>
          <w:color w:val="000000"/>
          <w:sz w:val="20"/>
          <w:shd w:fill="FFFFFF" w:val="clear"/>
        </w:rPr>
        <w:t>$12.3 million</w:t>
      </w:r>
      <w:r>
        <w:rPr>
          <w:color w:val="000000"/>
        </w:rPr>
        <w:t xml:space="preserve"> </w:t>
      </w:r>
      <w:r>
        <w:rPr>
          <w:rFonts w:ascii="Times New Roman;sans-serif" w:hAnsi="Times New Roman;sans-serif"/>
          <w:b w:val="false"/>
          <w:color w:val="000000"/>
          <w:sz w:val="20"/>
        </w:rPr>
        <w:t>of previously constrained revenue. Revenue on the IM-2 mission decreased by $3.3 million to $9.8 million for the six months ended June 30, 2024 compared to $13.1 million for the same period of 2023 and was primarily driven by unfavorable adjustments resulting from task order modifications to change the mission targeted landing site and extension of the targeted mission launch window to early 2025 as discussed above. As of June 30, 2024, the IM-2 mission is approximately 87% complete. Revenue from the IM-3 mission decreased to $2.7 million for the six months ended June 30, 2024 from $11.1 million for the same period in 2023 and was largely attributable to unfavorable adjustments from pending task order modifications extending the targeted mission launch window to late 2025. The IM-3 mission was awarded in the fourth quarter of 2021 and was approximately 59% complete as of June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from task orders under the OMES III contract were approximately $39.1 million and $80.9 million during the three and six months ended June 30, 2024. The OMES III contract began execution in December 2023 and therefore there were no corresponding revenues during the three and six months ended June 30, 2023.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contract revenues increased approximately $1.6 million and $2.5 million for the three and six months ended June 30, 2024, respectively, compared to the same periods in 2023 primarily as a result of new contracts, including the Jetson Low Power project awarded in the fourth quarter of 2023 and the Lunar Terrain Vehicle Services design project in the second quarter of 2024 as well as several other contracts partially offset by the completion of the initial phase of the fission surface power contract in the third quarter of 2023. </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 (excluding 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cost of revenue increased by $34.6 million, or 154%, for the three months ended June 30, 2024 compared to the same period in 2023. The IM-1 mission was completed in February 2024, and no cost of revenue was incurred for the three months ended June 30, 2024 compared to $4.0 million for the same period in 2023. On the IM-2 mission, cost of revenue increased by approximately $0.7 million to $8.2 million for the three months ended June 30, 2024 from $7.5 million in the same period in 2023. IM-3 mission cost of revenue decreased by approximately $4.7 million to $2.7 million for the three months ended June 30, 2024 compared to $7.4 million in the same period in 2023 due to lower activity on the mission.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cost of revenue increased by $72.4 million, or 159%, for the six months ended June 30, 2024 compared to the same period in 2023. Cost of revenue on the IM-1 mission decreased by $5.8 million from $10.8 million down to $4.9 million due to winding down progress as the mission was completed in February 2024. On the IM-2 mission, cost of revenue decreased by approximately $0.9 million to $14.8 million for the six months ended June 30, 2024 from $15.7 million in the same period in 2023. IM-3 mission cost of revenue decreased by approximately $6.9 million to $7.6 million for the three months ended June 30, 2024 compared to $14.5 million in the same period in 2023, primarily due to lower activity on the mission.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two lunar missions are in loss positions. On the IM-2 mission, we increased the accrued contract loss by approximately $7.1 million during the six months ended June 30, 2024 which was primarily driven by unfavorable adjustments resulting from task order modifications to change the mission targeted landing site and extension of the targeted mission launch window to early 2025. On the IM-3 mission, the accrued contract loss increased by approximately $10.9 million during the six months ended June 30, 2024 and was largely attributable to unfavorable adjustments from pending task order modifications extending the targeted mission launch window to late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from task orders under the OMES III contract were approximately $37.1 million and $77.1 million during the three and six months ended June 30, 2024. The OMES III contract started in December 2023 and therefore there were no corresponding cost of revenue during the three and six months ended June 30,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contract cost of revenue increased approximately $1.6 million and $2.0 million for the three and six months ended June 30, 2024 compared to the same periods in 2023 primarily as a result of new contracts awarded in late 2023 and in the first half of 2024, including the Jetson Low Power, the Lunar Terrain Vehicle Services and various other contracts partially offset by the completion of the initial phase of the fission surface power contract in the third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 (excluding 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(excluding depreciation) increased by $3.7 million for the three months ended June 30, 2024 compared to the same periods in 2023, and increased by $12.0 million for the six months ended June 30, 2024 compared to the same periods in 2023, driven primarily by our growth to support corporate and business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the three months ended June 30, 2024 compared to the same periods in 2023, the $3.7 million increase was driven by h</w:t>
      </w:r>
      <w:r>
        <w:rPr>
          <w:rFonts w:ascii="Times New Roman;sans-serif" w:hAnsi="Times New Roman;sans-serif"/>
          <w:b w:val="false"/>
          <w:color w:val="000000"/>
          <w:sz w:val="20"/>
          <w:shd w:fill="FFFFFF" w:val="clear"/>
        </w:rPr>
        <w:t xml:space="preserve">igher share-based compensation expense of </w:t>
      </w:r>
      <w:r>
        <w:rPr>
          <w:rFonts w:ascii="Times New Roman;sans-serif" w:hAnsi="Times New Roman;sans-serif"/>
          <w:b w:val="false"/>
          <w:color w:val="000000"/>
          <w:sz w:val="20"/>
        </w:rPr>
        <w:t>$1.0 million</w:t>
      </w:r>
      <w:r>
        <w:rPr>
          <w:rFonts w:ascii="Times New Roman;sans-serif" w:hAnsi="Times New Roman;sans-serif"/>
          <w:b w:val="false"/>
          <w:color w:val="000000"/>
          <w:sz w:val="20"/>
          <w:shd w:fill="FFFFFF" w:val="clear"/>
        </w:rPr>
        <w:t xml:space="preserve">, employee compensation and benefits expense of </w:t>
      </w:r>
      <w:r>
        <w:rPr>
          <w:rFonts w:ascii="Times New Roman;sans-serif" w:hAnsi="Times New Roman;sans-serif"/>
          <w:b w:val="false"/>
          <w:color w:val="000000"/>
          <w:sz w:val="20"/>
        </w:rPr>
        <w:t>$1.7 million</w:t>
      </w:r>
      <w:r>
        <w:rPr>
          <w:rFonts w:ascii="Times New Roman;sans-serif" w:hAnsi="Times New Roman;sans-serif"/>
          <w:b w:val="false"/>
          <w:color w:val="000000"/>
          <w:sz w:val="20"/>
          <w:shd w:fill="FFFFFF" w:val="clear"/>
        </w:rPr>
        <w:t xml:space="preserve">, bids and proposals expense of </w:t>
      </w:r>
      <w:r>
        <w:rPr>
          <w:rFonts w:ascii="Times New Roman;sans-serif" w:hAnsi="Times New Roman;sans-serif"/>
          <w:b w:val="false"/>
          <w:color w:val="000000"/>
          <w:sz w:val="20"/>
        </w:rPr>
        <w:t>$0.6 million, professional services of $0.7 million primarily driven by accounting and legal fees, and rent expense of</w:t>
      </w:r>
      <w:r>
        <w:rPr>
          <w:color w:val="000000"/>
          <w:shd w:fill="FFFFFF" w:val="clear"/>
        </w:rPr>
        <w:t xml:space="preserve"> </w:t>
      </w:r>
      <w:r>
        <w:rPr>
          <w:rFonts w:ascii="Times New Roman;sans-serif" w:hAnsi="Times New Roman;sans-serif"/>
          <w:b w:val="false"/>
          <w:color w:val="000000"/>
          <w:sz w:val="20"/>
        </w:rPr>
        <w:t>$0.7 million</w:t>
      </w:r>
      <w:r>
        <w:rPr>
          <w:color w:val="000000"/>
          <w:shd w:fill="FFFFFF" w:val="clear"/>
        </w:rPr>
        <w:t xml:space="preserve"> </w:t>
      </w:r>
      <w:r>
        <w:rPr>
          <w:rFonts w:ascii="Times New Roman;sans-serif" w:hAnsi="Times New Roman;sans-serif"/>
          <w:b w:val="false"/>
          <w:color w:val="000000"/>
          <w:sz w:val="20"/>
          <w:shd w:fill="FFFFFF" w:val="clear"/>
        </w:rPr>
        <w:t xml:space="preserve">primarily driven by the move to our new corporate headquarters in late 2023. </w:t>
      </w:r>
      <w:r>
        <w:rPr>
          <w:rFonts w:ascii="Times New Roman;sans-serif" w:hAnsi="Times New Roman;sans-serif"/>
          <w:b w:val="false"/>
          <w:color w:val="000000"/>
          <w:sz w:val="20"/>
        </w:rPr>
        <w:t xml:space="preserve">These increases were slightly offset by </w:t>
      </w:r>
      <w:r>
        <w:rPr>
          <w:rFonts w:ascii="Times New Roman;sans-serif" w:hAnsi="Times New Roman;sans-serif"/>
          <w:b w:val="false"/>
          <w:color w:val="000000"/>
          <w:sz w:val="20"/>
          <w:shd w:fill="FFFFFF" w:val="clear"/>
        </w:rPr>
        <w:t xml:space="preserve">various other administrative costs which decreased by approximately </w:t>
      </w:r>
      <w:r>
        <w:rPr>
          <w:rFonts w:ascii="Times New Roman;sans-serif" w:hAnsi="Times New Roman;sans-serif"/>
          <w:b w:val="false"/>
          <w:color w:val="000000"/>
          <w:sz w:val="20"/>
        </w:rPr>
        <w:t>$1.0 million</w:t>
      </w:r>
      <w:r>
        <w:rPr>
          <w:rFonts w:ascii="Times New Roman;sans-serif" w:hAnsi="Times New Roman;sans-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the six months ended June 30, 2024 compared to the same periods in 2023, the $12.0 million increase was driven by h</w:t>
      </w:r>
      <w:r>
        <w:rPr>
          <w:rFonts w:ascii="Times New Roman;sans-serif" w:hAnsi="Times New Roman;sans-serif"/>
          <w:b w:val="false"/>
          <w:color w:val="000000"/>
          <w:sz w:val="20"/>
          <w:shd w:fill="FFFFFF" w:val="clear"/>
        </w:rPr>
        <w:t xml:space="preserve">igher share-based compensation expense of </w:t>
      </w:r>
      <w:r>
        <w:rPr>
          <w:rFonts w:ascii="Times New Roman;sans-serif" w:hAnsi="Times New Roman;sans-serif"/>
          <w:b w:val="false"/>
          <w:color w:val="000000"/>
          <w:sz w:val="20"/>
        </w:rPr>
        <w:t>$4.7 million</w:t>
      </w:r>
      <w:r>
        <w:rPr>
          <w:rFonts w:ascii="Times New Roman;sans-serif" w:hAnsi="Times New Roman;sans-serif"/>
          <w:b w:val="false"/>
          <w:color w:val="000000"/>
          <w:sz w:val="20"/>
          <w:shd w:fill="FFFFFF" w:val="clear"/>
        </w:rPr>
        <w:t xml:space="preserve">, employee compensation and benefits expense of </w:t>
      </w:r>
      <w:r>
        <w:rPr>
          <w:rFonts w:ascii="Times New Roman;sans-serif" w:hAnsi="Times New Roman;sans-serif"/>
          <w:b w:val="false"/>
          <w:color w:val="000000"/>
          <w:sz w:val="20"/>
        </w:rPr>
        <w:t>$2.4 million</w:t>
      </w:r>
      <w:r>
        <w:rPr>
          <w:rFonts w:ascii="Times New Roman;sans-serif" w:hAnsi="Times New Roman;sans-serif"/>
          <w:b w:val="false"/>
          <w:color w:val="000000"/>
          <w:sz w:val="20"/>
          <w:shd w:fill="FFFFFF" w:val="clear"/>
        </w:rPr>
        <w:t xml:space="preserve">, bids and proposals expense of </w:t>
      </w:r>
      <w:r>
        <w:rPr>
          <w:rFonts w:ascii="Times New Roman;sans-serif" w:hAnsi="Times New Roman;sans-serif"/>
          <w:b w:val="false"/>
          <w:color w:val="000000"/>
          <w:sz w:val="20"/>
        </w:rPr>
        <w:t>$1.5 million, professional services of $1.6 million primarily driven by accounting and legal fees, rent expense of</w:t>
      </w:r>
      <w:r>
        <w:rPr>
          <w:color w:val="000000"/>
          <w:shd w:fill="FFFFFF" w:val="clear"/>
        </w:rPr>
        <w:t xml:space="preserve"> </w:t>
      </w:r>
      <w:r>
        <w:rPr>
          <w:rFonts w:ascii="Times New Roman;sans-serif" w:hAnsi="Times New Roman;sans-serif"/>
          <w:b w:val="false"/>
          <w:color w:val="000000"/>
          <w:sz w:val="20"/>
        </w:rPr>
        <w:t>$1.4 million</w:t>
      </w:r>
      <w:r>
        <w:rPr>
          <w:color w:val="000000"/>
          <w:shd w:fill="FFFFFF" w:val="clear"/>
        </w:rPr>
        <w:t xml:space="preserve"> </w:t>
      </w:r>
      <w:r>
        <w:rPr>
          <w:rFonts w:ascii="Times New Roman;sans-serif" w:hAnsi="Times New Roman;sans-serif"/>
          <w:b w:val="false"/>
          <w:color w:val="000000"/>
          <w:sz w:val="20"/>
          <w:shd w:fill="FFFFFF" w:val="clear"/>
        </w:rPr>
        <w:t xml:space="preserve">primarily driven by the move to our new corporate headquarters in late 2023, and various other administrative costs of </w:t>
      </w:r>
      <w:r>
        <w:rPr>
          <w:rFonts w:ascii="Times New Roman;sans-serif" w:hAnsi="Times New Roman;sans-serif"/>
          <w:b w:val="false"/>
          <w:color w:val="000000"/>
          <w:sz w:val="20"/>
        </w:rPr>
        <w:t>$0.4 million</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(expense), net favorable change of $15.7 million for the three months ended June 30, 2024 compared to the same period in 2023 was primarily due to favorable change in fair value of warrant liabilities of $21.0 million, gain on </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issuance of securities of $0.6 million, slightly offset by unfavorable change in fair value of the earn-out liabilities of $6.6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unfavorable change of $93.3 million for the six months ended June 30, 2024 compared to the same period in 2023 was primarily due to loss on issuance of securities of $68.1 million and unfavorable changes in fair value of the earn-out liabilities of $25.5 million and warrant liabilities of $3.0 million, slightly offset by $2.4 million related to the change in the fair value of SAFE Agreements which was eliminated in the first quarter of 2023.</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benefit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we recognized a combined U.S. federal and state expense for income taxes of zero, and our combined U.S. federal and state income tax rates were 0.0%. For the three and six months ended June 30, 2023, we recognized a combined U.S. federal and state expense for income taxes of $3.5 million and $0.3 million, respectively, and our effective combined U.S. federal and state income tax rates were (23.1%) and 6.3%, respectively. For three and six months ended June 30, 2024, our effective tax rate differed from the statutory rate of 21% primarily due to deferred taxes for which no benefit is being recorded and losses attributable to noncontrolling interest unitholders that are taxable on their respective share of taxable income. For the three and six months ended June 30, 2023, our effective tax rate differed from the statutory rate primarily due to Intuitive Machines, LLC's status as a partnership for U.S. federal income tax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Business Metrics and Non-GAAP Financial Measures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monitor the following key business metrics and non-GAAP financial measures that assist us in evaluating our business, measuring our performance, identifying trends and making strategic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backlog as our total estimate of the revenue we expect to realize in the future as a result of performing work on awarded contracts, less the amount of revenue we have previously recognized. We monitor our backlog because we believe it is a forward-looking indicator of potential sales which can be helpful to investors in evaluating the performance of our business and identifying trends over time. We generally include total expected revenue in backlog when a contract is awarded by the customer under a legally binding agreement. Our backlog does not include any estimate of future potential orders that might be awarded under government-wide acquisition contracts, agency-specific indefinite delivery/indefinite quantity contracts or other multiple-award contract vehicles, nor does it include option periods that have not been exercised by the customer. Due to government procurement rules, in certain cases revenue included in backlog are subject to budget appropriation or other contract cancellation clauses. Nearly all contracts allow customers to terminate the agreement at any time for convenience. If any of our contracts with firm orders were to be terminated, our backlog would be reduced by the expected value of the unfilled orders of such contracts. Consequently, our backlog may differ from actual revenue recognized in our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backlog as of the periods indicated:</w:t>
      </w:r>
    </w:p>
    <w:tbl>
      <w:tblPr>
        <w:tblW w:w="4236"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211"/>
        <w:gridCol w:w="826"/>
        <w:gridCol w:w="109"/>
        <w:gridCol w:w="109"/>
        <w:gridCol w:w="109"/>
        <w:gridCol w:w="109"/>
        <w:gridCol w:w="211"/>
        <w:gridCol w:w="82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Orders comprising backlog as of a given balance sheet date are typically invoiced in subsequent periods. As of June 30, 2024, we expect to recognize approximately 45-50% of our backlog over the remainder of 2024, approximately 35-40% over the subsequent twelve months of 2025 and the remaining 10-20% thereafter. Our backlog could experience volatility between periods, including as a result of customer order volumes and the speed of our fulfillment, which in turn may be impacted by the nature of products and services ordered, the amount of inventory on hand to satisfy orders and the necessary development and manufacturing lead time required to satisfy certain orders.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Backlog decreased by $55.6 million as of June 30, 2024 compared to December 31, 2023, primarily due to continued performance on existing contracts of $114.5 million and decreases related to contract value adjustments of $10.7 million primarily related to various certain fixed price contracts and task order adjustments on the OMES III contract. The decrease was partially offset by $69.6 million in new awards primarily associated with the Lunar Terrain Vehicle Services design project, a new commercial payload contract on the IM-3 mission, task order modification to the IM-2 CLPS contract and an unapproved task order modification to the IM-3 CLPS contract.</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our backlog of $213.0 million exceeded our remaining performance obligations of $94.6 million as reported in Note 3 - Revenue to our condensed consolidated financial statements included in this Quarterly Report. The difference of $118.4 million was primarily related to $51.9 million of variable consideration associated with constrained revenue, $66.5 million in backlog related to the funded value of OMES III and various other time and significant contracts where revenue is recognized when services are performed and contractually billable and therefore not included in remaining performance obligations.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key performance measure that our management team uses to assess our operating performance. We calculate Adjusted EBITDA as net income (loss) excluding results from non-operating sources including interest income, interest expense, gain on extinguishing of debt, share-based compensation, change in fair value instruments, gain or loss on issuance of securities, other income/expense, depreciation, and provision for 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Adjusted EBITDA because we believe it is helpful in highlighting trends in our operating results and because it is frequently used by analysts, investors, and other interested parties to evaluate companies in our industry.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has limitations as an analytical measure, and you should not consider it in isolation or as a substitute for analysis of our results as reported under GAAP. Some of these limitations are:</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reflect interest income, interest expense or other non-operating gains and losses, which may represent an increase to or reduction in cash available to us;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consider the impact of share-based compensation expense, which is expected to continue to be part of our compensation strategy;</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consider the impact of change in fair value of SAFE Agreements, change in fair value of earn-out liabilities, change in fair value of warrant liabilities, or loss on issuance of securities that we do not consider to be routine in nature for the ongoing financial performance of our business;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excludes non-cash charges for depreciation of property and equipment, and although the assets being depreciated may have to be replaced in the future, Adjusted EBITDA does not reflect cash capital expenditure requirements for such replacements or for new capital expenditure requirements; and</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reflect provisions for income taxes, which may represent a reduction in cash available to 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companies, including companies in our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GAAP results.</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the most directly comparable financial measure presented in accordance with GAAP, to Adjusted EBITDA.</w:t>
      </w:r>
    </w:p>
    <w:tbl>
      <w:tblPr>
        <w:tblW w:w="9120" w:type="dxa"/>
        <w:jc w:val="left"/>
        <w:tblInd w:w="0" w:type="dxa"/>
        <w:tblLayout w:type="fixed"/>
        <w:tblCellMar>
          <w:top w:w="28" w:type="dxa"/>
          <w:left w:w="28" w:type="dxa"/>
          <w:bottom w:w="28" w:type="dxa"/>
          <w:right w:w="28" w:type="dxa"/>
        </w:tblCellMar>
      </w:tblPr>
      <w:tblGrid>
        <w:gridCol w:w="1278"/>
        <w:gridCol w:w="1120"/>
        <w:gridCol w:w="1127"/>
        <w:gridCol w:w="211"/>
        <w:gridCol w:w="796"/>
        <w:gridCol w:w="109"/>
        <w:gridCol w:w="109"/>
        <w:gridCol w:w="109"/>
        <w:gridCol w:w="109"/>
        <w:gridCol w:w="211"/>
        <w:gridCol w:w="796"/>
        <w:gridCol w:w="109"/>
        <w:gridCol w:w="109"/>
        <w:gridCol w:w="109"/>
        <w:gridCol w:w="109"/>
        <w:gridCol w:w="211"/>
        <w:gridCol w:w="901"/>
        <w:gridCol w:w="109"/>
        <w:gridCol w:w="109"/>
        <w:gridCol w:w="109"/>
        <w:gridCol w:w="109"/>
        <w:gridCol w:w="211"/>
        <w:gridCol w:w="796"/>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 exclude the following:</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SAFE Agreements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issuance of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has limitations as a liquidity measure, and you should not consider it in isolation or as a substitute for analysis of our cash flows as reported under GAAP. Some of these limitations are:</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 xml:space="preserve">Free Cash Flow is not a measure calculated in accordance with GAAP and should not be considered in isolation from, or as a substitute for financial information prepared in accordance with GAAP. </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 xml:space="preserve">Free Cash Flow may not be comparable to similarly titled metrics of other companies due to differences among methods of calculation. </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Free Cash Flow may be affected in the near to medium term by the timing of capital investments, fluctuations in our growth and the effect of such fluctuations on working capital and changes in our cash conversion cycle.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cash used in operating activities, the most directly comparable financial measure presented in accordance with GAAP, to free cash flow:</w:t>
      </w:r>
    </w:p>
    <w:tbl>
      <w:tblPr>
        <w:tblW w:w="5723" w:type="dxa"/>
        <w:jc w:val="left"/>
        <w:tblInd w:w="0" w:type="dxa"/>
        <w:tblLayout w:type="fixed"/>
        <w:tblCellMar>
          <w:top w:w="28" w:type="dxa"/>
          <w:left w:w="28" w:type="dxa"/>
          <w:bottom w:w="28" w:type="dxa"/>
          <w:right w:w="28" w:type="dxa"/>
        </w:tblCellMar>
      </w:tblPr>
      <w:tblGrid>
        <w:gridCol w:w="1130"/>
        <w:gridCol w:w="992"/>
        <w:gridCol w:w="997"/>
        <w:gridCol w:w="211"/>
        <w:gridCol w:w="796"/>
        <w:gridCol w:w="109"/>
        <w:gridCol w:w="109"/>
        <w:gridCol w:w="109"/>
        <w:gridCol w:w="109"/>
        <w:gridCol w:w="211"/>
        <w:gridCol w:w="79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(35,974)</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funded our operations through internally generated cash on hand, proceeds from sales of our capital stock, including the execution of SAFE Agreements, our ATM Program with Cantor (as described below), proceeds from warrant exercises, and our proceeds from the issuance of bank debt. We assess our liquidity in terms of our ability to generate adequate amounts of cash to meet current and future needs. Our expected primary uses of cash on a short and long-term basis are for working capital requirements, capital expenditures, debt service requirements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Our capital expenditures are primarily related to machinery and equipment, computers and software, and leases.</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cash and cash equivalents of $31.6 million and working capital deficit of $1.9 million. For the six months ended June 30, 2024, the Company received approximately $78.8 million in gross proceeds from warrant exercises, sales of stock under our ATM Program, and other equity transactions, as further described in Notes 7 and 8.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as discussed in Notes 1 and 7, the Company entered into the Cantor Purchase Agreement, pursuant to which the Company may direct CFPI, at the Company’s discretion, to purchase up to the lesser of (i) $50.0 million of newly issued shares of Class A Common Stock and (ii) the “exchange cap” specified therein, subject to certain customary conditions and limitations set forth in the agreement. Additionally, in April 2024, the Company and Cantor entered into a Controlled Equity Offering Sales Agreement with Cantor acting as the Company’s exclusive sales agent for the sale of newly issued shares of Class A Common Stock for aggregate proceeds up to $100.0 million, as further described in Note 7. During the second quarter of 2024, the Company raised approximately $17.0 million in net proceeds pursuant to the at-the-market financing facility, followed by an additional raise of $4.1 million in net proceeds received in early July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the cash and cash equivalents as of June 30, 2024, and the additional liquidity available with the Cantor Purchase Agreement and Controlled Equity Offering Sales Agreement as further discussed in Note 7, will be sufficient to fund the short-term liquidity needs and the execution of the business plan through at least the twelve-month period from the date the financial statements are issued. </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Live Oak Mobilization Credit Facility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the Company entered into a loan agreement with Live Oak Banking Company (the “Credit Mobilization Facility”) which provided a $12.0 million credit mobilization facility that was paid in full as of November 2023. In July 2022, we entered into the Second Amended and Restated Loan Agreement with Live Oak Banking Company which provided an $8.0 million credit mobilization facility with a loan maturity of July 14, 2024. The Credit Mobilization Facility bears interest (payable monthly) at a rate per annum equal to the greater of (a) the prime rate, as published in the Wall Street Journal newspaper, plus 2.0% and (b) 5.0% and requires the Company to meet certain financial and other covenants and are secured by substantially all of the assets of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mobilization facilities require compliance with various covenants customary for agreements of this type, including those restricting our ability to incur debt, incur liens and undergo certain fundamental changes. The credit mobilization facilities also include events of default customary for agreements of this type. As of June 30, 2024, we were in compliance with all covenants under the credit mobilization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was $3.0 million and $8.0 million outstanding under the Credit Mobilization Facility as of June 30, 2024 and December 31, 2023, respectively. The Company paid $5.0 million during the second quarter of 2024, and paid the remaining $3.0 million in July 2024 on the Credit Mobilization Facility. See Note 5 - Debt to our condensed consolidated financial statements for additional information related to the credit mobilization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Bridge Loan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10, 2024, the Company entered into a series of loan documents with Pershing LLC, an affiliate of Bank of New York Mellon, pursuant to which Pershing LLC agreed to an extension of credit in an amount not to exceed $10.0 million to the Company (the “Bridge Loan”). Borrowings under the Bridge Loan bear interest at the target interest rate set by the Federal Open Market Committee (“Fed Funds Rate”), subject to a 5.5% floor, plus a margin. For borrowings, the applicable rate margin is 0.9%. The $10.0 million in borrowings are available for working capital needs and other general corporate purposes must be repaid by February 22,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Bridge Loan included guarantees (the “Credit Support Guarantees”) by Ghaffarian Enterprises, LLC (an affiliate of Dr. Kamal Ghaffarian) (“Ghaffarian Enterprises”) and documentation by which Ghaffarian Enterprises, LLC supported such Credit Support Guarantees with collateral including marketable securities (the “Credit Support”), in each case in favor of the lender for the benefit of the Company. On January 10, 2024, the Company and Ghaffarian Enterprises entered into a credit support fee and subrogation agreement, where the Company agreed to pay a support fee of $148 thousand for the Credit Support.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29, 2024, the Bridge Loan was repaid in full as a result of $10.0 million in contributions from the Guarantor under the Bridge Loan Conversion transaction further described in Note 7.</w:t>
      </w:r>
    </w:p>
    <w:p>
      <w:pPr>
        <w:pStyle w:val="TextBody"/>
        <w:bidi w:val="0"/>
        <w:spacing w:before="0" w:after="283"/>
        <w:jc w:val="left"/>
        <w:rPr/>
      </w:pPr>
      <w:r>
        <w:rPr/>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Company filed a shelf registration statement on Form S-3 (File No. 333-278288) with the Securities and Exchange Commission, which permits the offering, issuance, and sale of up to a maximum aggregate offering price of $300.0 million of the Company’s Class A common stock and warrants. Up to a maximum of $100.0 million of the maximum aggregate offering price of $300.0 million may be issued and sold pursuant to an at-the-market financing facility under a capital controlled equity offering sales agreement between the Company and Cantor Fitzgerald &amp; Co. As of the date of this filing, the Company raised approximately $21.1 million in net proceeds pursuant to the at-the-market financing facility. In addition, subject to market and other conditions, we may opportunistically pursue underwritten public offerings of our Class A common stock under such shelf registration statement for our account or the account of our selling stockholders. Unless otherwise specified in the prospectus supplement relating to any such offering, we expect to use the net proceeds of any sales of Class A common stock for our account for general corporate purposes. We would not receive any proceeds from the sale of our Class A common stock by the selling stockholders. We expect to continue to evaluate opportunities for such underwritten offerings over the near and intermediate term.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069" w:type="dxa"/>
        <w:jc w:val="left"/>
        <w:tblInd w:w="0" w:type="dxa"/>
        <w:tblLayout w:type="fixed"/>
        <w:tblCellMar>
          <w:top w:w="28" w:type="dxa"/>
          <w:left w:w="28" w:type="dxa"/>
          <w:bottom w:w="28" w:type="dxa"/>
          <w:right w:w="28" w:type="dxa"/>
        </w:tblCellMar>
      </w:tblPr>
      <w:tblGrid>
        <w:gridCol w:w="1255"/>
        <w:gridCol w:w="1102"/>
        <w:gridCol w:w="1108"/>
        <w:gridCol w:w="211"/>
        <w:gridCol w:w="796"/>
        <w:gridCol w:w="109"/>
        <w:gridCol w:w="109"/>
        <w:gridCol w:w="109"/>
        <w:gridCol w:w="109"/>
        <w:gridCol w:w="211"/>
        <w:gridCol w:w="79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for the six months ended June 30, 2024 and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During the six months ended June 30, 2024, our operating activitie</w:t>
      </w:r>
      <w:r>
        <w:rPr>
          <w:rFonts w:ascii="Times New Roman;sans-serif" w:hAnsi="Times New Roman;sans-serif"/>
          <w:b w:val="false"/>
          <w:color w:val="000000"/>
          <w:sz w:val="20"/>
        </w:rPr>
        <w:t>s used $37.7 million</w:t>
      </w:r>
      <w:r>
        <w:rPr>
          <w:color w:val="000000"/>
          <w:shd w:fill="FFFFFF" w:val="clear"/>
        </w:rPr>
        <w:t xml:space="preserve"> </w:t>
      </w:r>
      <w:r>
        <w:rPr>
          <w:rFonts w:ascii="Times New Roman;sans-serif" w:hAnsi="Times New Roman;sans-serif"/>
          <w:b w:val="false"/>
          <w:color w:val="000000"/>
          <w:sz w:val="20"/>
          <w:shd w:fill="FFFFFF" w:val="clear"/>
        </w:rPr>
        <w:t xml:space="preserve">of net cash as compared to </w:t>
      </w:r>
      <w:r>
        <w:rPr>
          <w:rFonts w:ascii="Times New Roman;sans-serif" w:hAnsi="Times New Roman;sans-serif"/>
          <w:b w:val="false"/>
          <w:color w:val="000000"/>
          <w:sz w:val="20"/>
        </w:rPr>
        <w:t>$15.8 million</w:t>
      </w:r>
      <w:r>
        <w:rPr>
          <w:color w:val="000000"/>
          <w:shd w:fill="FFFFFF" w:val="clear"/>
        </w:rPr>
        <w:t xml:space="preserve"> </w:t>
      </w:r>
      <w:r>
        <w:rPr>
          <w:rFonts w:ascii="Times New Roman;sans-serif" w:hAnsi="Times New Roman;sans-serif"/>
          <w:b w:val="false"/>
          <w:color w:val="000000"/>
          <w:sz w:val="20"/>
          <w:shd w:fill="FFFFFF" w:val="clear"/>
        </w:rPr>
        <w:t xml:space="preserve">of net cash </w:t>
      </w:r>
      <w:r>
        <w:rPr>
          <w:rFonts w:ascii="Times New Roman;sans-serif" w:hAnsi="Times New Roman;sans-serif"/>
          <w:b w:val="false"/>
          <w:color w:val="000000"/>
          <w:sz w:val="20"/>
        </w:rPr>
        <w:t>used</w:t>
      </w:r>
      <w:r>
        <w:rPr>
          <w:color w:val="000000"/>
          <w:shd w:fill="FFFFFF" w:val="clear"/>
        </w:rPr>
        <w:t xml:space="preserve"> </w:t>
      </w:r>
      <w:r>
        <w:rPr>
          <w:rFonts w:ascii="Times New Roman;sans-serif" w:hAnsi="Times New Roman;sans-serif"/>
          <w:b w:val="false"/>
          <w:color w:val="000000"/>
          <w:sz w:val="20"/>
          <w:shd w:fill="FFFFFF" w:val="clear"/>
        </w:rPr>
        <w:t>during the six months ended June 30, 2023.</w:t>
      </w:r>
      <w:r>
        <w:rPr>
          <w:color w:val="000000"/>
        </w:rPr>
        <w:t xml:space="preserve"> </w:t>
      </w:r>
      <w:r>
        <w:rPr>
          <w:rFonts w:ascii="Times New Roman;sans-serif" w:hAnsi="Times New Roman;sans-serif"/>
          <w:b w:val="false"/>
          <w:color w:val="000000"/>
          <w:sz w:val="20"/>
        </w:rPr>
        <w:t>Changes in operating assets and liabilities which consist primarily of working capital balances for our projects may vary and are impacted by the stage of completion and contractual terms of projects. The primary components of our working capital accounts are trade accounts receivable, contract assets, accounts payable, and contract liabilities.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Investing Activities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During the six months ended June 30, 2024, investing activities</w:t>
      </w:r>
      <w:r>
        <w:rPr>
          <w:color w:val="000000"/>
        </w:rPr>
        <w:t xml:space="preserve"> </w:t>
      </w:r>
      <w:r>
        <w:rPr>
          <w:rFonts w:ascii="Times New Roman;sans-serif" w:hAnsi="Times New Roman;sans-serif"/>
          <w:b w:val="false"/>
          <w:color w:val="000000"/>
          <w:sz w:val="20"/>
        </w:rPr>
        <w:t>used $3.8 million of net cash as compared to $20.2 million of net cash used during the six months ended June 30, 2023. The $16.4 million</w:t>
      </w:r>
      <w:r>
        <w:rPr>
          <w:color w:val="000000"/>
          <w:shd w:fill="FFFFFF" w:val="clear"/>
        </w:rPr>
        <w:t xml:space="preserve"> </w:t>
      </w:r>
      <w:r>
        <w:rPr>
          <w:rFonts w:ascii="Times New Roman;sans-serif" w:hAnsi="Times New Roman;sans-serif"/>
          <w:b w:val="false"/>
          <w:color w:val="000000"/>
          <w:sz w:val="20"/>
          <w:shd w:fill="FFFFFF" w:val="clear"/>
        </w:rPr>
        <w:t>favorable change</w:t>
      </w:r>
      <w:r>
        <w:rPr>
          <w:color w:val="000000"/>
        </w:rPr>
        <w:t xml:space="preserve"> </w:t>
      </w:r>
      <w:r>
        <w:rPr>
          <w:rFonts w:ascii="Times New Roman;sans-serif" w:hAnsi="Times New Roman;sans-serif"/>
          <w:b w:val="false"/>
          <w:color w:val="000000"/>
          <w:sz w:val="20"/>
        </w:rPr>
        <w:t>was primarily driven by the 2023 capital expenditures in construction in progress related to our lunar operations center which was completed during the third quarter of 2023 and subsequently reclassed to right-of-use assets on the balance sheet.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During the six months ended June 30, 2024, financing activitie</w:t>
      </w:r>
      <w:r>
        <w:rPr>
          <w:rFonts w:ascii="Times New Roman;sans-serif" w:hAnsi="Times New Roman;sans-serif"/>
          <w:b w:val="false"/>
          <w:color w:val="000000"/>
          <w:sz w:val="20"/>
        </w:rPr>
        <w:t>s provided $70.6 million of net cash as compared to $49.3 million of net cash provided during the six months ended June 30, 2023</w:t>
      </w:r>
      <w:r>
        <w:rPr>
          <w:rFonts w:ascii="Times New Roman;sans-serif" w:hAnsi="Times New Roman;sans-serif"/>
          <w:b w:val="false"/>
          <w:color w:val="000000"/>
          <w:sz w:val="20"/>
          <w:shd w:fill="FFFFFF" w:val="clear"/>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During 2024, our financing activities primarily included </w:t>
      </w:r>
      <w:r>
        <w:rPr>
          <w:rFonts w:ascii="Times New Roman;sans-serif" w:hAnsi="Times New Roman;sans-serif"/>
          <w:b w:val="false"/>
          <w:color w:val="000000"/>
          <w:sz w:val="20"/>
        </w:rPr>
        <w:t>$51.4 million in proceeds from the exercise of warrants, $27.0 million in net proceeds from the issuance of securities, $10.0 million in proceeds received in borrowings under the Bridge Loan offset by the repayment of $10.0 million, $5.0 million repayment on a loan under our Credit Mobilization Facility, and $2.1 million in payments of withholding taxes from share-based awards.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During 2023, our financing activities primarily included </w:t>
      </w:r>
      <w:r>
        <w:rPr>
          <w:rFonts w:ascii="Times New Roman;sans-serif" w:hAnsi="Times New Roman;sans-serif"/>
          <w:b w:val="false"/>
          <w:color w:val="000000"/>
          <w:sz w:val="20"/>
        </w:rPr>
        <w:t>$34.1 million</w:t>
      </w:r>
      <w:r>
        <w:rPr>
          <w:color w:val="000000"/>
          <w:shd w:fill="FFFFFF" w:val="clear"/>
        </w:rPr>
        <w:t xml:space="preserve"> </w:t>
      </w:r>
      <w:r>
        <w:rPr>
          <w:rFonts w:ascii="Times New Roman;sans-serif" w:hAnsi="Times New Roman;sans-serif"/>
          <w:b w:val="false"/>
          <w:color w:val="000000"/>
          <w:sz w:val="20"/>
          <w:shd w:fill="FFFFFF" w:val="clear"/>
        </w:rPr>
        <w:t xml:space="preserve">in proceeds received upon consummation of the Business Combination and Series A Preferred Stock issuance slightly offset by </w:t>
      </w:r>
      <w:r>
        <w:rPr>
          <w:rFonts w:ascii="Times New Roman;sans-serif" w:hAnsi="Times New Roman;sans-serif"/>
          <w:b w:val="false"/>
          <w:color w:val="000000"/>
          <w:sz w:val="20"/>
        </w:rPr>
        <w:t>$9.4 million in related transaction costs paid</w:t>
      </w:r>
      <w:r>
        <w:rPr>
          <w:rFonts w:ascii="Times New Roman;sans-serif" w:hAnsi="Times New Roman;sans-serif"/>
          <w:b w:val="false"/>
          <w:color w:val="000000"/>
          <w:sz w:val="20"/>
          <w:shd w:fill="FFFFFF" w:val="clear"/>
        </w:rPr>
        <w:t xml:space="preserve">. We also received </w:t>
      </w:r>
      <w:r>
        <w:rPr>
          <w:rFonts w:ascii="Times New Roman;sans-serif" w:hAnsi="Times New Roman;sans-serif"/>
          <w:b w:val="false"/>
          <w:color w:val="000000"/>
          <w:sz w:val="20"/>
        </w:rPr>
        <w:t>$12.7 million</w:t>
      </w:r>
      <w:r>
        <w:rPr>
          <w:color w:val="000000"/>
          <w:shd w:fill="FFFFFF" w:val="clear"/>
        </w:rPr>
        <w:t xml:space="preserve"> </w:t>
      </w:r>
      <w:r>
        <w:rPr>
          <w:rFonts w:ascii="Times New Roman;sans-serif" w:hAnsi="Times New Roman;sans-serif"/>
          <w:b w:val="false"/>
          <w:color w:val="000000"/>
          <w:sz w:val="20"/>
          <w:shd w:fill="FFFFFF" w:val="clear"/>
        </w:rPr>
        <w:t xml:space="preserve">in cash associated with the termination of a prepaid forward purchase agreement and </w:t>
      </w:r>
      <w:r>
        <w:rPr>
          <w:rFonts w:ascii="Times New Roman;sans-serif" w:hAnsi="Times New Roman;sans-serif"/>
          <w:b w:val="false"/>
          <w:color w:val="000000"/>
          <w:sz w:val="20"/>
        </w:rPr>
        <w:t>$16.1 million in proceeds from the exercise of warrants, slightly offset by member distributions of $4.3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Commitments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real estate for office space and for administrative, research, marketing and light manufacturing operations. These leases are classified as operating leases with various expiration dates through 2043.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we signed a ground lease agreement for the development of a Lunar Production and Operations Center (“LPOC”) that will serve as a production and testing facility of lunar lander components and other aerospace related operations which provided for the lessor to reimburse up to $40.0 million for certain costs incurred by us for design, construction, and development. Management concluded that it was deemed the owner, for accounting purposes only, of the facility under build-to-suit lease accounting due to its involvement in the construction activities of the facility. Accordingly, we are accounting for the construction of the facility as a financing arrangement. Upon completion of the construction, the lease agreement will have an initial term of 20 years with four optional renewal periods of 5 years each.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2022, construction was completed for the Small Engine Verification facility (the “SEV” facility) portion of the lunar operations center, and we took possession of the SEV facility. As of June 30, 2024, the Company recorded right-of-use assets of $2.9 million and corresponding lease liabilities of $3.3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remaining construction for the LPOC was near completion, we took possession of the entire facility. Upon commencement of the lease, we determined that the LPOC qualified for sale and leaseback accounting, with the leaseback being classified as an operating lease. As of June 30, 2024, the Company recorded right-of-use assets of $31.7 million and operating lease liabilities of $28.2 million. As of June 30, 2024, we have approximately $1.3 million of contractual obligations to complete construction of the LPOC which will be funded through available cash on hand.</w:t>
      </w:r>
    </w:p>
    <w:p>
      <w:pPr>
        <w:pStyle w:val="TextBody"/>
        <w:bidi w:val="0"/>
        <w:spacing w:lineRule="auto" w:line="25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Live Oak Credit Mobilization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disclosures regarding our Live Oak Credit Mobilization Facility, refer to the preceding discussions under Liquidity and Capital Resources and Note 5 -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Commitments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time-to-time, we enter into long-term commitments with vendors to purchase launch services and for the development of certain components in conjunction with our obligations under revenue contracts with our customers. As of June 30, 2024, we had remaining purchase obligations under non-cancelable commitments with seven vendors totaling $32.6 million of which $27.1 million is due within the next twelve months and the remaining $5.5 million is due in the subsequent twelve-month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Off-Balance Sheet Arrangements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We believe that the following acco</w:t>
      </w:r>
      <w:r>
        <w:rPr>
          <w:rFonts w:ascii="Times New Roman;sans-serif" w:hAnsi="Times New Roman;sans-serif"/>
          <w:b w:val="false"/>
          <w:color w:val="000000"/>
          <w:sz w:val="20"/>
        </w:rPr>
        <w:t xml:space="preserve">unting policies involve a high degree of judgement and complexity. Accordingly, these are the policies we believe are the most critical to aid in fully understanding and evaluating our consolidated financial condition and results of our operations. Significant accounting policies employed by us, including the use of estimates, are presented in Note 2 - Summary of Significant Accounting Policies to our condensed consolidated financial statements included elsewhere in this Quarterly Report and our audited consolidated financial statements as of and for the years ended December 31, 2023 and 2022 </w:t>
      </w:r>
      <w:r>
        <w:rPr>
          <w:rFonts w:ascii="Times New Roman;sans-serif" w:hAnsi="Times New Roman;sans-serif"/>
          <w:b w:val="false"/>
          <w:color w:val="000000"/>
          <w:sz w:val="20"/>
          <w:shd w:fill="FFFFFF" w:val="clear"/>
        </w:rPr>
        <w:t>contained in our Annual Report on Form 10-K, filed with the SEC on March 25, 2024.</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in accordance with ASC 606, Revenue from Contracts with Customers. Our revenue is primarily generated from the progress on long-term lunar mission contracts and engineering services for the research, design, development, and manufacturing of advancement technology aerospace system.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work required to be performed on many of our performance obligations, the estimation of total revenue and cost at completion (the process described below in more detail) is complex and subject to many variables and requires significant judgment. The consideration to which we are entitled on our long-term contracts may include both fixed and variable amounts. Variable amounts can either increase or decrease the transaction price.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include estimated amounts of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changes are required for the estimated total revenue on a contract, these changes are recognized on a cumulative catch-up basis in the current period. A significant change in one or more estimates could affect the profitability of one or more of our performance obligations. If estimates of total costs to be incurred exceed estimates of total consideration the Company expects to receive, a provision for the remaining loss on the contract is recorded in the period in which the loss becomes evident.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Section 2(a) of the Securities Act, as modified by the Jumpstart our Business Startups Act of 2012, (the “JOBS Act”),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w:t>
      </w: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with another public company which is either not an emerging growth company or an emerging growth company which has opted out of using the extended transition period difficult or impossible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Exchange Act and are not required to provide the information otherwise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to provide reasonable assurance that information required to be disclosed in our reports filed or submitted under the Exchange Act is recorded, processed, summarized and reported within the time periods specified in the SEC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have been no changes in the Company’s internal control over financial reporting during the three months ended June 30, 2024 that have materially affected, or that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 </w:t>
      </w:r>
      <w:r>
        <w:rPr>
          <w:rFonts w:ascii="Times New Roman;sans-serif" w:hAnsi="Times New Roman;sans-serif"/>
          <w:b w:val="false"/>
          <w:color w:val="000000"/>
          <w:sz w:val="20"/>
        </w:rPr>
        <w:t>Information relating to commitments and contingencies is described in Note 12 - Commitments and Contingencies to our condensed consolidated financial statements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actual results to differ materially from those in this report include the risk factors described in our 2023 Annual Report on Form 10-K and our Quarterly Report for the quarter ended March 31, 2024. As of the date of this Quarterly Report, there have been no material changes to the risk factors disclosed except as disclosed below.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We are dependent on technology and automated systems to operate our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depend heavily on technology and automated systems to effectively operate our business. Any substantial, extended, or repeated failures of these systems could negatively affect our business, compromise the security of our information or other information stored on, transmitted by, or otherwise processed by these systems, result in the loss of or damage to important data, loss of revenue and increased costs, and generally harm our business. Additionally, loss of key talent required to maintain and advance these systems could have a material impact on our operations. Like other companies, our systems may be vulnerable to disruptions due to events beyond our control, including natural disasters, power disruptions, software or equipment failures, terrorist attacks, cybersecurity incursions, computer viruses and hackers. There can be no assurance that the measures we have taken to reduce the adverse effects of certain potential failures or disruptions are adequate to prevent or remedy disruptions of our systems or prevent or mitigate all attacks. In addition, we will need to continuously make significant investments in technology to periodically upgrade and replace existing systems. If we are unable to make these investments or fail to successfully implement, upgrade or replace our systems, our operations and business could be adversely impacted. For example, in July 2024, certain businesses, experienced disruptions related to a software update by a cybersecurity technology company. As of the date of this Quarterly Report on Form 10-Q, we have not experienced any significant impacts due to software updates, but we could in the future experience similar software-induced interruptions to our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Rule 10b5-1 and Non-Rule 10b5-1 Trading Arrangements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none of our officers or directors adopted, modified, or terminated any Rule 10b5-1 or non-Rule 10b5-1 trading arrangements.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$3.0 million outstanding under the Credit Mobilization Facility which was paid off on July 10,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7"/>
        <w:gridCol w:w="262"/>
        <w:gridCol w:w="263"/>
        <w:gridCol w:w="109"/>
        <w:gridCol w:w="109"/>
        <w:gridCol w:w="109"/>
        <w:gridCol w:w="2926"/>
        <w:gridCol w:w="2818"/>
        <w:gridCol w:w="2828"/>
        <w:gridCol w:w="109"/>
        <w:gridCol w:w="109"/>
        <w:gridCol w:w="109"/>
        <w:gridCol w:w="157"/>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u w:val="single"/>
                </w:rPr>
                <w:t>Certification of Chief Executive Officer pursuant to Rules 13a-14 and 15d-14 promulgated under the Securities Exchange Act of 1934</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18"/>
                  <w:u w:val="single"/>
                </w:rPr>
                <w:t>Certification of Chief Financial Officer pursuant to Rules 13a-14 and 15d-14 promulgated under the Securities Exchange Act of 1934</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1301563096d14af9a6e8b4336e60c864_7">
        <w:r>
          <w:rPr>
            <w:rStyle w:val="InternetLink"/>
            <w:rFonts w:ascii="Times New Roman;sans-serif" w:hAnsi="Times New Roman;sans-serif"/>
            <w:b w:val="false"/>
            <w:color w:val="0000FF"/>
            <w:sz w:val="20"/>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240" w:after="283"/>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093"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330"/>
        <w:gridCol w:w="330"/>
        <w:gridCol w:w="330"/>
        <w:gridCol w:w="1187"/>
        <w:gridCol w:w="1187"/>
        <w:gridCol w:w="17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Intuitive Machines,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13, 2024</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Interim Chief Financial Officer and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44452/000184445224000094/ex311certification-ceo302.htm" TargetMode="External"/><Relationship Id="rId4" Type="http://schemas.openxmlformats.org/officeDocument/2006/relationships/hyperlink" Target="https://www.sec.gov/Archives/edgar/data/1844452/000184445224000094/ex312certification-cfo302.htm" TargetMode="External"/><Relationship Id="rId5" Type="http://schemas.openxmlformats.org/officeDocument/2006/relationships/hyperlink" Target="https://www.sec.gov/Archives/edgar/data/1844452/000184445224000094/ex321certification-ceo906.htm" TargetMode="External"/><Relationship Id="rId6" Type="http://schemas.openxmlformats.org/officeDocument/2006/relationships/hyperlink" Target="https://www.sec.gov/Archives/edgar/data/1844452/000184445224000094/ex322certification-cfo906.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28987</Words>
  <Characters>159653</Characters>
  <CharactersWithSpaces>187388</CharactersWithSpaces>
  <Paragraphs>3016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