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Intuitive Machines,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Kamal Seyed Ghaffarian</w:t>
              <w:br/>
              <w:t xml:space="preserve">5937 Sunnyslope Drive, </w:t>
              <w:br/>
              <w:t>Naples, FL, 34119</w:t>
              <w:br/>
              <w:t>(301) 486-3150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Kamal Seyed Ghaffarian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146,092.00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38,282,944.00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146,092.00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38,282,944.00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38,429,036.00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1"/>
        <w:gridCol w:w="7814"/>
      </w:tblGrid>
      <w:tr>
        <w:trPr/>
        <w:tc>
          <w:tcPr>
            <w:tcW w:w="2391" w:type="dxa"/>
            <w:tcBorders/>
            <w:vAlign w:val="center"/>
          </w:tcPr>
          <w:p>
            <w:pPr>
              <w:pStyle w:val="TableContents"/>
              <w:bidi w:val="0"/>
              <w:spacing w:before="0" w:after="283"/>
              <w:jc w:val="left"/>
              <w:rPr/>
            </w:pPr>
            <w:r>
              <w:rPr/>
              <w:t>1</w:t>
            </w:r>
          </w:p>
        </w:tc>
        <w:tc>
          <w:tcPr>
            <w:tcW w:w="78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Ghaffarian Enterprises, LLC</w:t>
            </w:r>
          </w:p>
        </w:tc>
      </w:tr>
      <w:tr>
        <w:trPr/>
        <w:tc>
          <w:tcPr>
            <w:tcW w:w="2391" w:type="dxa"/>
            <w:tcBorders/>
            <w:vAlign w:val="center"/>
          </w:tcPr>
          <w:p>
            <w:pPr>
              <w:pStyle w:val="TableContents"/>
              <w:bidi w:val="0"/>
              <w:spacing w:before="0" w:after="283"/>
              <w:jc w:val="left"/>
              <w:rPr/>
            </w:pPr>
            <w:r>
              <w:rPr/>
              <w:t>2</w:t>
            </w:r>
          </w:p>
        </w:tc>
        <w:tc>
          <w:tcPr>
            <w:tcW w:w="78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1" w:type="dxa"/>
            <w:tcBorders/>
            <w:vAlign w:val="center"/>
          </w:tcPr>
          <w:p>
            <w:pPr>
              <w:pStyle w:val="TableContents"/>
              <w:bidi w:val="0"/>
              <w:spacing w:before="0" w:after="283"/>
              <w:jc w:val="left"/>
              <w:rPr/>
            </w:pPr>
            <w:r>
              <w:rPr/>
              <w:t>3</w:t>
            </w:r>
          </w:p>
        </w:tc>
        <w:tc>
          <w:tcPr>
            <w:tcW w:w="7814" w:type="dxa"/>
            <w:tcBorders/>
            <w:vAlign w:val="center"/>
          </w:tcPr>
          <w:p>
            <w:pPr>
              <w:pStyle w:val="TableContents"/>
              <w:bidi w:val="0"/>
              <w:spacing w:before="0" w:after="283"/>
              <w:jc w:val="left"/>
              <w:rPr/>
            </w:pPr>
            <w:r>
              <w:rPr/>
              <w:t>SEC use only</w:t>
            </w:r>
          </w:p>
        </w:tc>
      </w:tr>
      <w:tr>
        <w:trPr/>
        <w:tc>
          <w:tcPr>
            <w:tcW w:w="2391" w:type="dxa"/>
            <w:tcBorders/>
            <w:vAlign w:val="center"/>
          </w:tcPr>
          <w:p>
            <w:pPr>
              <w:pStyle w:val="TableContents"/>
              <w:bidi w:val="0"/>
              <w:spacing w:before="0" w:after="283"/>
              <w:jc w:val="left"/>
              <w:rPr/>
            </w:pPr>
            <w:r>
              <w:rPr/>
              <w:t>4</w:t>
            </w:r>
          </w:p>
        </w:tc>
        <w:tc>
          <w:tcPr>
            <w:tcW w:w="78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1" w:type="dxa"/>
            <w:tcBorders/>
            <w:vAlign w:val="center"/>
          </w:tcPr>
          <w:p>
            <w:pPr>
              <w:pStyle w:val="TableContents"/>
              <w:bidi w:val="0"/>
              <w:spacing w:before="0" w:after="283"/>
              <w:jc w:val="left"/>
              <w:rPr/>
            </w:pPr>
            <w:r>
              <w:rPr/>
              <w:t>5</w:t>
            </w:r>
          </w:p>
        </w:tc>
        <w:tc>
          <w:tcPr>
            <w:tcW w:w="78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6</w:t>
            </w:r>
          </w:p>
        </w:tc>
        <w:tc>
          <w:tcPr>
            <w:tcW w:w="78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3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36,041,823.00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36,041,823.00</w:t>
                  </w:r>
                </w:p>
              </w:tc>
            </w:tr>
          </w:tbl>
          <w:p>
            <w:pPr>
              <w:pStyle w:val="TableContents"/>
              <w:bidi w:val="0"/>
              <w:spacing w:before="0" w:after="283"/>
              <w:jc w:val="left"/>
              <w:rPr/>
            </w:pPr>
            <w:r>
              <w:rPr/>
            </w:r>
          </w:p>
        </w:tc>
        <w:tc>
          <w:tcPr>
            <w:tcW w:w="7814" w:type="dxa"/>
            <w:tcBorders/>
            <w:vAlign w:val="center"/>
          </w:tcPr>
          <w:p>
            <w:pPr>
              <w:pStyle w:val="TableContents"/>
              <w:bidi w:val="0"/>
              <w:spacing w:before="0" w:after="283"/>
              <w:jc w:val="left"/>
              <w:rPr>
                <w:sz w:val="4"/>
                <w:szCs w:val="4"/>
              </w:rPr>
            </w:pPr>
            <w:r>
              <w:rPr>
                <w:sz w:val="4"/>
                <w:szCs w:val="4"/>
              </w:rPr>
            </w:r>
          </w:p>
        </w:tc>
      </w:tr>
      <w:tr>
        <w:trPr/>
        <w:tc>
          <w:tcPr>
            <w:tcW w:w="2391" w:type="dxa"/>
            <w:tcBorders/>
            <w:vAlign w:val="center"/>
          </w:tcPr>
          <w:p>
            <w:pPr>
              <w:pStyle w:val="TableContents"/>
              <w:bidi w:val="0"/>
              <w:spacing w:before="0" w:after="283"/>
              <w:jc w:val="left"/>
              <w:rPr/>
            </w:pPr>
            <w:r>
              <w:rPr/>
              <w:t>11</w:t>
            </w:r>
          </w:p>
        </w:tc>
        <w:tc>
          <w:tcPr>
            <w:tcW w:w="78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36,041,823.00</w:t>
            </w:r>
          </w:p>
        </w:tc>
      </w:tr>
      <w:tr>
        <w:trPr/>
        <w:tc>
          <w:tcPr>
            <w:tcW w:w="2391" w:type="dxa"/>
            <w:tcBorders/>
            <w:vAlign w:val="center"/>
          </w:tcPr>
          <w:p>
            <w:pPr>
              <w:pStyle w:val="TableContents"/>
              <w:bidi w:val="0"/>
              <w:spacing w:before="0" w:after="283"/>
              <w:jc w:val="left"/>
              <w:rPr/>
            </w:pPr>
            <w:r>
              <w:rPr/>
              <w:t>12</w:t>
            </w:r>
          </w:p>
        </w:tc>
        <w:tc>
          <w:tcPr>
            <w:tcW w:w="78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1" w:type="dxa"/>
            <w:tcBorders/>
            <w:vAlign w:val="center"/>
          </w:tcPr>
          <w:p>
            <w:pPr>
              <w:pStyle w:val="TableContents"/>
              <w:bidi w:val="0"/>
              <w:spacing w:before="0" w:after="283"/>
              <w:jc w:val="left"/>
              <w:rPr/>
            </w:pPr>
            <w:r>
              <w:rPr/>
              <w:t>13</w:t>
            </w:r>
          </w:p>
        </w:tc>
        <w:tc>
          <w:tcPr>
            <w:tcW w:w="78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18.7 % </w:t>
            </w:r>
          </w:p>
        </w:tc>
      </w:tr>
      <w:tr>
        <w:trPr/>
        <w:tc>
          <w:tcPr>
            <w:tcW w:w="2391" w:type="dxa"/>
            <w:tcBorders/>
            <w:vAlign w:val="center"/>
          </w:tcPr>
          <w:p>
            <w:pPr>
              <w:pStyle w:val="TableContents"/>
              <w:bidi w:val="0"/>
              <w:spacing w:before="0" w:after="283"/>
              <w:jc w:val="left"/>
              <w:rPr/>
            </w:pPr>
            <w:r>
              <w:rPr/>
              <w:t>14</w:t>
            </w:r>
          </w:p>
        </w:tc>
        <w:tc>
          <w:tcPr>
            <w:tcW w:w="78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GM Enterprises,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2,241,121.00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2,241,121.00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2,241,121.00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Intuitive Machines,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13467 Columbia Shuttle Street, Houston, TEXAS , 77059.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12 to Schedule 13D (this "Amendment No. 12") amends and supplements the statement on Schedule 13D filed with the United States Securities and Exchange Commission on February 8, 2024 (as amended to date, the "Schedule 13D"), relating to the Class A common stock, par value $0.0001 per share (the "Class A Common Stock"), of Intuitive Machines, Inc., a Delaware corporation (the "Issuer"). Capitalized terms used herein without definition shall have the meaning set forth in the Schedule 13D.</w:t>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4 of the Schedule 13D is hereby amended and supplemented with the following: Entry into the 2026 10b5-1 Plan On July 2, 2026, Ghaffarian Enterprises, LLC entered into a trading plan (the "2026 10b5-1 Trading Plan") pursuant to Rule 10b5-1 under the Securities Exchange Act of 1934, as amended. Pursuant to the 2026 10b5-1 Trading Plan, a broker dealer will make periodic sales of up to an aggregate of 1,935,568 shares of Class A Common Stock on behalf of Ghaffarian Enterprises, LLC. Such number of shares represents less than 2% of the total outstanding shares of Class A Common Stock of the Issuer. The 2026 10b5-1 Trading Plan is being entered into solely to generate liquidity for Ghaffarian Enterprises, LLC. Sales under the 2026 10b5-1 Trading Plan will not commence until after the expiration date of any existing plan. The foregoing description of the 2026 10b5-1 Trading Plan does not purport to be complete and is qualified in its entirety by the text of the 2026 10b5-1 Trading Plan, the form of which is attached as an exhibit to this Schedule 13D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7 of the Schedule 13D is hereby amended and supplemented with the following: Exhibit 11: 2026 10b5-1 Trading Plan, entered into on July 2,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Kamal Seyed Ghaffarian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Kamal Seyed Ghaffarian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Kamal Seyed Ghaffarian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Ghaffarian Enterprises, LLC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Kamal Seyed Ghaffarian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Kamal Seyed Ghaffarian, Trustee of the Sole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GM Enterprises,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Kamal Seyed Ghaffarian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Kamal Seyed Ghaffarian, Trustee of the Sole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Times;Serif" w:hAnsi="Times New Roman;Times;Serif"/>
          <w:b/>
          <w:i w:val="false"/>
          <w:caps w:val="false"/>
          <w:smallCaps w:val="false"/>
          <w:sz w:val="20"/>
        </w:rPr>
      </w:pPr>
      <w:bookmarkStart w:id="22" w:name="ea029723001ex11.htm"/>
      <w:bookmarkStart w:id="23" w:name="ksea029723001ex11"/>
      <w:bookmarkEnd w:id="22"/>
      <w:bookmarkEnd w:id="23"/>
      <w:r>
        <w:rPr>
          <w:rFonts w:ascii="Times New Roman;Times;Serif" w:hAnsi="Times New Roman;Times;Serif"/>
          <w:b/>
          <w:i w:val="false"/>
          <w:caps w:val="false"/>
          <w:smallCaps w:val="false"/>
          <w:sz w:val="20"/>
        </w:rPr>
        <w:t>Exhibit 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Plan, adopted </w:t>
      </w:r>
      <w:r>
        <w:rPr>
          <w:rFonts w:ascii="Times New Roman;Times;Serif" w:hAnsi="Times New Roman;Times;Serif"/>
          <w:b w:val="false"/>
          <w:i w:val="false"/>
          <w:caps w:val="false"/>
          <w:smallCaps w:val="false"/>
          <w:sz w:val="20"/>
          <w:u w:val="single"/>
        </w:rPr>
        <w:t>06/18/26</w:t>
      </w:r>
      <w:r>
        <w:rPr>
          <w:rFonts w:ascii="Times New Roman;Times;Serif" w:hAnsi="Times New Roman;Times;Serif"/>
          <w:b w:val="false"/>
          <w:i w:val="false"/>
          <w:caps w:val="false"/>
          <w:smallCaps w:val="false"/>
          <w:sz w:val="20"/>
        </w:rPr>
        <w:t xml:space="preserve"> (the “Sales Plan”), between </w:t>
      </w:r>
      <w:r>
        <w:rPr>
          <w:rFonts w:ascii="Times New Roman;Times;Serif" w:hAnsi="Times New Roman;Times;Serif"/>
          <w:b/>
          <w:i w:val="false"/>
          <w:caps w:val="false"/>
          <w:smallCaps w:val="false"/>
          <w:sz w:val="20"/>
        </w:rPr>
        <w:t xml:space="preserve">Ghaffarian Enterprises, LLC </w:t>
      </w:r>
      <w:r>
        <w:rPr>
          <w:rFonts w:ascii="Times New Roman;Times;Serif" w:hAnsi="Times New Roman;Times;Serif"/>
          <w:b w:val="false"/>
          <w:i w:val="false"/>
          <w:caps w:val="false"/>
          <w:smallCaps w:val="false"/>
          <w:sz w:val="20"/>
        </w:rPr>
        <w:t>(“Seller”) and J.P. Morgan Securities LLC (“JPMS”). The purpose of this Sales Plan is to achieve the investment objectives of broader diversification of investments, while reducing the risk of over concentration in a particular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RECITALS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Seller desires to establish this Sales Plan to sell </w:t>
      </w:r>
      <w:r>
        <w:rPr>
          <w:rFonts w:ascii="Times New Roman;Times;Serif" w:hAnsi="Times New Roman;Times;Serif"/>
          <w:b/>
          <w:i w:val="false"/>
          <w:caps w:val="false"/>
          <w:smallCaps w:val="false"/>
          <w:sz w:val="20"/>
        </w:rPr>
        <w:t xml:space="preserve">Class A common shares </w:t>
      </w:r>
      <w:r>
        <w:rPr>
          <w:rFonts w:ascii="Times New Roman;Times;Serif" w:hAnsi="Times New Roman;Times;Serif"/>
          <w:b w:val="false"/>
          <w:i w:val="false"/>
          <w:caps w:val="false"/>
          <w:smallCaps w:val="false"/>
          <w:sz w:val="20"/>
        </w:rPr>
        <w:t xml:space="preserve">(the “Stock”) of </w:t>
      </w:r>
      <w:r>
        <w:rPr>
          <w:rFonts w:ascii="Times New Roman;Times;Serif" w:hAnsi="Times New Roman;Times;Serif"/>
          <w:b/>
          <w:i w:val="false"/>
          <w:caps w:val="false"/>
          <w:smallCaps w:val="false"/>
          <w:sz w:val="20"/>
        </w:rPr>
        <w:t xml:space="preserve">Intuitive Machines, Inc. </w:t>
      </w:r>
      <w:r>
        <w:rPr>
          <w:rFonts w:ascii="Times New Roman;Times;Serif" w:hAnsi="Times New Roman;Times;Serif"/>
          <w:b w:val="false"/>
          <w:i w:val="false"/>
          <w:caps w:val="false"/>
          <w:smallCaps w:val="false"/>
          <w:sz w:val="20"/>
        </w:rPr>
        <w:t>(the “Issuer”);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is currently party to a plan dated December 4, 2025, to sell shares of Stock via JPMS, the terms of which provide that it shall expire no later than September 21, 2026 (such plan as the “Existing Plan”);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Seller desires to sell a total of </w:t>
      </w:r>
      <w:r>
        <w:rPr>
          <w:rFonts w:ascii="Times New Roman;Times;Serif" w:hAnsi="Times New Roman;Times;Serif"/>
          <w:b/>
          <w:i w:val="false"/>
          <w:caps w:val="false"/>
          <w:smallCaps w:val="false"/>
          <w:sz w:val="20"/>
        </w:rPr>
        <w:t>1,935,568 shares</w:t>
      </w:r>
      <w:r>
        <w:rPr>
          <w:rFonts w:ascii="Times New Roman;Times;Serif" w:hAnsi="Times New Roman;Times;Serif"/>
          <w:b w:val="false"/>
          <w:i w:val="false"/>
          <w:caps w:val="false"/>
          <w:smallCaps w:val="false"/>
          <w:sz w:val="20"/>
        </w:rPr>
        <w:t xml:space="preserve"> of Stock (the “Total Plan Shares”), which Seller has the right to acquire through the tender of Class C shares of Intuitive Machines, Inc. (the “Tender Shares”) and exchange of units of Intuitive Machines, LLC (the “Units”) pursuant to Section 11.01(a) of the Second Amended and Restated Limited Liability Company Agreement of Intuitive Machines, LLC (as amended);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desires to sell shares of Stock pursuant to this Sales Plan in a total amount equal to “Total Plan Shares” as set forth in Schedule A;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desires to engage JPMS to effect sales of shares of Stock in accordance with the 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Seller and JPMS hereby agree as follows:</w:t>
      </w:r>
    </w:p>
    <w:p>
      <w:pPr>
        <w:pStyle w:val="TextBody"/>
        <w:bidi w:val="0"/>
        <w:spacing w:before="0" w:after="0"/>
        <w:jc w:val="left"/>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26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4640" w:type="dxa"/>
            <w:tcBorders/>
            <w:vAlign w:val="center"/>
          </w:tcPr>
          <w:p>
            <w:pPr>
              <w:pStyle w:val="TableContents"/>
              <w:bidi w:val="0"/>
              <w:spacing w:before="0" w:after="283"/>
              <w:jc w:val="both"/>
              <w:rPr/>
            </w:pPr>
            <w:r>
              <w:rPr/>
              <w:t>IMPLEMENTATION OF THE SALES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JPMS shall effect sales (each a “Sale”) of shares of Stock only on days on which the Nasdaq Exchange (the “Exchange”) is open and the Stock trades regular way on the Exchange (“Trading Day”), pursuant to the specific instructions specified on Schedule 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Seller acknowledges and agrees that JPMS will handle the above order on a best efforts basis. In the event any limit prices of orders are away from the prevailing market prices at any time, there can be no assurance that such orders will be executed in whole or in part. Seller agrees that all orders may be partially executed and will not be treated as an all or none order. JPMS may effect sales of Stock which may coincide with sales of Stock by other accounts held with JPMS including, but not limited to, sales made pursuant to other sales plans with JPMS. In such instances, JPMS will make allocations in a manner believed by JPMS to be equitable to each client. JPMS may aggregate sales of Stock under the Sales Plan with sales of the Stock by other JPMS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JPMS shall withdraw Stock from the Seller’s JPMorgan Chase Bank, N.A. Asset Custody Account or JPMS Margin Brokerage Account (“Account”) in order to effect sales of Stock under this Sales Plan. Unless otherwise indicated on Schedule A, if on any day that sales are to be made under this Sales Plan the number of shares of Stock in the Seller’s Account is less than the number of shares to be sold on such day, then JPMS shall coordinate with Issuer to redeem a sufficient number of Tender Shares and Units, if any, to effect such sales. If on any day that sales are to be made under this Sales Plan the number of shares in the Seller’s Account is less than the number of shares to be sold on such day, and such deficiency cannot be satisfied by the redemption of Tender Shares and Units, then JPMS shall notify Seller promptly of such deficiency, and Seller agrees to promptly deposit into the Account the number of shares of Stock necessary to eliminate such deficiency. Seller and JPMS both understanding that if Seller does not do so JPMS may need to borrow shares of Stock under Paragraph A.13.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Seller agrees to make appropriate arrangements with the Issuer and its transfer agent and stock plan administrator to permit JPMS to furnish notice to the Issuer of the tender and exchange of up to the total amount of Tender Shares and Units indicated in Schedule B (“Total Plan Tender Shares”, “Total Plan Units”) and to have underlying shares of Stock delivered to JPMS as necessary to effect sales under this Sales Plan. Seller hereby authorizes JPMS to serve as Seller’s agent and attorney-in-fact and, in accordance with the terms of this Sales Plan. Seller agrees to complete, execute and deliver to JPMS Redemption Notice forms for the tender and exchange of Tender Shares and Units pursuant to this Sales Plan at such times and in such numbers as JPMS shall request. Stock received upon tender and exchange of Tender Shares and Units shall be delivered to the Seller’s Account. In the event that JPMS is unable for any reason to receive a sufficient number of shares of Stock to meet its sales delivery obligation as set forth in Schedule A (which shall include, without limitation: any failure by the Issuer to deliver Stock, or an election by the Issuer not to deliver Stock, upon receipt of an Redemption Notice; or any nonfulfillment of Seller’s agreements in this Paragraph A.4), Seller acknowledges and agrees that JPMS may borrow or purchase shares of Stock subject to the terms, authorizations and agreements set forth in Paragraph A.13.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Seller agrees not to tender or exchange any of the Total Plan Tender Shares or Total Plan Units outside of this Sales Plan. Seller agrees not to remove or transfer shares of Stock out of the account, in any manner that would cause an alteration of, or deviation from, the terms of this 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JPMS will deduct its reasonable and customary commissions from the proceeds of sales of Stock under this Sales Plan, together with any other expenses incurred by JPMS in connection with such sales.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Total Plan Shares, the Total Plan Tender Shares, the Total Plan Units, the shares to be sold on a particular day, and the limit prices shall be adjusted automatically on a proportionate basis to take into account any stock split, reverse stock split or stock dividend or similar amendment with respect to the Stock, Tender Shares or Units or any change in capitalization with respect to the Issuer that occurs during the term of this 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Subject to Paragraph F.6, sales will commence under this Sales Plan on the Sales Commencement Date, as defined in Schedule A, which shall not be earlier than the expiration date of the Existing Plan, and shall terminate on the earliest of (a) the close of business on the Sales End Date, as defined in Schedule A</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 the date on which the Total Plan Shares have been sold; (c) the date this Sales Plan is terminated pursuant to Section E; (d) the dissolution or termination of Seller’s existence under applicable law, provided that any such dissolution or termination shall be made in good faith and not (i) for the purpose of indirectly causing termination of this Sales Plan, (ii) as a part of a plan or scheme to evade the prohibitions of Rule 10b5-1 or other applicable securities laws, or (iii) as a part of a plan or scheme to evade the provisions of Section E of this Sales Plan; (e) the date on which the unit of JPMS responsible for executing sales of Stock pursuant to this Sales Plan receives notice or otherwise becomes aware of (i) the closing of a tender or exchange offer with respect to the Stock or of a merger, acquisition, reorganization, recapitalization or comparable transaction affecting the securities of the Issuer as a result of which the Stock is to be exchanged or converted into shares of another company or for other consideration; or (ii) the commencement or impending commencement of any proceedings in respect of or triggered by Seller’s bankruptcy or insolvency. Notwithstanding the above, this Sales Plan shall not be considered effective, but instead shall be considered null and void, if at least one of the accounts referenced in A.3 above has not been established in the name of Seller and open for the receipt of Stock by the Sales Commencement Date. Seller understands that such an account cannot be opened until JPMS, and its affiliates have performed customer due diligence and customer identification in accordance with internal policies and procedures and relevant federal laws including, but not limited to, the Bank Secrecy Act as amended by the USA PATRIOT Act and the regulations promulgated thereunder. Seller understands that there may be significant time delays during this process and that an account may not be open for the receipt of Stock by the Sales Commencement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Seller acknowledges and agrees that Seller (which for purposes of this Paragraph A.9 shall include both Seller itself and all persons acting on its behalf, which may include without limitation such Seller’ owners, managers and investment advisers; such persons collectively, “Seller Related Persons”) does not have authority, influence or control over any sales of Stock effected by JPMS pursuant to this Sales Plan, and will not attempt to exercise any authority, influence or control over such sales. JPMS agrees not to seek advice from Seller with respect to the manner in which it effects sales under this Sales Plan. JPMS shall execute the trades in such a way as to attempt to minimize the negative price impact on the market and to attempt to maximize the prices obtained for the shares sold. JPMS may use its discretion in how to work the order to attempt to achieve the best execution above the minimum price per share, but at no time will the Seller communicate to JPMS any instructions on how to execute the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drawing>
          <wp:inline distT="0" distB="0" distL="0" distR="0">
            <wp:extent cx="1209675" cy="247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Seller will be notified of all transactions pursuant to customary trade confirmations that are provided in the normal course of business. In addition, JPMS will use reasonable efforts to notify both the Issuer and the Seller via email of each transaction pursuant to this Sales Plan no later than one Trading Day after the trading date of such transaction. Such notifications shall be sent via email to the Distribution List as defined in Schedule A or such other persons as Issuer may direct in writing (pursuant to the notice provisions of Paragraph F.4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sale notifications and Redemption Notice forms for the tender or exchange of Tender Shares and Units, the Issuer shall instruct Continental Stock Transfer and Trust Company, as transfer agent of the Issuer, to issue the shares of Stock subject to such sale notifications for subsequent transfer to JPMS via DRS or DWAC, as appropriate, for deposit into the Sellers’ Accounts.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Seller understands that JPMS may not be able to effect a sale due to a market disruption or a legal, regulatory or contractual restriction applicable to JPMS, an insufficient number of shares of Stock being in the Account, JPMS having received written confirmation from the Issuer that the Issuer has not complied with the reporting requirements of Section 13 or 15(d) of the Securities Exchange Act of 1934 (the “Exchange Act”) that are a condition to complying with Rule 144 or 145 under the Securities Act of 1933 (the “Securities Act”), or a pending sale under this Sales Plan causing Seller to exceed any applicable volume limitations of Rule 144 or 145 under the Securities Act. If any sale cannot be executed as required by Paragraph A.1 due to: (a) Issuer not complying with the reporting requirements of Section 13 or 15(d) of the Exchange Act that are a condition to complying with Rule 144 or 145 under the Securities Act, JPMS will carry over any unsold shares to be sold in whole or in increments pursuant to the terms of Schedule A as and when the Issuer has provided written confirmation to JPMS that the Issuer is currently compliant with such reporting requirements; (b) the applicable volume limitations of Rule 144 or 145 under the Securities Act, then JPMS will recalculate the volume limitations on a weekly basis and carry over any unsold shares to be sold in whole or in increments pursuant to the terms of Schedule A as and when the volume limitations permit; or (c) a market disruption, a legal, regulatory or contractual restriction applicable to JPMS or any other such event, such sale shall be cancelled and shall not be effected pursuant to this Sales Plan, and, notwithstanding any language to the contrary herein, there shall be no carryover associated with such cancelled sale other than as set forth in Schedule 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It is the intent of the parties that this Sales Plan comply with the requirements of Rule 10b5-1(c)(1) under the Exchange Act and this Sales Plan shall be interpreted to comply with the requirements of Rule 10b5-1(c).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the event that it is necessary for JPMS to borrow or purchase shares of Stock in order to complete any sale on behalf of Seller pursuant to this Sales Plan, Seller authorizes JPMS to borrow or purchase such shares and agrees to be responsible for any expense or loss which JPMS may sustain relating to such borrowing or purchase, including any expense or loss JPMS may sustain as a result of its inability to borrow or purchase shares of Stock to complete its delivery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45"/>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2255" w:type="dxa"/>
            <w:tcBorders/>
            <w:vAlign w:val="center"/>
          </w:tcPr>
          <w:p>
            <w:pPr>
              <w:pStyle w:val="TableContents"/>
              <w:bidi w:val="0"/>
              <w:spacing w:before="0" w:after="283"/>
              <w:jc w:val="both"/>
              <w:rPr/>
            </w:pPr>
            <w:r>
              <w:rPr/>
              <w:t>RULES 144 AND 145</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four paragraphs shall only apply to Sellers who are subject to Rules 144 and 145.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JPMS agrees to conduct all sales in accordance with the manner of sale requirement of Rule 144 or 145 under the Securities Act, and in no event shall JPMS effect any such sale if such sale would exceed the then applicable volume limitation under Rule 144, assuming JPMS’s sales under this Sales Plan and those notified to JPMS pursuant to Paragraph B.4 are the only sales subject to that limitation. JPMS will be responsible for completing and filing Form 144 on behalf of the Seller using the information described in Paragraph B.3 below. Seller understands and agrees that JPMS shall make Form 144 filings as necessary to comply with Rule 144, the frequency of which will be at the discretion of JPMS after the initial filing is made no later than the date on which the first order to sell Stock is executed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such Form 144 shall state that the sales thereunder are being made pursuant to a previously adopted plan intended to comply with Rule 10b5-1(c), shall include the date the Seller adopted this Sales Plan and shall indicate that the representation regarding the Seller’s knowledge of material information speaks as of the adoption date of this 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Seller confirms that at or prior to adopting this Sales Plan, Seller has: (a) provided JPMS with a signed Delegation and Grant of Authority form or similar written agreement with regard to Form 144 filings, and all information therein remains fully accurate and complete; (b) established a valid filer account in the U.S. Securities and Exchange Commission’s (“SEC”) EDGAR Next system and taken the necessary action within EDGAR Next to identify JPMS (under CIK number 0001968582 or such other number as JPMS shall advise Seller in writing) as a “delegated entity”. Seller further confirms to JPMS that: (c) the information contained in this Sales Plan (including, without limitation, the information in Schedules A and B) is fully accurate and complete for purposes of Form 144 filings and authorizes JPMS to include such information in such filing(s) on the undersigned’s behalf; and (d) throughout the term of this Sales Plan, Seller shall maintain such account and delegation to JPMS according to EDGAR Next rules (including, for the avoidance of doubt, timely satisfaction of periodic confirmation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Seller agrees not to take any action that would cause the sales not to comply with Rule 144 or 145, and Seller (on behalf of itself and all Seller Related Persons) agrees not to cause any person or entity with which Seller would be required to aggregate sales of Stock pursuant to paragraph (a)(2) or (e) of Rule 144 to take any action that would cause the sales not to comply with Rules 144 or 145. Seller will (a) promptly following the date hereof, provide notice to JPMS of any such transactions during the three months preceding the date hereof and (b) from the date hereof until the expiration of this Sales Plan pursuant to Paragraph A.8 above, provide prompt notice to JPMS of Seller’s entry into any other selling program or transaction in Stock by Seller or any Seller Related Person. Seller further agrees that JPMS, without independent inquiry, may reasonably (c) rely on Seller’s notices pursuant to this Paragraph B.4, and (d) conclude in the absence of such notices that the Seller has entered into no such transactions or outside selling programs. Seller will provide prompt notice to JPMS of any modification, suspension, or termination of the Existing Plan. Seller also agrees not to seek any modification, suspension, or termination of the Existing Plan for the purpose of effectively amending or influencing the operation of this Sales Plan. Seller further agrees that JPMS, without independent inquiry, may reasonably rely on Seller’s notices pursuant to this Paragraph B.4, and conclude in the absence of such notices that (i) the Seller has entered into no such transactions or outside selling programs, and (ii) the Existing Plan has not been modified, suspended or terminated.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5960" w:type="dxa"/>
            <w:tcBorders/>
            <w:vAlign w:val="center"/>
          </w:tcPr>
          <w:p>
            <w:pPr>
              <w:pStyle w:val="TableContents"/>
              <w:bidi w:val="0"/>
              <w:spacing w:before="0" w:after="283"/>
              <w:jc w:val="both"/>
              <w:rPr/>
            </w:pPr>
            <w:r>
              <w:rPr/>
              <w:t>REPRESENTATIONS AND AGREEMENTS OF SELLER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Seller represents and warrants that as of the time of execution of, and entering into, this Sales Plan: (a) to the best of Seller’s knowledge there is no blackout period (as defined in 17 C.F.R. Section 245.100(b), a “Blackout Period”) in effect for Issuer, (b) the Seller is not aware of any material, nonpublic information with respect to the Issuer or any securities of the Issuer (including the Stock) or of the actual or approximate beginning or ending dates of a Blackout Period for Issuer, and (c) the Seller is entering into this Sales Plan, and the transactions contemplated herein, in good faith and not as part of a plan or scheme to evade the prohibitions of any applicable laws or regulations, such as Rule 10b5- 1 under the Exchange Act. Seller further agrees to act in good faith with regard to this Sales Plan, including without limitation any suspension, termination and/or amendment. For the avoidance of doubt, to the extent Seller is a director or officer of Issuer (as defined in Rule 16a-1(f) under the Exchange Act, and regardless of whether Issuer is otherwise subject to Section 16 of the Exchange Act and the rules thereunder), Seller’s representations in clauses (b) and (c) of this Paragraph C.1 are intended as “certifying” representations for purposes of Rule 10b5-1(c)(1)(ii)(C) under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the time of Seller’s execution of this Sales Plan, Seller has not (a) entered into or altered a corresponding or hedging transaction with respect to the Total Plan Shares, or (b) except for the Existing Plan, entered into or given any additional contract, instruction, or plan that would qualify for the affirmative defense under Rule 10b5-1(c)(1) under the Exchange Act. While this Sales Plan remains in effect, Seller agrees (c) not to enter into any such transaction described in clause (a); and (d) not to enter into or give any additional contract, instruction or plan described in clause (b) without the prior consent of JPMS. JPMS will require certain representations from Seller and acknowledgement of Issuer as a condition to granting such consent.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Seller agrees to make all filings, if any, required under and monitor Seller’s own compliance with Sections 13(d), 13(g) and 16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Except as provided in Paragraph B.1, Seller acknowledges and agrees that JPMS has no duty to (a) determine whether Seller has violated Rules 144 or 145 under the Securities Act, Sections 13(d), 13(g) or 16 of the Exchange Act or the rules adopted by the SEC thereunder, or any other laws or regulations applicable to the Seller in connection with this Sales Plan; or (b) ascertain or advise on any reporting or disclosure requirements that may apply to Issuer (including, without limitation, the obligations contained in the U.S. Securities and Exchange Commission’s December 2022 rulemaking regarding Rule 10b5- 1 under the Exchange Act and related matters (publicly available at 87 Federal Register 80362 (Dec. 29, 2022)). Seller understands that this Sales Plan in no way alters his Seller’s obligations and responsibilities under Section 16, including those prohibitions against short swing profits. Seller further understands that JPMS has no duty to determine whether the Existing Plan complies with any applicable laws or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09675" cy="247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Seller understands that the laws and regulations of U.S. states or non-United States jurisdictions (collectively, “State or Foreign Regulation”) may impose further restrictions or limitations on sales of shares of Stock or exchange of Units by or on behalf of Seller. State or Foreign Regulation may include, without limitation, the European Union Market Abuse Regulation (Regulation (EU) No 596/2014 of the European Parliament and of the Council of 16 April 2014). Seller acknowledges and agrees that JPMS has no duty to determine whether any State or Foreign Regulation would impose restrictions or limitations on this Sales Plan. Seller understands that this Sales Plan in no way alters Seller’s obligations and responsibilities, or the obligations and responsibilities of the Issuer, under State or Foreign Regulation. For the avoidance of doubt, references in this Sales Plan to applicable laws, regulations and legal/regulatory restrictions shall be construed to include any applicable State and Foreign Regulation.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Seller acknowledges and agrees that JPMS has not provided Seller with any tax, accounting or legal advice. Seller understands that Seller should seek the advice of counsel regarding this Sales Plan and the various securities and tax law issues related thereto.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Seller agrees to notify JPMS immediately in the event of trading restrictions being imposed as the result of any applicable regulatory prohibition or lock up event restricting sales by or on behalf of affiliates, such as a stock offering or tender offer.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Seller represents and warrants that Seller is able to exchange Units and sell shares of Stock, as contemplated by this Sales Plan, in accordance with the Issuer’s insider trading policies and Seller has obtained the acknowledgement of the Issuer to enter into this Sales Plan. Seller further represents and warrants that the Stock is not subject to any liens, security interests or other impediments to transfer (except for limitations imposed by Rules 144 or 145, if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While this Sales Plan is in effect, Seller agrees that it will not: (a) trade in the Stock outside of this Sales Plan, except as expressly permitted under the Issuer’s securities trading policy then in effect; or (b) directly or indirectly take any action regarding the Existing Plan </w:t>
      </w:r>
      <w:r>
        <w:rPr>
          <w:rFonts w:ascii="Times New Roman;Times;Serif" w:hAnsi="Times New Roman;Times;Serif"/>
          <w:b w:val="false"/>
          <w:i/>
          <w:caps w:val="false"/>
          <w:smallCaps w:val="false"/>
          <w:sz w:val="20"/>
        </w:rPr>
        <w:t xml:space="preserve">for the purpose of </w:t>
      </w:r>
      <w:r>
        <w:rPr>
          <w:rFonts w:ascii="Times New Roman;Times;Serif" w:hAnsi="Times New Roman;Times;Serif"/>
          <w:b w:val="false"/>
          <w:i w:val="false"/>
          <w:caps w:val="false"/>
          <w:smallCaps w:val="false"/>
          <w:sz w:val="20"/>
        </w:rPr>
        <w:t>affecting the operation of this Sales Plan.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the extent this Sales Plan constitutes a contract, instruction or plan described in Rule 10b5-1(c)(1)(ii)(E) (a “Single-Trade Plan”), Seller represents and warrants that it has not entered into, and will not enter into, another Single-Trade Plan within 12 months before or after the Adoption Date of this Sales Plan.</w:t>
      </w:r>
    </w:p>
    <w:p>
      <w:pPr>
        <w:pStyle w:val="TextBody"/>
        <w:bidi w:val="0"/>
        <w:spacing w:before="0" w:after="0"/>
        <w:ind w:left="0" w:right="0" w:hanging="353"/>
        <w:jc w:val="left"/>
        <w:rPr>
          <w:caps w:val="false"/>
          <w:smallCaps w:val="false"/>
        </w:rPr>
      </w:pPr>
      <w:r>
        <w:rPr>
          <w:caps w:val="false"/>
          <w:smallCaps w:val="false"/>
        </w:rPr>
        <w:t> </w:t>
      </w:r>
    </w:p>
    <w:p>
      <w:pPr>
        <w:pStyle w:val="TextBody"/>
        <w:bidi w:val="0"/>
        <w:spacing w:before="0" w:after="0"/>
        <w:ind w:left="0" w:right="0" w:hanging="353"/>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pPr>
      <w:r>
        <w:rPr/>
        <w:t> </w:t>
      </w:r>
    </w:p>
    <w:p>
      <w:pPr>
        <w:pStyle w:val="TextBody"/>
        <w:bidi w:val="0"/>
        <w:spacing w:before="0" w:after="0"/>
        <w:ind w:left="0" w:right="0" w:hanging="353"/>
        <w:jc w:val="left"/>
        <w:rPr>
          <w:caps w:val="false"/>
          <w:smallCaps w:val="false"/>
        </w:rPr>
      </w:pPr>
      <w:r>
        <w:rPr>
          <w:caps w:val="false"/>
          <w:smallCaps w:val="false"/>
        </w:rPr>
        <w:t> </w:t>
      </w:r>
    </w:p>
    <w:p>
      <w:pPr>
        <w:pStyle w:val="TextBody"/>
        <w:bidi w:val="0"/>
        <w:spacing w:before="0" w:after="0"/>
        <w:ind w:left="0" w:right="0" w:hanging="353"/>
        <w:jc w:val="right"/>
        <w:rPr>
          <w:caps w:val="false"/>
          <w:smallCaps w:val="false"/>
        </w:rPr>
      </w:pPr>
      <w:r>
        <w:rPr>
          <w:caps w:val="false"/>
          <w:smallCaps w:val="false"/>
        </w:rPr>
        <w:drawing>
          <wp:inline distT="0" distB="0" distL="0" distR="0">
            <wp:extent cx="1209675"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09675" cy="247650"/>
                    </a:xfrm>
                    <a:prstGeom prst="rect">
                      <a:avLst/>
                    </a:prstGeom>
                  </pic:spPr>
                </pic:pic>
              </a:graphicData>
            </a:graphic>
          </wp:inline>
        </w:drawing>
      </w:r>
      <w:r>
        <w:rPr>
          <w:caps w:val="false"/>
          <w:smallCaps w:val="false"/>
        </w:rPr>
        <w:t> </w:t>
      </w:r>
    </w:p>
    <w:p>
      <w:pPr>
        <w:pStyle w:val="TextBody"/>
        <w:bidi w:val="0"/>
        <w:spacing w:before="0" w:after="0"/>
        <w:ind w:left="0" w:right="0" w:hanging="353"/>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6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5990" w:type="dxa"/>
            <w:tcBorders/>
            <w:vAlign w:val="center"/>
          </w:tcPr>
          <w:p>
            <w:pPr>
              <w:pStyle w:val="TableContents"/>
              <w:bidi w:val="0"/>
              <w:spacing w:before="0" w:after="283"/>
              <w:jc w:val="both"/>
              <w:rPr/>
            </w:pPr>
            <w:r>
              <w:rPr/>
              <w:t>INDEMNIFICATION AND LIMITATION ON LIABILITY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Seller agrees to indemnify and hold harmless JPMS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JPMS’s actions taken or not taken in compliance with this Sales Plan or arising out of or attributable to any breach by Seller of this Sales Plan (including Seller’s representations and warranties hereunder) or any violation by Seller of applicable laws or regulations. This indemnification shall survive termination of this Sales Plan. Notwithstanding the foregoing, Seller shall have no indemnification obligation to the extent any claims, losses, damages or liabilities are due to the gross negligence, recklessness or willful misconduct of JPMS or any other indemnified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 other provision hereof, JPMS shall not be liable to Seller for: (a)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3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5585" w:type="dxa"/>
            <w:tcBorders/>
            <w:vAlign w:val="center"/>
          </w:tcPr>
          <w:p>
            <w:pPr>
              <w:pStyle w:val="TableContents"/>
              <w:bidi w:val="0"/>
              <w:spacing w:before="0" w:after="283"/>
              <w:jc w:val="both"/>
              <w:rPr/>
            </w:pPr>
            <w:r>
              <w:rPr/>
              <w:t>SUSPENSION, TERMINATION AND 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Sales Plan may be (a) suspended or terminated by Issuer at any time upon one business day prior written notice or (b) terminated by Seller at any time upon one business day prior written notice; provided however that JPMS may in its sole discretion decide to suspend or terminate on the same business day that written notice is provided, if JPMS deems such action practicable. Any such suspension or termination shall be made in good faith and not as a part of a plan or scheme to evade the prohibitions of Rule 10b5-1 or other applicable securities laws. JPMS will require certain representations from Seller and acknowledgement of Issuer as a condition to such suspension or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Sales Plan shall be suspended, or at JPMS’s option, terminated, if JPMS receives notice, whether pursuant to Paragraph C.7 or otherwise, of (a) the occurrence of any legal, contractual or regulatory restriction applicable to Seller or its affiliates, including without limitation, any restriction related to a merger or acquisition, or (b) a stock offering requiring an affiliate lock-up, that would prohibit sales pursuant to this Sales Plan, or (c) if the Stock has been delisted from the Exchange, or becomes subject to the delisting procedure from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drawing>
          <wp:inline distT="0" distB="0" distL="0" distR="0">
            <wp:extent cx="1209675"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09675" cy="2476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Seller may amend or modify this Sales Plan only upon the written consent of JPMS. Any such amendment or modification shall be made in good faith and not as a part of a plan or scheme to evade the prohibitions of Rule 10b5-1 or other applicable securities laws. Seller agrees that Seller will not amend or modify this Sales Plan at any time: (a) that a Blackout Period is in effect for Issuer or (b) that Seller is aware of any material non- public information about the Issuer and/or the Stock or of the actual or approximate beginning or ending dates of a Blackout Period for Issuer. JPMS will require certain representations from Seller and acknowledgement of Issuer as a condition to such amendment or modification.</w:t>
      </w:r>
    </w:p>
    <w:p>
      <w:pPr>
        <w:pStyle w:val="TextBody"/>
        <w:bidi w:val="0"/>
        <w:spacing w:before="0" w:after="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215"/>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F.</w:t>
            </w:r>
          </w:p>
        </w:tc>
        <w:tc>
          <w:tcPr>
            <w:tcW w:w="1190" w:type="dxa"/>
            <w:tcBorders/>
            <w:vAlign w:val="center"/>
          </w:tcPr>
          <w:p>
            <w:pPr>
              <w:pStyle w:val="TableContents"/>
              <w:bidi w:val="0"/>
              <w:spacing w:before="0" w:after="283"/>
              <w:jc w:val="both"/>
              <w:rPr/>
            </w:pPr>
            <w:r>
              <w:rPr/>
              <w:t>GENERAL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Sales Plan shall be governed by and construed in accordance with the laws of the State of New York without reference to choice of law principles. Except for modifications or amendments governed by Paragraph E.3, this Sales Plan may be modified or amended only by a writing signed by the parties hereto and acknowledged by the Issuer.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Sales Plan shall be subject to all terms and conditions governing the Seller’s Account, including the General Terms for Accounts and Services, the Asset Account Agreement and the JPMS Brokerage Agreement, including such provisions dealing with binding arbitration and waiving the right to litigate. This Sales Plan, together with the terms and conditions referenced in the preceding sentence, as well as any amendments or modifications made pursuant to this Sales Plan and those terms and conditions, represent the complete agreement between the parties on these subjects.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the avoidance of doubt, to the extent this Sales Plan requires any person (including Seller) to comply with the internal policies or procedures of the Issuer, Seller acknowledges and agrees that JPMS may rely solely on Seller’s execution of this Sales Plan and has no duty to inquire independently as to such person’s compliance with such Issuer policies or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notices to JPMS under this Sales Plan shall be given to JPMS by email: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Seller’s rights and obligations under this Sales Plan may not be assigned or delegated without the written permission of JPMS.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This Sales Plan shall not be effective until executed by Seller and JPMS, and acknowledged by Issuer. This Sales Plan may be signed in any number of counterparts, each of which shall be an original, with the same effect as if the signatures thereto were upon the same instrument.</w:t>
      </w:r>
    </w:p>
    <w:p>
      <w:pPr>
        <w:pStyle w:val="TextBody"/>
        <w:bidi w:val="0"/>
        <w:spacing w:before="0" w:after="0"/>
        <w:ind w:left="0" w:right="0" w:firstLine="628"/>
        <w:jc w:val="both"/>
        <w:rPr>
          <w:caps w:val="false"/>
          <w:smallCaps w:val="false"/>
        </w:rPr>
      </w:pPr>
      <w:r>
        <w:rPr>
          <w:caps w:val="false"/>
          <w:smallCaps w:val="false"/>
        </w:rPr>
        <w:t> </w:t>
      </w:r>
    </w:p>
    <w:p>
      <w:pPr>
        <w:pStyle w:val="TextBody"/>
        <w:bidi w:val="0"/>
        <w:spacing w:before="0" w:after="0"/>
        <w:ind w:left="0" w:right="0" w:firstLine="62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left"/>
        <w:rPr/>
      </w:pPr>
      <w:r>
        <w:rPr/>
        <w:t> </w:t>
      </w:r>
    </w:p>
    <w:p>
      <w:pPr>
        <w:pStyle w:val="TextBody"/>
        <w:bidi w:val="0"/>
        <w:spacing w:before="0" w:after="0"/>
        <w:ind w:left="0" w:right="0" w:firstLine="628"/>
        <w:jc w:val="both"/>
        <w:rPr>
          <w:caps w:val="false"/>
          <w:smallCaps w:val="false"/>
        </w:rPr>
      </w:pPr>
      <w:r>
        <w:rPr>
          <w:caps w:val="false"/>
          <w:smallCaps w:val="false"/>
        </w:rPr>
        <w:t> </w:t>
      </w:r>
    </w:p>
    <w:p>
      <w:pPr>
        <w:pStyle w:val="TextBody"/>
        <w:bidi w:val="0"/>
        <w:spacing w:before="0" w:after="0"/>
        <w:ind w:left="0" w:right="0" w:firstLine="628"/>
        <w:jc w:val="right"/>
        <w:rPr>
          <w:caps w:val="false"/>
          <w:smallCaps w:val="false"/>
        </w:rPr>
      </w:pPr>
      <w:r>
        <w:rPr>
          <w:caps w:val="false"/>
          <w:smallCaps w:val="false"/>
        </w:rPr>
        <w:drawing>
          <wp:inline distT="0" distB="0" distL="0" distR="0">
            <wp:extent cx="1209675"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09675" cy="247650"/>
                    </a:xfrm>
                    <a:prstGeom prst="rect">
                      <a:avLst/>
                    </a:prstGeom>
                  </pic:spPr>
                </pic:pic>
              </a:graphicData>
            </a:graphic>
          </wp:inline>
        </w:drawing>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Ghaffarian Enterprises, LLC</w:t>
      </w:r>
    </w:p>
    <w:p>
      <w:pPr>
        <w:pStyle w:val="TextBody"/>
        <w:bidi w:val="0"/>
        <w:spacing w:before="0" w:after="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605"/>
        <w:gridCol w:w="1655"/>
        <w:gridCol w:w="1265"/>
      </w:tblGrid>
      <w:tr>
        <w:trPr/>
        <w:tc>
          <w:tcPr>
            <w:tcW w:w="605" w:type="dxa"/>
            <w:tcBorders/>
            <w:vAlign w:val="center"/>
          </w:tcPr>
          <w:p>
            <w:pPr>
              <w:pStyle w:val="TableContents"/>
              <w:bidi w:val="0"/>
              <w:spacing w:before="0" w:after="283"/>
              <w:jc w:val="left"/>
              <w:rPr>
                <w:sz w:val="20"/>
              </w:rPr>
            </w:pPr>
            <w:r>
              <w:rPr>
                <w:sz w:val="20"/>
              </w:rPr>
              <w:t xml:space="preserve">By: </w:t>
            </w:r>
          </w:p>
        </w:tc>
        <w:tc>
          <w:tcPr>
            <w:tcW w:w="165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Matthew Yetman</w:t>
            </w:r>
          </w:p>
        </w:tc>
        <w:tc>
          <w:tcPr>
            <w:tcW w:w="1265" w:type="dxa"/>
            <w:tcBorders/>
            <w:vAlign w:val="center"/>
          </w:tcPr>
          <w:p>
            <w:pPr>
              <w:pStyle w:val="TableContents"/>
              <w:bidi w:val="0"/>
              <w:spacing w:before="0" w:after="283"/>
              <w:jc w:val="left"/>
              <w:rPr>
                <w:sz w:val="20"/>
              </w:rPr>
            </w:pPr>
            <w:r>
              <w:rPr>
                <w:sz w:val="20"/>
              </w:rPr>
              <w:t>Date: 06/18/26</w:t>
            </w:r>
          </w:p>
        </w:tc>
      </w:tr>
      <w:tr>
        <w:trPr/>
        <w:tc>
          <w:tcPr>
            <w:tcW w:w="605" w:type="dxa"/>
            <w:tcBorders/>
            <w:vAlign w:val="center"/>
          </w:tcPr>
          <w:p>
            <w:pPr>
              <w:pStyle w:val="TableContents"/>
              <w:bidi w:val="0"/>
              <w:spacing w:before="0" w:after="283"/>
              <w:jc w:val="left"/>
              <w:rPr>
                <w:sz w:val="20"/>
              </w:rPr>
            </w:pPr>
            <w:r>
              <w:rPr>
                <w:sz w:val="20"/>
              </w:rPr>
              <w:t xml:space="preserve">Name: </w:t>
            </w:r>
          </w:p>
        </w:tc>
        <w:tc>
          <w:tcPr>
            <w:tcW w:w="2920" w:type="dxa"/>
            <w:gridSpan w:val="2"/>
            <w:tcBorders/>
            <w:vAlign w:val="center"/>
          </w:tcPr>
          <w:p>
            <w:pPr>
              <w:pStyle w:val="TableContents"/>
              <w:bidi w:val="0"/>
              <w:spacing w:before="0" w:after="283"/>
              <w:jc w:val="left"/>
              <w:rPr>
                <w:sz w:val="20"/>
              </w:rPr>
            </w:pPr>
            <w:r>
              <w:rPr>
                <w:sz w:val="20"/>
              </w:rPr>
              <w:t>Matthew Yetman</w:t>
            </w:r>
          </w:p>
        </w:tc>
      </w:tr>
      <w:tr>
        <w:trPr/>
        <w:tc>
          <w:tcPr>
            <w:tcW w:w="605" w:type="dxa"/>
            <w:tcBorders/>
            <w:vAlign w:val="center"/>
          </w:tcPr>
          <w:p>
            <w:pPr>
              <w:pStyle w:val="TableContents"/>
              <w:bidi w:val="0"/>
              <w:spacing w:before="0" w:after="283"/>
              <w:jc w:val="left"/>
              <w:rPr>
                <w:sz w:val="20"/>
              </w:rPr>
            </w:pPr>
            <w:r>
              <w:rPr>
                <w:sz w:val="20"/>
              </w:rPr>
              <w:t xml:space="preserve">Title: </w:t>
            </w:r>
          </w:p>
        </w:tc>
        <w:tc>
          <w:tcPr>
            <w:tcW w:w="2920" w:type="dxa"/>
            <w:gridSpan w:val="2"/>
            <w:tcBorders/>
            <w:vAlign w:val="center"/>
          </w:tcPr>
          <w:p>
            <w:pPr>
              <w:pStyle w:val="TableContents"/>
              <w:bidi w:val="0"/>
              <w:spacing w:before="0" w:after="283"/>
              <w:jc w:val="left"/>
              <w:rPr>
                <w:sz w:val="20"/>
              </w:rPr>
            </w:pPr>
            <w:r>
              <w:rPr>
                <w:sz w:val="20"/>
              </w:rPr>
              <w:t>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 Morgan Securities LLC Signature:</w:t>
      </w:r>
    </w:p>
    <w:p>
      <w:pPr>
        <w:pStyle w:val="TextBody"/>
        <w:bidi w:val="0"/>
        <w:spacing w:before="0" w:after="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560"/>
        <w:gridCol w:w="1985"/>
        <w:gridCol w:w="1265"/>
      </w:tblGrid>
      <w:tr>
        <w:trPr/>
        <w:tc>
          <w:tcPr>
            <w:tcW w:w="560" w:type="dxa"/>
            <w:tcBorders/>
            <w:vAlign w:val="center"/>
          </w:tcPr>
          <w:p>
            <w:pPr>
              <w:pStyle w:val="TableContents"/>
              <w:bidi w:val="0"/>
              <w:spacing w:before="0" w:after="283"/>
              <w:jc w:val="left"/>
              <w:rPr>
                <w:sz w:val="20"/>
              </w:rPr>
            </w:pPr>
            <w:r>
              <w:rPr>
                <w:sz w:val="20"/>
              </w:rPr>
              <w:t>By:</w:t>
            </w:r>
          </w:p>
        </w:tc>
        <w:tc>
          <w:tcPr>
            <w:tcW w:w="19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Richelle Mackiewicz</w:t>
            </w:r>
          </w:p>
        </w:tc>
        <w:tc>
          <w:tcPr>
            <w:tcW w:w="1265" w:type="dxa"/>
            <w:tcBorders/>
            <w:vAlign w:val="center"/>
          </w:tcPr>
          <w:p>
            <w:pPr>
              <w:pStyle w:val="TableContents"/>
              <w:bidi w:val="0"/>
              <w:spacing w:before="0" w:after="283"/>
              <w:jc w:val="left"/>
              <w:rPr>
                <w:sz w:val="20"/>
              </w:rPr>
            </w:pPr>
            <w:r>
              <w:rPr>
                <w:sz w:val="20"/>
              </w:rPr>
              <w:t>Date: 07/02/26</w:t>
            </w:r>
          </w:p>
        </w:tc>
      </w:tr>
      <w:tr>
        <w:trPr/>
        <w:tc>
          <w:tcPr>
            <w:tcW w:w="560" w:type="dxa"/>
            <w:tcBorders/>
            <w:vAlign w:val="center"/>
          </w:tcPr>
          <w:p>
            <w:pPr>
              <w:pStyle w:val="TableContents"/>
              <w:bidi w:val="0"/>
              <w:spacing w:before="0" w:after="283"/>
              <w:jc w:val="left"/>
              <w:rPr>
                <w:sz w:val="20"/>
              </w:rPr>
            </w:pPr>
            <w:r>
              <w:rPr>
                <w:sz w:val="20"/>
              </w:rPr>
              <w:t>Name:</w:t>
            </w:r>
          </w:p>
        </w:tc>
        <w:tc>
          <w:tcPr>
            <w:tcW w:w="3250" w:type="dxa"/>
            <w:gridSpan w:val="2"/>
            <w:tcBorders/>
            <w:vAlign w:val="center"/>
          </w:tcPr>
          <w:p>
            <w:pPr>
              <w:pStyle w:val="TableContents"/>
              <w:bidi w:val="0"/>
              <w:spacing w:before="0" w:after="283"/>
              <w:jc w:val="left"/>
              <w:rPr>
                <w:sz w:val="20"/>
              </w:rPr>
            </w:pPr>
            <w:r>
              <w:rPr>
                <w:sz w:val="20"/>
              </w:rPr>
              <w:t>Richelle Mackiewicz</w:t>
            </w:r>
          </w:p>
        </w:tc>
      </w:tr>
      <w:tr>
        <w:trPr/>
        <w:tc>
          <w:tcPr>
            <w:tcW w:w="560" w:type="dxa"/>
            <w:tcBorders/>
            <w:vAlign w:val="center"/>
          </w:tcPr>
          <w:p>
            <w:pPr>
              <w:pStyle w:val="TableContents"/>
              <w:bidi w:val="0"/>
              <w:spacing w:before="0" w:after="283"/>
              <w:jc w:val="left"/>
              <w:rPr>
                <w:sz w:val="20"/>
              </w:rPr>
            </w:pPr>
            <w:r>
              <w:rPr>
                <w:sz w:val="20"/>
              </w:rPr>
              <w:t>Title:</w:t>
            </w:r>
          </w:p>
        </w:tc>
        <w:tc>
          <w:tcPr>
            <w:tcW w:w="3250" w:type="dxa"/>
            <w:gridSpan w:val="2"/>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by Intuitive Machines,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Acknowledged:</w:t>
      </w:r>
    </w:p>
    <w:p>
      <w:pPr>
        <w:pStyle w:val="TextBody"/>
        <w:bidi w:val="0"/>
        <w:spacing w:before="0" w:after="0"/>
        <w:jc w:val="left"/>
        <w:rPr>
          <w:caps w:val="false"/>
          <w:smallCaps w:val="false"/>
        </w:rPr>
      </w:pPr>
      <w:r>
        <w:rPr>
          <w:caps w:val="false"/>
          <w:smallCaps w:val="false"/>
        </w:rPr>
        <w:t> </w:t>
      </w:r>
    </w:p>
    <w:tbl>
      <w:tblPr>
        <w:tblW w:w="4119" w:type="dxa"/>
        <w:jc w:val="left"/>
        <w:tblInd w:w="0" w:type="dxa"/>
        <w:tblLayout w:type="fixed"/>
        <w:tblCellMar>
          <w:top w:w="0" w:type="dxa"/>
          <w:left w:w="0" w:type="dxa"/>
          <w:bottom w:w="0" w:type="dxa"/>
          <w:right w:w="0" w:type="dxa"/>
        </w:tblCellMar>
      </w:tblPr>
      <w:tblGrid>
        <w:gridCol w:w="560"/>
        <w:gridCol w:w="2033"/>
        <w:gridCol w:w="1526"/>
      </w:tblGrid>
      <w:tr>
        <w:trPr/>
        <w:tc>
          <w:tcPr>
            <w:tcW w:w="560" w:type="dxa"/>
            <w:tcBorders/>
            <w:vAlign w:val="center"/>
          </w:tcPr>
          <w:p>
            <w:pPr>
              <w:pStyle w:val="TableContents"/>
              <w:bidi w:val="0"/>
              <w:spacing w:before="0" w:after="283"/>
              <w:jc w:val="left"/>
              <w:rPr>
                <w:sz w:val="20"/>
              </w:rPr>
            </w:pPr>
            <w:r>
              <w:rPr>
                <w:sz w:val="20"/>
              </w:rPr>
              <w:t>By:</w:t>
            </w:r>
          </w:p>
        </w:tc>
        <w:tc>
          <w:tcPr>
            <w:tcW w:w="203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Annachiara Jones</w:t>
            </w:r>
          </w:p>
        </w:tc>
        <w:tc>
          <w:tcPr>
            <w:tcW w:w="1526" w:type="dxa"/>
            <w:tcBorders/>
            <w:vAlign w:val="center"/>
          </w:tcPr>
          <w:p>
            <w:pPr>
              <w:pStyle w:val="TableContents"/>
              <w:bidi w:val="0"/>
              <w:spacing w:before="0" w:after="283"/>
              <w:jc w:val="left"/>
              <w:rPr>
                <w:sz w:val="20"/>
              </w:rPr>
            </w:pPr>
            <w:r>
              <w:rPr>
                <w:sz w:val="20"/>
              </w:rPr>
              <w:t>Date: 07/02/26</w:t>
            </w:r>
          </w:p>
        </w:tc>
      </w:tr>
      <w:tr>
        <w:trPr/>
        <w:tc>
          <w:tcPr>
            <w:tcW w:w="560" w:type="dxa"/>
            <w:tcBorders/>
            <w:vAlign w:val="center"/>
          </w:tcPr>
          <w:p>
            <w:pPr>
              <w:pStyle w:val="TableContents"/>
              <w:bidi w:val="0"/>
              <w:spacing w:before="0" w:after="283"/>
              <w:jc w:val="left"/>
              <w:rPr>
                <w:sz w:val="20"/>
              </w:rPr>
            </w:pPr>
            <w:r>
              <w:rPr>
                <w:sz w:val="20"/>
              </w:rPr>
              <w:t>Name:</w:t>
            </w:r>
          </w:p>
        </w:tc>
        <w:tc>
          <w:tcPr>
            <w:tcW w:w="3559" w:type="dxa"/>
            <w:gridSpan w:val="2"/>
            <w:tcBorders/>
            <w:vAlign w:val="center"/>
          </w:tcPr>
          <w:p>
            <w:pPr>
              <w:pStyle w:val="TableContents"/>
              <w:bidi w:val="0"/>
              <w:spacing w:before="0" w:after="283"/>
              <w:jc w:val="left"/>
              <w:rPr>
                <w:sz w:val="20"/>
              </w:rPr>
            </w:pPr>
            <w:r>
              <w:rPr>
                <w:sz w:val="20"/>
              </w:rPr>
              <w:t>Annachiara Jones</w:t>
            </w:r>
          </w:p>
        </w:tc>
      </w:tr>
      <w:tr>
        <w:trPr/>
        <w:tc>
          <w:tcPr>
            <w:tcW w:w="560" w:type="dxa"/>
            <w:tcBorders/>
            <w:vAlign w:val="center"/>
          </w:tcPr>
          <w:p>
            <w:pPr>
              <w:pStyle w:val="TableContents"/>
              <w:bidi w:val="0"/>
              <w:spacing w:before="0" w:after="283"/>
              <w:jc w:val="left"/>
              <w:rPr>
                <w:sz w:val="20"/>
              </w:rPr>
            </w:pPr>
            <w:r>
              <w:rPr>
                <w:sz w:val="20"/>
              </w:rPr>
              <w:t>Title:</w:t>
            </w:r>
          </w:p>
        </w:tc>
        <w:tc>
          <w:tcPr>
            <w:tcW w:w="3559" w:type="dxa"/>
            <w:gridSpan w:val="2"/>
            <w:tcBorders/>
            <w:vAlign w:val="center"/>
          </w:tcPr>
          <w:p>
            <w:pPr>
              <w:pStyle w:val="TableContents"/>
              <w:bidi w:val="0"/>
              <w:spacing w:before="0" w:after="283"/>
              <w:jc w:val="left"/>
              <w:rPr>
                <w:sz w:val="20"/>
              </w:rPr>
            </w:pPr>
            <w:r>
              <w:rPr>
                <w:sz w:val="20"/>
              </w:rPr>
              <w:t>General Counsel and Corporate Secretary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5841</Words>
  <Characters>29484</Characters>
  <CharactersWithSpaces>35258</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