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0001965259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001-40823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13467 Columbia Shuttle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281-520-3703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Ghaffarian Enterprises, LLC</w:t>
      </w:r>
    </w:p>
    <w:p>
      <w:pPr>
        <w:spacing w:after="0" w:line="44" w:lineRule="exact"/>
        <w:rPr>
          <w:sz w:val="24"/>
          <w:szCs w:val="24"/>
          <w:color w:val="auto"/>
        </w:rPr>
      </w:pPr>
    </w:p>
    <w:p>
      <w:pPr>
        <w:sectPr>
          <w:pgSz w:w="11900" w:h="16838" w:orient="portrait"/>
          <w:cols w:equalWidth="0" w:num="2">
            <w:col w:w="6920" w:space="720"/>
            <w:col w:w="3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851454</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16850275</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160452309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2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0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27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Received in</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Intuitive</w:t>
            </w:r>
          </w:p>
        </w:tc>
        <w:tc>
          <w:tcPr>
            <w:tcW w:w="27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Exchange of</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02/15/2023 exchange for Pre-</w:t>
            </w:r>
          </w:p>
        </w:tc>
        <w:tc>
          <w:tcPr>
            <w:tcW w:w="1500" w:type="dxa"/>
            <w:vAlign w:val="bottom"/>
            <w:vMerge w:val="continue"/>
          </w:tcPr>
          <w:p>
            <w:pPr>
              <w:spacing w:after="0"/>
              <w:rPr>
                <w:sz w:val="10"/>
                <w:szCs w:val="10"/>
                <w:color w:val="auto"/>
              </w:rPr>
            </w:pPr>
          </w:p>
        </w:tc>
        <w:tc>
          <w:tcPr>
            <w:tcW w:w="272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851454</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02/15/2023</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vMerge w:val="continue"/>
          </w:tcPr>
          <w:p>
            <w:pPr>
              <w:spacing w:after="0"/>
              <w:rPr>
                <w:sz w:val="18"/>
                <w:szCs w:val="18"/>
                <w:color w:val="auto"/>
              </w:rPr>
            </w:pPr>
          </w:p>
        </w:tc>
        <w:tc>
          <w:tcPr>
            <w:tcW w:w="150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Machines, LLC</w:t>
            </w:r>
          </w:p>
        </w:tc>
        <w:tc>
          <w:tcPr>
            <w:tcW w:w="272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12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Assets</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2720" w:type="dxa"/>
            <w:vAlign w:val="bottom"/>
          </w:tcPr>
          <w:p>
            <w:pPr>
              <w:ind w:left="1100"/>
              <w:spacing w:after="0" w:line="202" w:lineRule="exact"/>
              <w:rPr>
                <w:sz w:val="20"/>
                <w:szCs w:val="20"/>
                <w:color w:val="auto"/>
              </w:rPr>
            </w:pPr>
            <w:r>
              <w:rPr>
                <w:rFonts w:ascii="Times New Roman" w:cs="Times New Roman" w:eastAsia="Times New Roman" w:hAnsi="Times New Roman"/>
                <w:sz w:val="22"/>
                <w:szCs w:val="22"/>
                <w:color w:val="auto"/>
              </w:rPr>
              <w:t>IPO shares</w:t>
            </w:r>
          </w:p>
        </w:tc>
        <w:tc>
          <w:tcPr>
            <w:tcW w:w="1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Received in</w:t>
            </w:r>
          </w:p>
        </w:tc>
        <w:tc>
          <w:tcPr>
            <w:tcW w:w="15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Intuitive</w:t>
            </w:r>
          </w:p>
        </w:tc>
        <w:tc>
          <w:tcPr>
            <w:tcW w:w="2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w w:val="97"/>
              </w:rPr>
              <w:t>Exchange of</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OpCo Units</w:t>
            </w:r>
          </w:p>
        </w:tc>
        <w:tc>
          <w:tcPr>
            <w:tcW w:w="272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02/15/2023 exchange for Pre-</w:t>
            </w:r>
          </w:p>
        </w:tc>
        <w:tc>
          <w:tcPr>
            <w:tcW w:w="1500" w:type="dxa"/>
            <w:vAlign w:val="bottom"/>
            <w:vMerge w:val="continue"/>
          </w:tcPr>
          <w:p>
            <w:pPr>
              <w:spacing w:after="0"/>
              <w:rPr>
                <w:sz w:val="18"/>
                <w:szCs w:val="18"/>
                <w:color w:val="auto"/>
              </w:rPr>
            </w:pPr>
          </w:p>
        </w:tc>
        <w:tc>
          <w:tcPr>
            <w:tcW w:w="2720" w:type="dxa"/>
            <w:vAlign w:val="bottom"/>
          </w:tcPr>
          <w:p>
            <w:pPr>
              <w:jc w:val="right"/>
              <w:ind w:right="432"/>
              <w:spacing w:after="0" w:line="217" w:lineRule="exact"/>
              <w:rPr>
                <w:sz w:val="20"/>
                <w:szCs w:val="20"/>
                <w:color w:val="auto"/>
              </w:rPr>
            </w:pPr>
            <w:r>
              <w:rPr>
                <w:rFonts w:ascii="Times New Roman" w:cs="Times New Roman" w:eastAsia="Times New Roman" w:hAnsi="Times New Roman"/>
                <w:sz w:val="22"/>
                <w:szCs w:val="22"/>
                <w:color w:val="auto"/>
              </w:rPr>
              <w:t>851454</w:t>
            </w:r>
          </w:p>
        </w:tc>
        <w:tc>
          <w:tcPr>
            <w:tcW w:w="114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02/15/2023</w:t>
            </w: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2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IPO shares</w:t>
            </w:r>
          </w:p>
        </w:tc>
        <w:tc>
          <w:tcPr>
            <w:tcW w:w="15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Machines, LLC</w:t>
            </w:r>
          </w:p>
        </w:tc>
        <w:tc>
          <w:tcPr>
            <w:tcW w:w="2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Assets</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2720" w:type="dxa"/>
            <w:vAlign w:val="bottom"/>
            <w:vMerge w:val="continue"/>
          </w:tcPr>
          <w:p>
            <w:pPr>
              <w:spacing w:after="0"/>
              <w:rPr>
                <w:sz w:val="5"/>
                <w:szCs w:val="5"/>
                <w:color w:val="auto"/>
              </w:rPr>
            </w:pPr>
          </w:p>
        </w:tc>
        <w:tc>
          <w:tcPr>
            <w:tcW w:w="150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-804545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-306705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8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04/06/2026 141909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3291916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04/20/2026 141909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3995960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05/04/2026 141909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3567574</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05/18/2026 141909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4860436</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06/01/2026 141909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5536843</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Ghaffarian Enterprises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 Intuitive Machines,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06/15/2026 141909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3711468</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13467 Columbia Shuttle Street</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80" w:type="dxa"/>
            <w:vAlign w:val="bottom"/>
          </w:tcPr>
          <w:p>
            <w:pPr>
              <w:spacing w:after="0"/>
              <w:rPr>
                <w:sz w:val="20"/>
                <w:szCs w:val="20"/>
                <w:color w:val="auto"/>
              </w:rPr>
            </w:pPr>
            <w:r>
              <w:rPr>
                <w:rFonts w:ascii="Times New Roman" w:cs="Times New Roman" w:eastAsia="Times New Roman" w:hAnsi="Times New Roman"/>
                <w:sz w:val="22"/>
                <w:szCs w:val="22"/>
                <w:color w:val="auto"/>
              </w:rPr>
              <w:t>Houston  TX</w:t>
            </w:r>
          </w:p>
        </w:tc>
        <w:tc>
          <w:tcPr>
            <w:tcW w:w="2060" w:type="dxa"/>
            <w:vAlign w:val="bottom"/>
          </w:tcPr>
          <w:p>
            <w:pPr>
              <w:jc w:val="right"/>
              <w:ind w:right="1332"/>
              <w:spacing w:after="0"/>
              <w:rPr>
                <w:sz w:val="20"/>
                <w:szCs w:val="20"/>
                <w:color w:val="auto"/>
              </w:rPr>
            </w:pPr>
            <w:r>
              <w:rPr>
                <w:rFonts w:ascii="Times New Roman" w:cs="Times New Roman" w:eastAsia="Times New Roman" w:hAnsi="Times New Roman"/>
                <w:sz w:val="22"/>
                <w:szCs w:val="22"/>
                <w:color w:val="auto"/>
              </w:rPr>
              <w:t>77059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40"/>
        <w:spacing w:after="0" w:line="244" w:lineRule="auto"/>
        <w:rPr>
          <w:sz w:val="20"/>
          <w:szCs w:val="20"/>
          <w:color w:val="auto"/>
        </w:rPr>
      </w:pPr>
      <w:r>
        <w:rPr>
          <w:rFonts w:ascii="Times New Roman" w:cs="Times New Roman" w:eastAsia="Times New Roman" w:hAnsi="Times New Roman"/>
          <w:sz w:val="22"/>
          <w:szCs w:val="22"/>
          <w:color w:val="auto"/>
        </w:rPr>
        <w:t>The shares covered by this filing are Class C Common stock and OpCo units that will be exchanged for Class A Common Stock today or within three months from the date of this filing.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06/29/2026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12/04/2025</w:t>
      </w:r>
    </w:p>
    <w:p>
      <w:pPr>
        <w:spacing w:after="0" w:line="733" w:lineRule="exact"/>
        <w:rPr>
          <w:sz w:val="20"/>
          <w:szCs w:val="20"/>
          <w:color w:val="auto"/>
        </w:rPr>
      </w:pPr>
    </w:p>
    <w:p>
      <w:pPr>
        <w:sectPr>
          <w:pgSz w:w="11900" w:h="16838" w:orient="portrait"/>
          <w:cols w:equalWidth="0" w:num="2">
            <w:col w:w="3120" w:space="160"/>
            <w:col w:w="7960"/>
          </w:cols>
          <w:pgMar w:left="320" w:top="9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40" w:type="dxa"/>
            <w:vAlign w:val="bottom"/>
          </w:tcPr>
          <w:p>
            <w:pPr>
              <w:ind w:left="1200"/>
              <w:spacing w:after="0"/>
              <w:rPr>
                <w:sz w:val="20"/>
                <w:szCs w:val="20"/>
                <w:color w:val="auto"/>
              </w:rPr>
            </w:pPr>
            <w:r>
              <w:rPr>
                <w:rFonts w:ascii="Times New Roman" w:cs="Times New Roman" w:eastAsia="Times New Roman" w:hAnsi="Times New Roman"/>
                <w:sz w:val="22"/>
                <w:szCs w:val="22"/>
                <w:color w:val="auto"/>
                <w:w w:val="97"/>
              </w:rPr>
              <w:t>/s/ J.P. Morgan Securities LLC as agent and attorney-in-fact for Ghaffarian Enterprises,</w:t>
            </w:r>
          </w:p>
        </w:tc>
        <w:tc>
          <w:tcPr>
            <w:tcW w:w="0" w:type="dxa"/>
            <w:vAlign w:val="bottom"/>
          </w:tcPr>
          <w:p>
            <w:pPr>
              <w:spacing w:after="0"/>
              <w:rPr>
                <w:sz w:val="1"/>
                <w:szCs w:val="1"/>
                <w:color w:val="auto"/>
              </w:rPr>
            </w:pPr>
          </w:p>
        </w:tc>
      </w:tr>
      <w:tr>
        <w:trPr>
          <w:trHeight w:val="161"/>
        </w:trPr>
        <w:tc>
          <w:tcPr>
            <w:tcW w:w="2040" w:type="dxa"/>
            <w:vAlign w:val="bottom"/>
            <w:vMerge w:val="continue"/>
          </w:tcPr>
          <w:p>
            <w:pPr>
              <w:spacing w:after="0"/>
              <w:rPr>
                <w:sz w:val="13"/>
                <w:szCs w:val="13"/>
                <w:color w:val="auto"/>
              </w:rPr>
            </w:pPr>
          </w:p>
        </w:tc>
        <w:tc>
          <w:tcPr>
            <w:tcW w:w="8740" w:type="dxa"/>
            <w:vAlign w:val="bottom"/>
            <w:vMerge w:val="restart"/>
          </w:tcPr>
          <w:p>
            <w:pPr>
              <w:ind w:left="1200"/>
              <w:spacing w:after="0"/>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8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2026-06-29T16:33:41Z</dcterms:created>
  <dcterms:modified xsi:type="dcterms:W3CDTF">2026-06-29T16:33:41Z</dcterms:modified>
</cp:coreProperties>
</file>