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2024</w:t>
            </w:r>
          </w:p>
        </w:tc>
        <w:tc>
          <w:tcPr>
            <w:tcW w:w="2840" w:type="dxa"/>
            <w:vAlign w:val="bottom"/>
          </w:tcPr>
          <w:p>
            <w:pPr>
              <w:spacing w:after="0"/>
              <w:rPr>
                <w:sz w:val="20"/>
                <w:szCs w:val="20"/>
                <w:color w:val="auto"/>
              </w:rPr>
            </w:pPr>
          </w:p>
        </w:tc>
      </w:tr>
      <w:tr>
        <w:trPr>
          <w:trHeight w:val="373"/>
        </w:trPr>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INTUITIVE MACHINES, INC.</w:t>
            </w:r>
          </w:p>
        </w:tc>
        <w:tc>
          <w:tcPr>
            <w:tcW w:w="28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r>
      <w:tr>
        <w:trPr>
          <w:trHeight w:val="446"/>
        </w:trPr>
        <w:tc>
          <w:tcPr>
            <w:tcW w:w="29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6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001-40823</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36-5056189</w:t>
            </w:r>
          </w:p>
        </w:tc>
      </w:tr>
      <w:tr>
        <w:trPr>
          <w:trHeight w:val="169"/>
        </w:trPr>
        <w:tc>
          <w:tcPr>
            <w:tcW w:w="2980" w:type="dxa"/>
            <w:vAlign w:val="bottom"/>
            <w:tcBorders>
              <w:top w:val="single" w:sz="8" w:color="auto"/>
            </w:tcBorders>
          </w:tcPr>
          <w:p>
            <w:pPr>
              <w:jc w:val="center"/>
              <w:ind w:left="61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jc w:val="center"/>
              <w:ind w:right="77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2"/>
        </w:trPr>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tc>
        <w:tc>
          <w:tcPr>
            <w:tcW w:w="2840" w:type="dxa"/>
            <w:vAlign w:val="bottom"/>
          </w:tcPr>
          <w:p>
            <w:pPr>
              <w:spacing w:after="0"/>
              <w:rPr>
                <w:sz w:val="24"/>
                <w:szCs w:val="24"/>
                <w:color w:val="auto"/>
              </w:rPr>
            </w:pPr>
          </w:p>
        </w:tc>
      </w:tr>
      <w:tr>
        <w:trPr>
          <w:trHeight w:val="220"/>
        </w:trPr>
        <w:tc>
          <w:tcPr>
            <w:tcW w:w="2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Houston, TX 77059</w:t>
            </w:r>
          </w:p>
        </w:tc>
        <w:tc>
          <w:tcPr>
            <w:tcW w:w="2840" w:type="dxa"/>
            <w:vAlign w:val="bottom"/>
          </w:tcPr>
          <w:p>
            <w:pPr>
              <w:spacing w:after="0"/>
              <w:rPr>
                <w:sz w:val="19"/>
                <w:szCs w:val="19"/>
                <w:color w:val="auto"/>
              </w:rPr>
            </w:pPr>
          </w:p>
        </w:tc>
      </w:tr>
      <w:tr>
        <w:trPr>
          <w:trHeight w:val="234"/>
        </w:trPr>
        <w:tc>
          <w:tcPr>
            <w:tcW w:w="2980" w:type="dxa"/>
            <w:vAlign w:val="bottom"/>
          </w:tcPr>
          <w:p>
            <w:pPr>
              <w:spacing w:after="0"/>
              <w:rPr>
                <w:sz w:val="20"/>
                <w:szCs w:val="20"/>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392"/>
        </w:trPr>
        <w:tc>
          <w:tcPr>
            <w:tcW w:w="2980" w:type="dxa"/>
            <w:vAlign w:val="bottom"/>
          </w:tcPr>
          <w:p>
            <w:pPr>
              <w:spacing w:after="0"/>
              <w:rPr>
                <w:sz w:val="24"/>
                <w:szCs w:val="24"/>
                <w:color w:val="auto"/>
              </w:rPr>
            </w:pPr>
          </w:p>
        </w:tc>
        <w:tc>
          <w:tcPr>
            <w:tcW w:w="54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(281) 520-3703</w:t>
            </w:r>
          </w:p>
        </w:tc>
        <w:tc>
          <w:tcPr>
            <w:tcW w:w="2840" w:type="dxa"/>
            <w:vAlign w:val="bottom"/>
          </w:tcPr>
          <w:p>
            <w:pPr>
              <w:spacing w:after="0"/>
              <w:rPr>
                <w:sz w:val="24"/>
                <w:szCs w:val="24"/>
                <w:color w:val="auto"/>
              </w:rPr>
            </w:pPr>
          </w:p>
        </w:tc>
      </w:tr>
    </w:tbl>
    <w:p>
      <w:pPr>
        <w:spacing w:after="0" w:line="200" w:lineRule="exact"/>
        <w:rPr>
          <w:sz w:val="24"/>
          <w:szCs w:val="24"/>
          <w:color w:val="auto"/>
        </w:rPr>
      </w:pPr>
    </w:p>
    <w:p>
      <w:pPr>
        <w:spacing w:after="0" w:line="3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32"/>
        </w:trPr>
        <w:tc>
          <w:tcPr>
            <w:tcW w:w="5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5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LUNR</w:t>
            </w:r>
          </w:p>
        </w:tc>
        <w:tc>
          <w:tcPr>
            <w:tcW w:w="10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84"/>
        </w:trPr>
        <w:tc>
          <w:tcPr>
            <w:tcW w:w="54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 at an</w:t>
            </w:r>
          </w:p>
        </w:tc>
        <w:tc>
          <w:tcPr>
            <w:tcW w:w="23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LUNRW</w:t>
            </w:r>
          </w:p>
        </w:tc>
        <w:tc>
          <w:tcPr>
            <w:tcW w:w="3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bl>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19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2024, Intuitive Machines, Inc. (the “Company”) issued a press release announcing its financial results for the fiscal quarter ended March 31, 2024. The full text of the Company's press release is furnished herewith as Exhibit 99.1 to this Current Report on Form 8-K (this "Current Report") and is incorporated herein by reference.</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information furnished in this Current Report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58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540" w:type="dxa"/>
            <w:vAlign w:val="bottom"/>
            <w:tcBorders>
              <w:top w:val="single" w:sz="8" w:color="auto"/>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May 14, 2024 announcing Intuitive Machines Reports First Quarter 2024 Financial Results; Provides 2024</w:t>
            </w:r>
          </w:p>
        </w:tc>
      </w:tr>
      <w:tr>
        <w:trPr>
          <w:trHeight w:val="169"/>
        </w:trPr>
        <w:tc>
          <w:tcPr>
            <w:tcW w:w="15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Revenue Outlook</w:t>
            </w:r>
          </w:p>
        </w:tc>
        <w:tc>
          <w:tcPr>
            <w:tcW w:w="460" w:type="dxa"/>
            <w:vAlign w:val="bottom"/>
            <w:tcBorders>
              <w:top w:val="single" w:sz="8" w:color="CCEEFF"/>
            </w:tcBorders>
            <w:shd w:val="clear" w:color="auto" w:fill="CCEEFF"/>
          </w:tcPr>
          <w:p>
            <w:pPr>
              <w:spacing w:after="0"/>
              <w:rPr>
                <w:sz w:val="14"/>
                <w:szCs w:val="14"/>
                <w:color w:val="auto"/>
              </w:rPr>
            </w:pP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8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13"/>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gridSpan w:val="3"/>
          </w:tcPr>
          <w:p>
            <w:pPr>
              <w:jc w:val="right"/>
              <w:ind w:right="51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4"/>
                <w:szCs w:val="24"/>
                <w:color w:val="auto"/>
              </w:rPr>
            </w:pPr>
          </w:p>
        </w:tc>
      </w:tr>
      <w:tr>
        <w:trPr>
          <w:trHeight w:val="101"/>
        </w:trPr>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78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772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INTUITIVE MACHINES, INC.</w:t>
            </w:r>
          </w:p>
        </w:tc>
      </w:tr>
      <w:tr>
        <w:trPr>
          <w:trHeight w:val="391"/>
        </w:trPr>
        <w:tc>
          <w:tcPr>
            <w:tcW w:w="3500" w:type="dxa"/>
            <w:vAlign w:val="bottom"/>
          </w:tcPr>
          <w:p>
            <w:pPr>
              <w:spacing w:after="0"/>
              <w:rPr>
                <w:sz w:val="24"/>
                <w:szCs w:val="24"/>
                <w:color w:val="auto"/>
              </w:rPr>
            </w:pPr>
          </w:p>
        </w:tc>
        <w:tc>
          <w:tcPr>
            <w:tcW w:w="772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By:    /s/ Steven Vontur</w:t>
            </w:r>
          </w:p>
        </w:tc>
      </w:tr>
      <w:tr>
        <w:trPr>
          <w:trHeight w:val="218"/>
        </w:trPr>
        <w:tc>
          <w:tcPr>
            <w:tcW w:w="3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Steven Vontur</w:t>
            </w:r>
          </w:p>
        </w:tc>
      </w:tr>
      <w:tr>
        <w:trPr>
          <w:trHeight w:val="234"/>
        </w:trPr>
        <w:tc>
          <w:tcPr>
            <w:tcW w:w="3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Interim Chief Financial Officer</w:t>
            </w:r>
          </w:p>
        </w:tc>
      </w:tr>
      <w:tr>
        <w:trPr>
          <w:trHeight w:val="904"/>
        </w:trPr>
        <w:tc>
          <w:tcPr>
            <w:tcW w:w="3500" w:type="dxa"/>
            <w:vAlign w:val="bottom"/>
          </w:tcPr>
          <w:p>
            <w:pPr>
              <w:spacing w:after="0"/>
              <w:rPr>
                <w:sz w:val="24"/>
                <w:szCs w:val="24"/>
                <w:color w:val="auto"/>
              </w:rPr>
            </w:pPr>
          </w:p>
        </w:tc>
        <w:tc>
          <w:tcPr>
            <w:tcW w:w="33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2</w:t>
            </w:r>
          </w:p>
        </w:tc>
        <w:tc>
          <w:tcPr>
            <w:tcW w:w="442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Reports First Quarter 2024 Financial Results; Provides 2024 Revenue Outlook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100" w:hanging="328"/>
        <w:spacing w:after="0" w:line="268"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Delivered NASA and commercial payloads to the Moon further south than any vehicle in history, marking the United States’ first lunar landing in over 50 years, on February 22, 2024</w:t>
      </w:r>
    </w:p>
    <w:p>
      <w:pPr>
        <w:spacing w:after="0" w:line="17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Achieved record revenues in the quarter; $73.1 million, an increase of over 300% versus prior year</w:t>
      </w:r>
    </w:p>
    <w:p>
      <w:pPr>
        <w:spacing w:after="0" w:line="225" w:lineRule="exact"/>
        <w:rPr>
          <w:rFonts w:ascii="Times New Roman" w:cs="Times New Roman" w:eastAsia="Times New Roman" w:hAnsi="Times New Roman"/>
          <w:sz w:val="18"/>
          <w:szCs w:val="18"/>
          <w:i w:val="1"/>
          <w:iCs w:val="1"/>
          <w:color w:val="auto"/>
        </w:rPr>
      </w:pPr>
    </w:p>
    <w:p>
      <w:pPr>
        <w:ind w:left="660" w:right="38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positive gross margin momentum; $12.2 million in the quarter driven by IM-1 mission success milestone payments from NASA and commercial customers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Disciplined cash management; $6.4 million cash used from operations in the quarter, a reduction of $12.2 million versus prior year</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Ended the quarter with a cash balance of $55.2 million, the largest balance relative to any quarter-end since the Company’s inception</w:t>
      </w:r>
    </w:p>
    <w:p>
      <w:pPr>
        <w:spacing w:after="0" w:line="225" w:lineRule="exact"/>
        <w:rPr>
          <w:rFonts w:ascii="Times New Roman" w:cs="Times New Roman" w:eastAsia="Times New Roman" w:hAnsi="Times New Roman"/>
          <w:sz w:val="18"/>
          <w:szCs w:val="18"/>
          <w:i w:val="1"/>
          <w:iCs w:val="1"/>
          <w:color w:val="auto"/>
        </w:rPr>
      </w:pPr>
    </w:p>
    <w:p>
      <w:pPr>
        <w:ind w:left="660" w:right="10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Awarded $30 million for NASA’s Lunar Terrain Vehicle (“LTV”) contract to support the agency’s Artemis Campaign as a prime contractor within NASA’s $4.6 billion LTV Services project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Houston, TX, May 14, 2024 </w:t>
      </w:r>
      <w:r>
        <w:rPr>
          <w:rFonts w:ascii="Times New Roman" w:cs="Times New Roman" w:eastAsia="Times New Roman" w:hAnsi="Times New Roman"/>
          <w:sz w:val="18"/>
          <w:szCs w:val="18"/>
          <w:color w:val="auto"/>
        </w:rPr>
        <w:t>-- Intuitive Machines, Inc. (Nasdaq: LUNR, “Intuitive Machines,” or the “Company”), a leading space exploration,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and services company, today announced its financial results for the first quarter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Machines CEO Steve Altemus said, “We had an excellent start to the year, anchored by our successful IM-1 mission and a full quarter of OMES</w:t>
      </w:r>
    </w:p>
    <w:p>
      <w:pPr>
        <w:spacing w:after="0" w:line="2" w:lineRule="exact"/>
        <w:rPr>
          <w:sz w:val="20"/>
          <w:szCs w:val="20"/>
          <w:color w:val="auto"/>
        </w:rPr>
      </w:pPr>
    </w:p>
    <w:p>
      <w:pPr>
        <w:ind w:right="200" w:firstLine="8"/>
        <w:spacing w:after="0" w:line="243"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Revenue was over $73 million in the quarter, an increase of over 300% versus Q1 of last year and the highest quarter since the Company’s inception. This was yet another historic feat for us and showcases our continued growth trajectory.”</w:t>
      </w:r>
    </w:p>
    <w:p>
      <w:pPr>
        <w:spacing w:after="0" w:line="19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Mr. Altemus continued, “On April 3rd, we announced Intuitive Machines’ Lunar Terrain Vehicle (LTV) services award, which moves us beyond the delivery of science and discovery payloads and onto heavier cargo delivery and surface systems development and operations. The LTV delivery system, the rover design itself, and both the autonomous and crewed operations represent the first critical piece of infrastructure for the Artemis campaign.”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Outlook</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full-year 2024 revenue of $200 - $240 million, resulting in 2.5x - 3x prior year sales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ending cash balance expected to be sufficient to fund operations through the end of the year</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add cash reserves based on projected wins and planned operations to execute growth trajectory</w:t>
      </w:r>
    </w:p>
    <w:p>
      <w:pPr>
        <w:spacing w:after="0" w:line="14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expansion driven by key upcoming awards; Near Space Network Services (NSNS), the next Commercial Lunar Payload Services (CLPS) award, among others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IM-2 mission to the Moon’s south pole Shackleton connecting ridge planned for late 2024</w:t>
      </w:r>
    </w:p>
    <w:p>
      <w:pPr>
        <w:sectPr>
          <w:pgSz w:w="11900" w:h="16838" w:orient="portrait"/>
          <w:cols w:equalWidth="0" w:num="1">
            <w:col w:w="11240"/>
          </w:cols>
          <w:pgMar w:left="320" w:top="10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24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backlog of $222.4 million as of the end of the first quarter</w:t>
      </w:r>
    </w:p>
    <w:p>
      <w:pPr>
        <w:spacing w:after="0" w:line="144"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2024 revenue of $73.1 million, an increase of 301% year-over-year, driven primarily by OMES III and NASA Commercial Lunar Payload Services (CLPS) initiative contracts, compared to $18.2 million in the prior year period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2024 operating loss of $(5.4) million, driven primarily by IM-1 mission success milestone payments from NASA and commercial customers versus $(14.0) million in the prior year period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cash balance of $55.2 million as of the end of the first quarter which includes warrant exercises from an institutional investor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color w:val="auto"/>
        </w:rPr>
        <w:t xml:space="preserve">Intuitive Machines will host a conference call today, May 14, 2024, at 8:30 am Eastern Time to discuss these results. Participants may access the call at 1-877-451-6152, international callers may use 1-201-389-0879, and request to join the Intuitive Machines earnings call. A link to the live webcast of the earnings conference call will be made available on the investors portion of the Intuitive Machines’ website at </w:t>
      </w:r>
      <w:r>
        <w:rPr>
          <w:rFonts w:ascii="Times New Roman" w:cs="Times New Roman" w:eastAsia="Times New Roman" w:hAnsi="Times New Roman"/>
          <w:sz w:val="18"/>
          <w:szCs w:val="18"/>
          <w:color w:val="0000FF"/>
        </w:rPr>
        <w:t>https://investors.intuitivemachines.com.</w:t>
      </w:r>
    </w:p>
    <w:p>
      <w:pPr>
        <w:spacing w:after="0" w:line="219" w:lineRule="auto"/>
        <w:rPr>
          <w:sz w:val="20"/>
          <w:szCs w:val="20"/>
          <w:color w:val="auto"/>
        </w:rPr>
      </w:pPr>
      <w:r>
        <w:rPr>
          <w:rFonts w:ascii="Times New Roman" w:cs="Times New Roman" w:eastAsia="Times New Roman" w:hAnsi="Times New Roman"/>
          <w:sz w:val="18"/>
          <w:szCs w:val="18"/>
          <w:color w:val="auto"/>
        </w:rPr>
        <w:t>.</w:t>
      </w:r>
    </w:p>
    <w:p>
      <w:pPr>
        <w:ind w:right="240"/>
        <w:spacing w:after="0" w:line="234" w:lineRule="auto"/>
        <w:rPr>
          <w:sz w:val="20"/>
          <w:szCs w:val="20"/>
          <w:color w:val="auto"/>
        </w:rPr>
      </w:pPr>
      <w:r>
        <w:rPr>
          <w:rFonts w:ascii="Times New Roman" w:cs="Times New Roman" w:eastAsia="Times New Roman" w:hAnsi="Times New Roman"/>
          <w:sz w:val="18"/>
          <w:szCs w:val="18"/>
          <w:color w:val="auto"/>
        </w:rPr>
        <w:t xml:space="preserve">Following the conference call, participants may access the telephonic replay at 1-844-512-2921, international callers may use 1-412-317-6671, and enter access code 13746064. A webcast replay will be available through the same link on the investors portion of the Intuitive Machines’ website at </w:t>
      </w:r>
      <w:r>
        <w:rPr>
          <w:rFonts w:ascii="Times New Roman" w:cs="Times New Roman" w:eastAsia="Times New Roman" w:hAnsi="Times New Roman"/>
          <w:sz w:val="18"/>
          <w:szCs w:val="18"/>
          <w:color w:val="0000FF"/>
        </w:rPr>
        <w:t>https://investors.intuitivemachines.com</w:t>
      </w:r>
      <w:r>
        <w:rPr>
          <w:rFonts w:ascii="Times New Roman" w:cs="Times New Roman" w:eastAsia="Times New Roman" w:hAnsi="Times New Roman"/>
          <w:sz w:val="18"/>
          <w:szCs w:val="18"/>
          <w:color w:val="000000"/>
        </w:rPr>
        <w: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GAAP financial measures set forth in this press release, the Company has included certain financial measures that have not been prepared in accordance with generally accepted accounting principles (“GAAP”) and constitute “non-GAAP financial measures” as defined by the SEC. This includes adjusted EBITDA (“Adjusted EBITDA”).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team uses to assess the Company’s operating performance and is calculated as net income (loss) excluding results from non-operating sources including interest income, interest expense, gain on extinguishing of debt, share-based compensation, change in fair value instruments, gain or loss on issuance of securities, other income/expense, depreciation, and provision for income taxes. Intuitive Machines has included Adjusted EBITDA because we believe it is helpful in highlighting trends in the Company’s operating results and because it is frequently used by analysts, investors, and other interested parties to evaluate companies in our industry.</w:t>
      </w:r>
    </w:p>
    <w:p>
      <w:pPr>
        <w:spacing w:after="0" w:line="21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Adjusted EBITDA has limitations as an analytical measure, and investors should not consider it in isolation or as a substitute for analysis of the Company’s results as reported under GAAP. Other companies, including companies in Intuitive Machines’ industry, may calculate Adjusted EBITDA differently, which reduces its usefulness as a comparative measure. Because of these limitations, you should consider Adjusted EBITDA alongside other financial</w:t>
      </w:r>
    </w:p>
    <w:p>
      <w:pPr>
        <w:spacing w:after="0" w:line="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performance measures, including various cash flow metrics, net income (loss) and our other GAAP results. A reconciliation of Adjusted EBITDA to the most directly comparable GAAP financial measure is included below under the heading “Reconciliation of GAAP to Non-GAAP Financial Measure.”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 Free Cash Flow has limitations as a liquidity measure, and you should not consider it in isolation or as a substitute for analysis of our cash flows as reported under GAAP. Some of these limitations are: Free Cash Flow is not a measure calculated in accordance with GAAP and should not be considered in isolation from, or as a substitute for financial information prepared in accordance with GAAP; Free Cash Flow may not be comparable to similarly titled metrics of other companies due to differences among methods of calculation; and Free Cash Flow may be affected in the near to medium term by the</w:t>
      </w:r>
    </w:p>
    <w:p>
      <w:pPr>
        <w:spacing w:after="0" w:line="1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timing of capital investments, fluctuations in our growth and the effect of such fluctuations on working capital and changes in our cash conversion cycle. A reconciliation of Free Cash Flow to the most directly comparable GAAP financial measure is included below under the heading “Reconciliation of GAAP to Non-GAAP Financial Measure.”</w:t>
      </w:r>
    </w:p>
    <w:p>
      <w:pPr>
        <w:sectPr>
          <w:pgSz w:w="11900" w:h="16838" w:orient="portrait"/>
          <w:cols w:equalWidth="0" w:num="1">
            <w:col w:w="11240"/>
          </w:cols>
          <w:pgMar w:left="320" w:top="833" w:right="339" w:bottom="1440" w:gutter="0" w:footer="0" w:header="0"/>
        </w:sectPr>
      </w:pPr>
    </w:p>
    <w:bookmarkStart w:id="5" w:name="page6"/>
    <w:bookmarkEnd w:id="5"/>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also included contracted backlog, which is defined as the total estimate of the revenue the Company expects to realize in the future as a result of performing work on awarded contracts, less the amount of revenue the Company has previously recognized. Intuitive Machines monitors its backlog because we believe it is a forward-looking indicator of potential sales which can be helpful to investors in evaluating the performance of its business and identifying trends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91818"/>
        </w:rPr>
        <w:t>About Intuitive Machines</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Intuitive Machines is a diversified space exploration, infrastructure, and services company focused on fundamentally disrupting lunar access economics. In 2024, Intuitive Machines successfully soft-landed the Company’s Nova-C class lunar lander, Odysseus, on the Moon, returning the United States to the lunar surface for the first time since 1972. The Company’s products and services are offered through its four in-space business units: Lunar Access Services, Orbital Services, Lunar Data Services, and Space Products and Infrastructure. For more information, </w:t>
      </w:r>
      <w:r>
        <w:rPr>
          <w:rFonts w:ascii="Times New Roman" w:cs="Times New Roman" w:eastAsia="Times New Roman" w:hAnsi="Times New Roman"/>
          <w:sz w:val="18"/>
          <w:szCs w:val="18"/>
          <w:color w:val="191818"/>
        </w:rPr>
        <w:t>please 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intuitivemachines.com</w:t>
      </w:r>
      <w:r>
        <w:rPr>
          <w:rFonts w:ascii="Times New Roman" w:cs="Times New Roman" w:eastAsia="Times New Roman" w:hAnsi="Times New Roman"/>
          <w:sz w:val="18"/>
          <w:szCs w:val="18"/>
          <w:color w:val="191818"/>
        </w:rPr>
        <w:t>.</w:t>
      </w:r>
    </w:p>
    <w:p>
      <w:pPr>
        <w:sectPr>
          <w:pgSz w:w="11900" w:h="16838" w:orient="portrait"/>
          <w:cols w:equalWidth="0" w:num="1">
            <w:col w:w="11180"/>
          </w:cols>
          <w:pgMar w:left="320" w:top="850"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191818"/>
        </w:rPr>
        <w:t>Forward-Looking Statements</w:t>
      </w:r>
    </w:p>
    <w:p>
      <w:pPr>
        <w:spacing w:after="0" w:line="24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191818"/>
        </w:rPr>
        <w:t xml:space="preserve">This press release includes </w:t>
      </w:r>
      <w:r>
        <w:rPr>
          <w:rFonts w:ascii="Times New Roman" w:cs="Times New Roman" w:eastAsia="Times New Roman" w:hAnsi="Times New Roman"/>
          <w:sz w:val="18"/>
          <w:szCs w:val="18"/>
          <w:color w:val="000000"/>
        </w:rPr>
        <w:t>“forward-looking statements” within the meaning of the Private Securities Litigation Reform Act of 1995, as amended. These</w:t>
      </w:r>
      <w:r>
        <w:rPr>
          <w:rFonts w:ascii="Times New Roman" w:cs="Times New Roman" w:eastAsia="Times New Roman" w:hAnsi="Times New Roman"/>
          <w:sz w:val="18"/>
          <w:szCs w:val="18"/>
          <w:color w:val="191818"/>
        </w:rPr>
        <w:t xml:space="preserve"> </w:t>
      </w:r>
      <w:r>
        <w:rPr>
          <w:rFonts w:ascii="Times New Roman" w:cs="Times New Roman" w:eastAsia="Times New Roman" w:hAnsi="Times New Roman"/>
          <w:sz w:val="18"/>
          <w:szCs w:val="18"/>
          <w:color w:val="000000"/>
        </w:rPr>
        <w:t xml:space="preserve">statements that do not relate to matters of historical fact should be considered forward looking. These forward-looking statements generally are identified by the words such as “anticipate,” “believe,” “continue,” “could,” “estimate,” “expect,” “intend,” “may,” “might,” “plan,” “possible,” “potential,” “predict,” “project,” “should,” “strive,” “would,” “strategy,” “outlook,” the negative of these words or other similar expressions, but the absence of these words does not mean that a statement is not forward-looking. These forward-looking statements include but are not limited to statements regarding: our expectations and plans relating to our missions to the Moon, including the expected timing of launch and our progress in preparation thereof; our expectations with respect to, among other things, demand for our product portfolio, our submission of bids for contracts including NSNS and CP-22; our expectations regarding revenue for government contracts awarded to us; our operations, our financial performance and our industry; our business strategy, business plan, and plans to drive long-term sustainable shareholder value; information under “2024 Outlook,” including our expectations on revenue generation and cash.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 looking statements. The following important factors and uncertainties, among others, could cause actual outcomes or results to differ materially from those indicated by the forward-looking statements in this press release: our reliance upon the efforts of our Board and key personnel to be successful; our limited operating history; our failure to manage our growth effectively; competition from existing or new companies; unsatisfactory safety performance of our spaceflight systems or security incidents at our facilities; failure of the market for commercial spaceflight to achieve the growth potential we expect; 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 our customer concentration; risks associated with commercial spaceflight, including any accident on launch or during the journey into space; risks associated with the handling, production and disposition of potentially explosive and ignitable energetic materials and other dangerous chemicals in our operations; our reliance on a limited number of suppliers for certain materials and supplied components; failure of our products to operate in the expected manner or defects in our products; counterparty risks on contracts entered into with our customers and failure of our prime contractors to maintain their relationships with their counterparties and fulfill their contractual obligations; failure to successfully defend protest from other bidders for government contracts; failure to comply with various laws and regulations relating to various aspects of our business and any changes in the funding levels of various governmental entities with which we do business; our failure to protect the confidentiality of our trade secrets and know how; our failure to comply with the terms of third-party open source software our systems utilize; our ability to maintain an effective system of internal control over financial reporting, and to address and remediate material weaknesses in our internal control over financial reporting; the U.S. government’s budget deficit and the national debt, as well as any inability of the U.S. government to complete its budget process for any government fiscal year, and our dependence on U.S. government contracts and funding by the government for the government contracts; our failure to comply with U.S. export and import control laws and regulations and U.S. economic sanctions and trade control laws and regulations; uncertain global macro-economic and political conditions and rising inflation; our history of losses and failure to achieve profitability and our need for substantial additional capital to fund our operations; the fact that our financial results may fluctuate significantly from quarter to quarter; our holding company status; the risk that our business and operations could be significantly affected if it becomes subject to any litigation, including securities litigation or stockholder activism; our public securities’ potential liquidity and trading; and other public filings and press releases other factors detailed under the section titled Part I, Item 1A. Risk Factors of our Annual Report on Form 10-K for the fiscal year ended December 31, 2023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t>
      </w:r>
      <w:r>
        <w:rPr>
          <w:rFonts w:ascii="Times New Roman" w:cs="Times New Roman" w:eastAsia="Times New Roman" w:hAnsi="Times New Roman"/>
          <w:sz w:val="18"/>
          <w:szCs w:val="18"/>
          <w:color w:val="0563C1"/>
        </w:rPr>
        <w:t>www.sec.gov</w:t>
      </w:r>
      <w:r>
        <w:rPr>
          <w:rFonts w:ascii="Times New Roman" w:cs="Times New Roman" w:eastAsia="Times New Roman" w:hAnsi="Times New Roman"/>
          <w:sz w:val="18"/>
          <w:szCs w:val="18"/>
          <w:color w:val="000000"/>
        </w:rPr>
        <w:t>.</w:t>
      </w:r>
    </w:p>
    <w:p>
      <w:pPr>
        <w:spacing w:after="0" w:line="228" w:lineRule="exact"/>
        <w:rPr>
          <w:sz w:val="20"/>
          <w:szCs w:val="20"/>
          <w:color w:val="auto"/>
        </w:rPr>
      </w:pPr>
    </w:p>
    <w:p>
      <w:pPr>
        <w:ind w:right="640"/>
        <w:spacing w:after="0" w:line="235" w:lineRule="auto"/>
        <w:rPr>
          <w:sz w:val="20"/>
          <w:szCs w:val="20"/>
          <w:color w:val="auto"/>
        </w:rPr>
      </w:pPr>
      <w:r>
        <w:rPr>
          <w:rFonts w:ascii="Times New Roman" w:cs="Times New Roman" w:eastAsia="Times New Roman" w:hAnsi="Times New Roman"/>
          <w:sz w:val="18"/>
          <w:szCs w:val="18"/>
          <w:color w:val="191818"/>
        </w:rPr>
        <w:t>These forward-looking statements are based on information available as of the date of this press release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91818"/>
        </w:rPr>
        <w:t>Contacts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investor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investors@intuitivemachines.com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media inquiries: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press@intuitivemachines.com</w:t>
      </w:r>
    </w:p>
    <w:p>
      <w:pPr>
        <w:sectPr>
          <w:pgSz w:w="11900" w:h="16838" w:orient="portrait"/>
          <w:cols w:equalWidth="0" w:num="1">
            <w:col w:w="11240"/>
          </w:cols>
          <w:pgMar w:left="320" w:top="8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31,611</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affiliated companies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 subject to possible redemption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(250,466)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deficit attributable to the Company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(263,282)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(263,282)</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 (excluding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securities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Intuitive Machines, LLC prior to the Business Combination</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(post Business Combination)</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(17,696)</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Preferred dividends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080"/>
          </w:cols>
          <w:pgMar w:left="400" w:top="1143"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4"/>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(120,656)</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(23,447)</w:t>
            </w:r>
          </w:p>
        </w:tc>
      </w:tr>
      <w:tr>
        <w:trPr>
          <w:trHeight w:val="218"/>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Bad debt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SAFE Agreements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issuance of securities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w:t>
            </w:r>
          </w:p>
        </w:tc>
      </w:tr>
      <w:tr>
        <w:trPr>
          <w:trHeight w:val="213"/>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liabilities – current and long-term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(8,140)</w:t>
            </w:r>
          </w:p>
        </w:tc>
      </w:tr>
      <w:tr>
        <w:trPr>
          <w:trHeight w:val="213"/>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6,933</w:t>
            </w:r>
          </w:p>
        </w:tc>
      </w:tr>
      <w:tr>
        <w:trPr>
          <w:trHeight w:val="212"/>
        </w:trPr>
        <w:tc>
          <w:tcPr>
            <w:tcW w:w="7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(18,666)</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w:t>
            </w:r>
          </w:p>
        </w:tc>
      </w:tr>
      <w:tr>
        <w:trPr>
          <w:trHeight w:val="207"/>
        </w:trPr>
        <w:tc>
          <w:tcPr>
            <w:tcW w:w="79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(8,565)</w:t>
            </w:r>
          </w:p>
        </w:tc>
      </w:tr>
      <w:tr>
        <w:trPr>
          <w:trHeight w:val="19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Business Combination</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8,055</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Series A Preferred Stock</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Transaction costs</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loans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securities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 exercises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Forward purchase agreement termination</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12,730</w:t>
            </w:r>
          </w:p>
        </w:tc>
      </w:tr>
      <w:tr>
        <w:trPr>
          <w:trHeight w:val="213"/>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Warrants exercised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2"/>
        </w:trPr>
        <w:tc>
          <w:tcPr>
            <w:tcW w:w="7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48,268</w:t>
            </w: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21,037</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25,826</w:t>
            </w:r>
          </w:p>
        </w:tc>
      </w:tr>
      <w:tr>
        <w:trPr>
          <w:trHeight w:val="207"/>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57,284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46,863</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55,242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46,801</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presented in accordance with GAAP, to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0" w:type="dxa"/>
            <w:vAlign w:val="bottom"/>
          </w:tcPr>
          <w:p>
            <w:pPr>
              <w:spacing w:after="0"/>
              <w:rPr>
                <w:sz w:val="1"/>
                <w:szCs w:val="1"/>
                <w:color w:val="auto"/>
              </w:rPr>
            </w:pPr>
          </w:p>
        </w:tc>
      </w:tr>
      <w:tr>
        <w:trPr>
          <w:trHeight w:val="230"/>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9"/>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issuance of securities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has limitations as a liquidity measure, and you should not consider it in isolation or as a substitute for analysis of our cash flows as reported under GAAP. Some of these limitations are:</w:t>
      </w:r>
    </w:p>
    <w:p>
      <w:pPr>
        <w:spacing w:after="0" w:line="94" w:lineRule="exact"/>
        <w:rPr>
          <w:sz w:val="20"/>
          <w:szCs w:val="20"/>
          <w:color w:val="auto"/>
        </w:rPr>
      </w:pPr>
    </w:p>
    <w:p>
      <w:pPr>
        <w:ind w:left="820" w:hanging="407"/>
        <w:spacing w:after="0" w:line="28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not a measure calculated in accordance with GAAP and should not be considered in isolation from, or as a substitute for financial information prepared in accordance with GAAP.</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not be comparable to similarly titled metrics of other companies due to differences among methods of calculation.</w:t>
      </w:r>
    </w:p>
    <w:p>
      <w:pPr>
        <w:spacing w:after="0" w:line="14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9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net cash used in operating activities, the most directly comparable financial measure presented in accordance with GAAP, to free cash flow:</w:t>
      </w: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28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backlog as of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268,566</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Backlog decreased by $46.2 million as of March 31, 2024 compared to December 31, 2023, primarily due to continued performance on existing contracts of $73.1 million and decreases related to contract value adjustments of $10.7 million primarily related to various certain fixed price contracts and task order adjustments on the OMES III contract. The decrease was slightly offset by $37.6 million in new awards primarily associated with favorable backlog adjustments to the IM-2 and IM-3 missions associated with unapproved task order modifications.</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6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2024-05-14T06:39:50Z</dcterms:created>
  <dcterms:modified xsi:type="dcterms:W3CDTF">2024-05-14T06:39:50Z</dcterms:modified>
</cp:coreProperties>
</file>