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001-40823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INTUITIVE MACHINES,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tbl>
      <w:tblPr>
        <w:tblW w:w="5124" w:type="dxa"/>
        <w:jc w:val="left"/>
        <w:tblInd w:w="0" w:type="dxa"/>
        <w:tblLayout w:type="fixed"/>
        <w:tblCellMar>
          <w:top w:w="28" w:type="dxa"/>
          <w:left w:w="28" w:type="dxa"/>
          <w:bottom w:w="28" w:type="dxa"/>
          <w:right w:w="28" w:type="dxa"/>
        </w:tblCellMar>
      </w:tblPr>
      <w:tblGrid>
        <w:gridCol w:w="1089"/>
        <w:gridCol w:w="956"/>
        <w:gridCol w:w="970"/>
        <w:gridCol w:w="109"/>
        <w:gridCol w:w="109"/>
        <w:gridCol w:w="109"/>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36-5056189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13467 Columbia Shuttle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77059</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(281) 520-3703</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33" w:type="dxa"/>
        <w:jc w:val="left"/>
        <w:tblInd w:w="0" w:type="dxa"/>
        <w:tblLayout w:type="fixed"/>
        <w:tblCellMar>
          <w:top w:w="28" w:type="dxa"/>
          <w:left w:w="28" w:type="dxa"/>
          <w:bottom w:w="28" w:type="dxa"/>
          <w:right w:w="28" w:type="dxa"/>
        </w:tblCellMar>
      </w:tblPr>
      <w:tblGrid>
        <w:gridCol w:w="1578"/>
        <w:gridCol w:w="1384"/>
        <w:gridCol w:w="1403"/>
        <w:gridCol w:w="484"/>
        <w:gridCol w:w="484"/>
        <w:gridCol w:w="486"/>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4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LUNR</w:t>
            </w:r>
          </w:p>
        </w:tc>
        <w:tc>
          <w:tcPr>
            <w:tcW w:w="33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3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3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November 10, 2025</w:t>
      </w:r>
      <w:r>
        <w:rPr>
          <w:rFonts w:ascii="Times New Roman;serif" w:hAnsi="Times New Roman;serif"/>
          <w:b w:val="false"/>
          <w:color w:val="000000"/>
          <w:sz w:val="20"/>
          <w:shd w:fill="FFFFFF" w:val="clear"/>
        </w:rPr>
        <w:t>, the Registr</w:t>
      </w:r>
      <w:r>
        <w:rPr>
          <w:rFonts w:ascii="Times New Roman;serif" w:hAnsi="Times New Roman;serif"/>
          <w:b w:val="false"/>
          <w:color w:val="000000"/>
          <w:sz w:val="20"/>
        </w:rPr>
        <w:t>ant had 119,319,784 shares of Class A common stock, $0.0001 par value, 0 shares of Class B common stock, $0.0001 par value, and 60,899,264 shares of Class C common stock, $0.0001 par valu</w:t>
      </w:r>
      <w:r>
        <w:rPr>
          <w:rFonts w:ascii="Times New Roman;serif" w:hAnsi="Times New Roman;serif"/>
          <w:b w:val="false"/>
          <w:color w:val="000000"/>
          <w:sz w:val="20"/>
          <w:shd w:fill="FFFFFF" w:val="clear"/>
        </w:rPr>
        <w:t xml:space="preserve">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INTUITIVE MACHINES,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66" w:type="dxa"/>
        <w:jc w:val="left"/>
        <w:tblInd w:w="0" w:type="dxa"/>
        <w:tblLayout w:type="fixed"/>
        <w:tblCellMar>
          <w:top w:w="28" w:type="dxa"/>
          <w:left w:w="28" w:type="dxa"/>
          <w:bottom w:w="28" w:type="dxa"/>
          <w:right w:w="28" w:type="dxa"/>
        </w:tblCellMar>
      </w:tblPr>
      <w:tblGrid>
        <w:gridCol w:w="2902"/>
        <w:gridCol w:w="2554"/>
        <w:gridCol w:w="2569"/>
        <w:gridCol w:w="158"/>
        <w:gridCol w:w="158"/>
        <w:gridCol w:w="225"/>
      </w:tblGrid>
      <w:tr>
        <w:trPr/>
        <w:tc>
          <w:tcPr>
            <w:tcW w:w="290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3">
              <w:r>
                <w:rPr>
                  <w:rStyle w:val="InternetLink"/>
                  <w:rFonts w:ascii="Times New Roman;serif" w:hAnsi="Times New Roman;serif"/>
                  <w:b w:val="false"/>
                  <w:color w:val="3051F2"/>
                  <w:sz w:val="20"/>
                  <w:u w:val="single"/>
                </w:rPr>
                <w:t>Part I – Financial Information</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b4fcc4dee590470e913faab2a25cf487_13">
              <w:r>
                <w:rPr>
                  <w:rStyle w:val="InternetLink"/>
                  <w:rFonts w:ascii="Times New Roman;serif" w:hAnsi="Times New Roman;serif"/>
                  <w:b w:val="false"/>
                  <w:strike w:val="false"/>
                  <w:dstrike w:val="false"/>
                  <w:color w:val="000000"/>
                  <w:sz w:val="20"/>
                  <w:u w:val="none"/>
                  <w:effect w:val="none"/>
                </w:rPr>
                <w:t>1</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6">
              <w:r>
                <w:rPr>
                  <w:rStyle w:val="InternetLink"/>
                  <w:rFonts w:ascii="Times New Roman;serif" w:hAnsi="Times New Roman;serif"/>
                  <w:b w:val="false"/>
                  <w:color w:val="3051F2"/>
                  <w:sz w:val="20"/>
                  <w:u w:val="single"/>
                </w:rPr>
                <w:t>Item 1.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6">
              <w:r>
                <w:rPr>
                  <w:rStyle w:val="InternetLink"/>
                  <w:rFonts w:ascii="Times New Roman;serif" w:hAnsi="Times New Roman;serif"/>
                  <w:b w:val="false"/>
                  <w:strike w:val="false"/>
                  <w:dstrike w:val="false"/>
                  <w:color w:val="000000"/>
                  <w:sz w:val="20"/>
                  <w:u w:val="none"/>
                  <w:effect w:val="none"/>
                </w:rPr>
                <w:t>1</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b4fcc4dee590470e913faab2a25cf487_19">
              <w:r>
                <w:rPr>
                  <w:rStyle w:val="InternetLink"/>
                  <w:rFonts w:ascii="Times New Roman;serif" w:hAnsi="Times New Roman;serif"/>
                  <w:b w:val="false"/>
                  <w:color w:val="000080"/>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9">
              <w:r>
                <w:rPr>
                  <w:rStyle w:val="InternetLink"/>
                  <w:rFonts w:ascii="Times New Roman;serif" w:hAnsi="Times New Roman;serif"/>
                  <w:b w:val="false"/>
                  <w:strike w:val="false"/>
                  <w:dstrike w:val="false"/>
                  <w:color w:val="000000"/>
                  <w:sz w:val="20"/>
                  <w:u w:val="none"/>
                  <w:effect w:val="none"/>
                </w:rPr>
                <w:t>2</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b4fcc4dee590470e913faab2a25cf487_22">
              <w:r>
                <w:rPr>
                  <w:rStyle w:val="InternetLink"/>
                  <w:rFonts w:ascii="Times New Roman;serif" w:hAnsi="Times New Roman;serif"/>
                  <w:b w:val="false"/>
                  <w:color w:val="000080"/>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22">
              <w:r>
                <w:rPr>
                  <w:rStyle w:val="InternetLink"/>
                  <w:rFonts w:ascii="Times New Roman;serif" w:hAnsi="Times New Roman;serif"/>
                  <w:b w:val="false"/>
                  <w:strike w:val="false"/>
                  <w:dstrike w:val="false"/>
                  <w:color w:val="000000"/>
                  <w:sz w:val="20"/>
                  <w:u w:val="none"/>
                  <w:effect w:val="none"/>
                </w:rPr>
                <w:t>3</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b4fcc4dee590470e913faab2a25cf487_25">
              <w:r>
                <w:rPr>
                  <w:rStyle w:val="InternetLink"/>
                  <w:rFonts w:ascii="Times New Roman;serif" w:hAnsi="Times New Roman;serif"/>
                  <w:b w:val="false"/>
                  <w:color w:val="000080"/>
                  <w:sz w:val="20"/>
                  <w:u w:val="single"/>
                </w:rPr>
                <w:t xml:space="preserve">Condensed Consolidated Statements of </w:t>
              </w:r>
            </w:hyperlink>
            <w:r>
              <w:rPr>
                <w:rFonts w:ascii="Times New Roman;serif" w:hAnsi="Times New Roman;serif"/>
                <w:b w:val="false"/>
                <w:color w:val="3051F2"/>
                <w:sz w:val="20"/>
                <w:u w:val="single"/>
              </w:rPr>
              <w:t>Mezzanine Equity</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25">
              <w:r>
                <w:rPr>
                  <w:rStyle w:val="InternetLink"/>
                  <w:rFonts w:ascii="Times New Roman;serif" w:hAnsi="Times New Roman;serif"/>
                  <w:b w:val="false"/>
                  <w:strike w:val="false"/>
                  <w:dstrike w:val="false"/>
                  <w:color w:val="000000"/>
                  <w:sz w:val="20"/>
                  <w:u w:val="none"/>
                  <w:effect w:val="none"/>
                </w:rPr>
                <w:t>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28">
              <w:r>
                <w:rPr>
                  <w:rStyle w:val="InternetLink"/>
                  <w:rFonts w:ascii="Times New Roman;serif" w:hAnsi="Times New Roman;serif"/>
                  <w:b w:val="false"/>
                  <w:color w:val="0000FF"/>
                  <w:sz w:val="20"/>
                  <w:u w:val="single"/>
                </w:rPr>
                <w:t>Unaudited Condensed Consolidated Statements of Shareholders’ Deficit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28">
              <w:r>
                <w:rPr>
                  <w:rStyle w:val="InternetLink"/>
                  <w:rFonts w:ascii="Times New Roman;serif" w:hAnsi="Times New Roman;serif"/>
                  <w:b w:val="false"/>
                  <w:strike w:val="false"/>
                  <w:dstrike w:val="false"/>
                  <w:color w:val="000000"/>
                  <w:sz w:val="20"/>
                  <w:u w:val="none"/>
                  <w:effect w:val="none"/>
                </w:rPr>
                <w:t>5</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b4fcc4dee590470e913faab2a25cf487_31">
              <w:r>
                <w:rPr>
                  <w:rStyle w:val="InternetLink"/>
                  <w:rFonts w:ascii="Times New Roman;serif" w:hAnsi="Times New Roman;serif"/>
                  <w:b w:val="false"/>
                  <w:color w:val="000080"/>
                  <w:sz w:val="20"/>
                  <w:u w:val="singl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31">
              <w:r>
                <w:rPr>
                  <w:rStyle w:val="InternetLink"/>
                  <w:rFonts w:ascii="Times New Roman;serif" w:hAnsi="Times New Roman;serif"/>
                  <w:b w:val="false"/>
                  <w:strike w:val="false"/>
                  <w:dstrike w:val="false"/>
                  <w:color w:val="000000"/>
                  <w:sz w:val="20"/>
                  <w:u w:val="none"/>
                  <w:effect w:val="none"/>
                </w:rPr>
                <w:t>7</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34">
              <w:r>
                <w:rPr>
                  <w:rStyle w:val="InternetLink"/>
                  <w:rFonts w:ascii="Times New Roman;serif" w:hAnsi="Times New Roman;serif"/>
                  <w:b w:val="false"/>
                  <w:color w:val="3051F2"/>
                  <w:sz w:val="20"/>
                  <w:u w:val="single"/>
                </w:rPr>
                <w:t>Notes to Unaudited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34">
              <w:r>
                <w:rPr>
                  <w:rStyle w:val="InternetLink"/>
                  <w:rFonts w:ascii="Times New Roman;serif" w:hAnsi="Times New Roman;serif"/>
                  <w:b w:val="false"/>
                  <w:strike w:val="false"/>
                  <w:dstrike w:val="false"/>
                  <w:color w:val="000000"/>
                  <w:sz w:val="20"/>
                  <w:u w:val="none"/>
                  <w:effect w:val="none"/>
                </w:rPr>
                <w:t>8</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09">
              <w:r>
                <w:rPr>
                  <w:rStyle w:val="InternetLink"/>
                  <w:rFonts w:ascii="Times New Roman;serif" w:hAnsi="Times New Roman;serif"/>
                  <w:b w:val="false"/>
                  <w:color w:val="3051F2"/>
                  <w:sz w:val="20"/>
                  <w:u w:val="single"/>
                </w:rPr>
                <w:t xml:space="preserve">Item 2. Management’s Discussion and Analysis of Financial Condition and Results of Operations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09">
              <w:r>
                <w:rPr>
                  <w:rStyle w:val="InternetLink"/>
                  <w:rFonts w:ascii="Times New Roman;serif" w:hAnsi="Times New Roman;serif"/>
                  <w:b w:val="false"/>
                  <w:strike w:val="false"/>
                  <w:dstrike w:val="false"/>
                  <w:color w:val="000000"/>
                  <w:sz w:val="20"/>
                  <w:u w:val="none"/>
                  <w:effect w:val="none"/>
                </w:rPr>
                <w:t>35</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48">
              <w:r>
                <w:rPr>
                  <w:rStyle w:val="InternetLink"/>
                  <w:rFonts w:ascii="Times New Roman;serif" w:hAnsi="Times New Roman;serif"/>
                  <w:b w:val="false"/>
                  <w:color w:val="3051F2"/>
                  <w:sz w:val="20"/>
                  <w:u w:val="single"/>
                </w:rPr>
                <w:t>Item 3. 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48">
              <w:r>
                <w:rPr>
                  <w:rStyle w:val="InternetLink"/>
                  <w:rFonts w:ascii="Times New Roman;serif" w:hAnsi="Times New Roman;serif"/>
                  <w:b w:val="false"/>
                  <w:strike w:val="false"/>
                  <w:dstrike w:val="false"/>
                  <w:color w:val="000000"/>
                  <w:sz w:val="20"/>
                  <w:u w:val="none"/>
                  <w:effect w:val="none"/>
                </w:rPr>
                <w:t>51</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51">
              <w:r>
                <w:rPr>
                  <w:rStyle w:val="InternetLink"/>
                  <w:rFonts w:ascii="Times New Roman;serif" w:hAnsi="Times New Roman;serif"/>
                  <w:b w:val="false"/>
                  <w:color w:val="3051F2"/>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51">
              <w:r>
                <w:rPr>
                  <w:rStyle w:val="InternetLink"/>
                  <w:rFonts w:ascii="Times New Roman;serif" w:hAnsi="Times New Roman;serif"/>
                  <w:b w:val="false"/>
                  <w:strike w:val="false"/>
                  <w:dstrike w:val="false"/>
                  <w:color w:val="000000"/>
                  <w:sz w:val="20"/>
                  <w:u w:val="none"/>
                  <w:effect w:val="none"/>
                </w:rPr>
                <w:t>51</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57">
              <w:r>
                <w:rPr>
                  <w:rStyle w:val="InternetLink"/>
                  <w:rFonts w:ascii="Times New Roman;serif" w:hAnsi="Times New Roman;serif"/>
                  <w:b w:val="false"/>
                  <w:color w:val="3051F2"/>
                  <w:sz w:val="20"/>
                  <w:u w:val="single"/>
                </w:rPr>
                <w:t xml:space="preserve">Part II – Other Information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57">
              <w:r>
                <w:rPr>
                  <w:rStyle w:val="InternetLink"/>
                  <w:rFonts w:ascii="Times New Roman;serif" w:hAnsi="Times New Roman;serif"/>
                  <w:b w:val="false"/>
                  <w:strike w:val="false"/>
                  <w:dstrike w:val="false"/>
                  <w:color w:val="000000"/>
                  <w:sz w:val="20"/>
                  <w:u w:val="none"/>
                  <w:effect w:val="none"/>
                </w:rPr>
                <w:t>53</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60">
              <w:r>
                <w:rPr>
                  <w:rStyle w:val="InternetLink"/>
                  <w:rFonts w:ascii="Times New Roman;serif" w:hAnsi="Times New Roman;serif"/>
                  <w:b w:val="false"/>
                  <w:color w:val="3051F2"/>
                  <w:sz w:val="20"/>
                  <w:u w:val="singl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60">
              <w:r>
                <w:rPr>
                  <w:rStyle w:val="InternetLink"/>
                  <w:rFonts w:ascii="Times New Roman;serif" w:hAnsi="Times New Roman;serif"/>
                  <w:b w:val="false"/>
                  <w:strike w:val="false"/>
                  <w:dstrike w:val="false"/>
                  <w:color w:val="000000"/>
                  <w:sz w:val="20"/>
                  <w:u w:val="none"/>
                  <w:effect w:val="none"/>
                </w:rPr>
                <w:t>53</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63">
              <w:r>
                <w:rPr>
                  <w:rStyle w:val="InternetLink"/>
                  <w:rFonts w:ascii="Times New Roman;serif" w:hAnsi="Times New Roman;serif"/>
                  <w:b w:val="false"/>
                  <w:color w:val="3051F2"/>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63">
              <w:r>
                <w:rPr>
                  <w:rStyle w:val="InternetLink"/>
                  <w:rFonts w:ascii="Times New Roman;serif" w:hAnsi="Times New Roman;serif"/>
                  <w:b w:val="false"/>
                  <w:strike w:val="false"/>
                  <w:dstrike w:val="false"/>
                  <w:color w:val="000000"/>
                  <w:sz w:val="20"/>
                  <w:u w:val="none"/>
                  <w:effect w:val="none"/>
                </w:rPr>
                <w:t>53</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66">
              <w:r>
                <w:rPr>
                  <w:rStyle w:val="InternetLink"/>
                  <w:rFonts w:ascii="Times New Roman;serif" w:hAnsi="Times New Roman;serif"/>
                  <w:b w:val="false"/>
                  <w:color w:val="3051F2"/>
                  <w:sz w:val="20"/>
                  <w:u w:val="singl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66">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72">
              <w:r>
                <w:rPr>
                  <w:rStyle w:val="InternetLink"/>
                  <w:rFonts w:ascii="Times New Roman;serif" w:hAnsi="Times New Roman;serif"/>
                  <w:b w:val="false"/>
                  <w:color w:val="3051F2"/>
                  <w:sz w:val="20"/>
                  <w:u w:val="singl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72">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75">
              <w:r>
                <w:rPr>
                  <w:rStyle w:val="InternetLink"/>
                  <w:rFonts w:ascii="Times New Roman;serif" w:hAnsi="Times New Roman;serif"/>
                  <w:b w:val="false"/>
                  <w:color w:val="3051F2"/>
                  <w:sz w:val="20"/>
                  <w:u w:val="singl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75">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78">
              <w:r>
                <w:rPr>
                  <w:rStyle w:val="InternetLink"/>
                  <w:rFonts w:ascii="Times New Roman;serif" w:hAnsi="Times New Roman;serif"/>
                  <w:b w:val="false"/>
                  <w:color w:val="3051F2"/>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78">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84">
              <w:r>
                <w:rPr>
                  <w:rStyle w:val="InternetLink"/>
                  <w:rFonts w:ascii="Times New Roman;serif" w:hAnsi="Times New Roman;serif"/>
                  <w:b w:val="false"/>
                  <w:color w:val="3051F2"/>
                  <w:sz w:val="20"/>
                  <w:u w:val="singl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84">
              <w:r>
                <w:rPr>
                  <w:rStyle w:val="InternetLink"/>
                  <w:rFonts w:ascii="Times New Roman;serif" w:hAnsi="Times New Roman;serif"/>
                  <w:b w:val="false"/>
                  <w:strike w:val="false"/>
                  <w:dstrike w:val="false"/>
                  <w:color w:val="000000"/>
                  <w:sz w:val="20"/>
                  <w:u w:val="none"/>
                  <w:effect w:val="none"/>
                </w:rPr>
                <w:t>55</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4fcc4dee590470e913faab2a25cf487_190">
              <w:r>
                <w:rPr>
                  <w:rStyle w:val="InternetLink"/>
                  <w:rFonts w:ascii="Times New Roman;serif" w:hAnsi="Times New Roman;serif"/>
                  <w:b w:val="false"/>
                  <w:color w:val="000080"/>
                  <w:sz w:val="20"/>
                  <w:u w:val="single"/>
                </w:rPr>
                <w:t>Signature</w:t>
              </w:r>
            </w:hyperlink>
            <w:r>
              <w:rPr>
                <w:rFonts w:ascii="Times New Roman;serif" w:hAnsi="Times New Roman;serif"/>
                <w:b w:val="false"/>
                <w:color w:val="3051F2"/>
                <w:sz w:val="20"/>
                <w:u w:val="single"/>
              </w:rPr>
              <w: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fcc4dee590470e913faab2a25cf487_190">
              <w:r>
                <w:rPr>
                  <w:rStyle w:val="InternetLink"/>
                  <w:rFonts w:ascii="Times New Roman;serif" w:hAnsi="Times New Roman;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Each of the terms the “Company,” “Intuitive Machines,” “IM,” “we,” “us,” or “our” and similar terms used herein refer collectively to Intuitive Machines, Inc. (formerly known as Inflection Point Acquisition Corp or “IPAX”) and its consolidated subsidiaries, unless otherwise stated.</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This Quarterly Report on Form 10-Q (the “Quarterly Report”) contains “forward-looking statements” within the meaning of the Private Securities Litigation Reform Act of 1995, as amended.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w:t>
      </w:r>
      <w:r>
        <w:rPr>
          <w:rFonts w:ascii="Times New Roman;serif" w:hAnsi="Times New Roman;serif"/>
          <w:b w:val="false"/>
          <w:color w:val="000000"/>
          <w:sz w:val="20"/>
          <w:shd w:fill="FFFFFF" w:val="clear"/>
        </w:rPr>
        <w:t xml:space="preserve">ments regarding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w:t>
      </w:r>
      <w:r>
        <w:rPr>
          <w:rFonts w:ascii="Times New Roman;serif" w:hAnsi="Times New Roman;serif"/>
          <w:b w:val="false"/>
          <w:color w:val="000000"/>
          <w:sz w:val="20"/>
        </w:rPr>
        <w:t>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Quarterly Report:</w:t>
      </w:r>
    </w:p>
    <w:p>
      <w:pPr>
        <w:pStyle w:val="TextBody"/>
        <w:bidi w:val="0"/>
        <w:spacing w:before="0" w:after="0"/>
        <w:jc w:val="left"/>
        <w:rPr/>
      </w:pPr>
      <w:r>
        <w:rPr/>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reliance upon the efforts of our key personnel and Board of Directors (the “Board”) to be successful;</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limited operating history;</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manage our growth effectively and failure to win new contracts;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customer concentration;</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competition from existing or new companies;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unsatisfactory safety performance of our spaceflight systems or security incidents at our facilities;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of the market for commercial spaceflight to achieve the growth potential we expect;</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reliance on a single launch service provider;</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risks associated with commercial spaceflight, including any accident on launch or during the journey into space;</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risks associated with the handling, production and disposition of potentially explosive and ignitable energetic materials and other dangerous chemicals in our operations;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our reliance on a limited number of suppliers for certain materials and supplied components;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of our products to operate in the expected manner or defects in our sub-systems;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counterparty risks on customer contracts and failure of our prime contractors to maintain their relationships with their counterparties and fulfill their contractual obligations;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to successfully defend protest from other bidders for government contracts;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to comply with various laws and regulations relating to various aspects of our business, uncertainty in the regulatory environment and any changes in the funding levels of various governmental entities with which we do business;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protect the confidentiality of our trade secrets and unpatented know how;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comply with the terms of third-party open source software our systems utilize;</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ability to maintain an effective system of internal control over financial reporting, and to address and remediate any material weaknesses in our internal control over financial reporting;</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as part of growing our business, we have made and may continue to make acquisitions. Any acquisitions, partnerships or joint ventures into which we enter could disrupt our operations and have a material adverse effect on our business, financial condition and results of operations;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comply with U.S. export and import control laws and regulations and U.S. economic sanctions and trade control laws and regulations;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uncertain macro-economic and political conditions and elevated inflation and interest rates;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our history of losses and failure to achieve profitability in the future or failure of our business to generate sufficient funds to continue operations;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the cost and potential outcomes of pending and any future litigation;</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our public securities’ potential liquidity and trading;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the sufficiency and anticipated use of our existing capital resources to fund our future operating expenses and capital expenditure requirements and needs for additional financing in light of our recent acquisitions; and</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other factors detailed under the section titled Part I, Item 1A. “Risk Factors” of our Annual Report on Form 10-K for the fiscal year ended December 31, 2024 (the “2024 Annual Report on Form 10-K”), the section titled Part I, Item 2, Management’s Discussion and Analysis of Financial Condition and Results of Operations in this Quarterly Report and in our subsequent filings with the U.S. Securities and Exchange Commission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website address is www.intuitivemachines.com. The contents of, or information accessible through, our website are not incorporated by reference herein and are not part of this quarterly report. We make our filings with the SEC, including our Annual Report on Form 10-K, Quarterly Reports on Form 10-Q, Current Reports on Form 8-K and all amendments to those reports, as well as beneficial ownership filings available free of charge on our website under the “Investors” section as soon as reasonably practical after we file such reports with, or furnish such reports to, the SEC.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use our website as a distribution channel of material information about us. Financial and other important information regarding the Company is routinely posted on and accessible through the Investors section of our website at www.intuitivemachines.com.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INTUITIVE MACHINES,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 and par value)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93"/>
        <w:gridCol w:w="2406"/>
        <w:gridCol w:w="2304"/>
        <w:gridCol w:w="213"/>
        <w:gridCol w:w="800"/>
        <w:gridCol w:w="118"/>
        <w:gridCol w:w="109"/>
        <w:gridCol w:w="109"/>
        <w:gridCol w:w="109"/>
        <w:gridCol w:w="206"/>
        <w:gridCol w:w="774"/>
        <w:gridCol w:w="164"/>
      </w:tblGrid>
      <w:tr>
        <w:trPr/>
        <w:tc>
          <w:tcPr>
            <w:tcW w:w="2893"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621,975 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293,161 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753,530 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355,404 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MEZZANINE EQUITY AND SHAREHOLDERS’ DEFICIT</w:t>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affiliated companies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current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current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non-current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non-current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351,483 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MEZZANINE EQUITY</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preferred stock subject to possible redemption, $0.0001 par value, 25,000,000 shares authorized, 5,000 and 5,000 shares issued and outstanding</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1,005,965 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DEFICIT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500,000,000 shares authorized, 120,074,013 and 101,859,000 shares issued, and 117,882,933 and 100,609,000 outstanding</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100,000,000 shares authorized, 0 shares issued and outstanding</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C common stock, $0.0001 par value, 100,000,000 shares authorized, 60,899,264 and 55,394,533 shares issued and outstanding</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2,191,080 shares, at cost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(996,453)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deficit attributable to the Company</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(1,009,262)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Noncontrolling interests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deficit</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(403,282)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(1,008,034)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mezzanine equity and shareholders’ deficit</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753,530 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355,404 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8"/>
        <w:gridCol w:w="1409"/>
        <w:gridCol w:w="1419"/>
        <w:gridCol w:w="231"/>
        <w:gridCol w:w="790"/>
        <w:gridCol w:w="120"/>
        <w:gridCol w:w="109"/>
        <w:gridCol w:w="109"/>
        <w:gridCol w:w="109"/>
        <w:gridCol w:w="211"/>
        <w:gridCol w:w="784"/>
        <w:gridCol w:w="109"/>
        <w:gridCol w:w="109"/>
        <w:gridCol w:w="109"/>
        <w:gridCol w:w="109"/>
        <w:gridCol w:w="211"/>
        <w:gridCol w:w="826"/>
        <w:gridCol w:w="109"/>
        <w:gridCol w:w="109"/>
        <w:gridCol w:w="109"/>
        <w:gridCol w:w="109"/>
        <w:gridCol w:w="211"/>
        <w:gridCol w:w="889"/>
        <w:gridCol w:w="157"/>
      </w:tblGrid>
      <w:tr>
        <w:trPr/>
        <w:tc>
          <w:tcPr>
            <w:tcW w:w="174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Nine Months Ended September 30,</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revenue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 affiliated companies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 (see Note 4)</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(excluding 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securities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redeemable noncontrolling interest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the Company</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dividends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Class A common shareholders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per share</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Class A common stock - basic and diluted</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117,815,856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114,150,168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52,971,882</w:t>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879" w:type="dxa"/>
        <w:jc w:val="left"/>
        <w:tblInd w:w="0" w:type="dxa"/>
        <w:tblLayout w:type="fixed"/>
        <w:tblCellMar>
          <w:top w:w="28" w:type="dxa"/>
          <w:left w:w="28" w:type="dxa"/>
          <w:bottom w:w="28" w:type="dxa"/>
          <w:right w:w="28" w:type="dxa"/>
        </w:tblCellMar>
      </w:tblPr>
      <w:tblGrid>
        <w:gridCol w:w="1707"/>
        <w:gridCol w:w="1502"/>
        <w:gridCol w:w="1516"/>
        <w:gridCol w:w="195"/>
        <w:gridCol w:w="195"/>
        <w:gridCol w:w="196"/>
        <w:gridCol w:w="136"/>
        <w:gridCol w:w="136"/>
        <w:gridCol w:w="136"/>
        <w:gridCol w:w="244"/>
        <w:gridCol w:w="693"/>
        <w:gridCol w:w="136"/>
        <w:gridCol w:w="109"/>
        <w:gridCol w:w="109"/>
        <w:gridCol w:w="109"/>
        <w:gridCol w:w="443"/>
        <w:gridCol w:w="1967"/>
        <w:gridCol w:w="350"/>
      </w:tblGrid>
      <w:tr>
        <w:trPr/>
        <w:tc>
          <w:tcPr>
            <w:tcW w:w="170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8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663,725 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preferred dividends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preferred stock discount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Subsequent remeasurement of redeemable noncontrolling interests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(19,620)</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640,660 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1,005,965 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preferred dividends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preferred stock discount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Subsequent remeasurement of redeemable noncontrolling interests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(360,361)</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640,660 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center"/>
        <w:rPr/>
      </w:pPr>
      <w:r>
        <w:rPr/>
      </w:r>
    </w:p>
    <w:tbl>
      <w:tblPr>
        <w:tblW w:w="10195" w:type="dxa"/>
        <w:jc w:val="center"/>
        <w:tblInd w:w="0" w:type="dxa"/>
        <w:tblLayout w:type="fixed"/>
        <w:tblCellMar>
          <w:top w:w="28" w:type="dxa"/>
          <w:left w:w="28" w:type="dxa"/>
          <w:bottom w:w="28" w:type="dxa"/>
          <w:right w:w="28" w:type="dxa"/>
        </w:tblCellMar>
      </w:tblPr>
      <w:tblGrid>
        <w:gridCol w:w="1707"/>
        <w:gridCol w:w="1502"/>
        <w:gridCol w:w="1516"/>
        <w:gridCol w:w="323"/>
        <w:gridCol w:w="323"/>
        <w:gridCol w:w="196"/>
        <w:gridCol w:w="136"/>
        <w:gridCol w:w="136"/>
        <w:gridCol w:w="136"/>
        <w:gridCol w:w="244"/>
        <w:gridCol w:w="693"/>
        <w:gridCol w:w="136"/>
        <w:gridCol w:w="109"/>
        <w:gridCol w:w="109"/>
        <w:gridCol w:w="109"/>
        <w:gridCol w:w="507"/>
        <w:gridCol w:w="1910"/>
        <w:gridCol w:w="403"/>
      </w:tblGrid>
      <w:tr>
        <w:trPr/>
        <w:tc>
          <w:tcPr>
            <w:tcW w:w="170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019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218,160 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preferred dividends</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preferred stock discount</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Subsequent remeasurement of redeemable noncontrolling interests</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292,492 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interests</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(25,679)</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484,973 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181,662 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Series A preferred stock (Note 7)</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preferred dividends</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preferred stock discount</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Subsequent remeasurement of redeemable noncontrolling interests</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353,312 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redeemable noncontrolling interests</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8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484,973 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885" w:type="dxa"/>
        <w:jc w:val="center"/>
        <w:tblInd w:w="0" w:type="dxa"/>
        <w:tblLayout w:type="fixed"/>
        <w:tblCellMar>
          <w:top w:w="28" w:type="dxa"/>
          <w:left w:w="28" w:type="dxa"/>
          <w:bottom w:w="28" w:type="dxa"/>
          <w:right w:w="28" w:type="dxa"/>
        </w:tblCellMar>
      </w:tblPr>
      <w:tblGrid>
        <w:gridCol w:w="603"/>
        <w:gridCol w:w="201"/>
        <w:gridCol w:w="202"/>
        <w:gridCol w:w="279"/>
        <w:gridCol w:w="279"/>
        <w:gridCol w:w="283"/>
        <w:gridCol w:w="109"/>
        <w:gridCol w:w="109"/>
        <w:gridCol w:w="109"/>
        <w:gridCol w:w="181"/>
        <w:gridCol w:w="316"/>
        <w:gridCol w:w="109"/>
        <w:gridCol w:w="109"/>
        <w:gridCol w:w="109"/>
        <w:gridCol w:w="109"/>
        <w:gridCol w:w="109"/>
        <w:gridCol w:w="109"/>
        <w:gridCol w:w="117"/>
        <w:gridCol w:w="117"/>
        <w:gridCol w:w="304"/>
        <w:gridCol w:w="261"/>
        <w:gridCol w:w="201"/>
        <w:gridCol w:w="109"/>
        <w:gridCol w:w="109"/>
        <w:gridCol w:w="109"/>
        <w:gridCol w:w="199"/>
        <w:gridCol w:w="265"/>
        <w:gridCol w:w="122"/>
        <w:gridCol w:w="175"/>
        <w:gridCol w:w="175"/>
        <w:gridCol w:w="176"/>
        <w:gridCol w:w="181"/>
        <w:gridCol w:w="556"/>
        <w:gridCol w:w="109"/>
        <w:gridCol w:w="109"/>
        <w:gridCol w:w="109"/>
        <w:gridCol w:w="109"/>
        <w:gridCol w:w="207"/>
        <w:gridCol w:w="464"/>
        <w:gridCol w:w="125"/>
        <w:gridCol w:w="109"/>
        <w:gridCol w:w="109"/>
        <w:gridCol w:w="109"/>
        <w:gridCol w:w="181"/>
        <w:gridCol w:w="631"/>
        <w:gridCol w:w="109"/>
        <w:gridCol w:w="109"/>
        <w:gridCol w:w="109"/>
        <w:gridCol w:w="109"/>
        <w:gridCol w:w="181"/>
        <w:gridCol w:w="736"/>
        <w:gridCol w:w="109"/>
        <w:gridCol w:w="109"/>
        <w:gridCol w:w="109"/>
        <w:gridCol w:w="109"/>
        <w:gridCol w:w="197"/>
        <w:gridCol w:w="509"/>
        <w:gridCol w:w="120"/>
        <w:gridCol w:w="109"/>
        <w:gridCol w:w="109"/>
        <w:gridCol w:w="109"/>
        <w:gridCol w:w="181"/>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34"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2551"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1398"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June 30, 2025</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119,849,589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61,060,280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(347,689)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(381,196)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(379,123)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Capped call transactions (Note 5)</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vested RSUs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Distribution to noncontrolling interests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35,756 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September 30, 2025</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120,074,013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60,899,264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(370,667)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(404,174)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892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(403,282)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4"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2551"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1398"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December 31, 2024</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101,859,000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55,394,533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(996,453)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(1,009,262)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(1,008,034)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Capped call transactions (Note 5)</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warrants exercised, net of redemption cost (Note 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15,358,229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176,552 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Repurchase of Class A common stock (Note 7)</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102,920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vested RSUs and PSUs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758,595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1,995,269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(1,995,269)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Distribution to noncontrolling interests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Class C common stock related to earn-out awards (Note 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(308,844)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360,361 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September 30, 2025</w:t>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120,074,013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60,899,264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(33,525)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(370,667)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(404,174)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892</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(403,282)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2570" w:type="dxa"/>
        <w:jc w:val="center"/>
        <w:tblInd w:w="0" w:type="dxa"/>
        <w:tblLayout w:type="fixed"/>
        <w:tblCellMar>
          <w:top w:w="28" w:type="dxa"/>
          <w:left w:w="28" w:type="dxa"/>
          <w:bottom w:w="28" w:type="dxa"/>
          <w:right w:w="28" w:type="dxa"/>
        </w:tblCellMar>
      </w:tblPr>
      <w:tblGrid>
        <w:gridCol w:w="603"/>
        <w:gridCol w:w="201"/>
        <w:gridCol w:w="202"/>
        <w:gridCol w:w="254"/>
        <w:gridCol w:w="254"/>
        <w:gridCol w:w="258"/>
        <w:gridCol w:w="109"/>
        <w:gridCol w:w="109"/>
        <w:gridCol w:w="109"/>
        <w:gridCol w:w="181"/>
        <w:gridCol w:w="241"/>
        <w:gridCol w:w="109"/>
        <w:gridCol w:w="109"/>
        <w:gridCol w:w="109"/>
        <w:gridCol w:w="109"/>
        <w:gridCol w:w="109"/>
        <w:gridCol w:w="109"/>
        <w:gridCol w:w="117"/>
        <w:gridCol w:w="117"/>
        <w:gridCol w:w="321"/>
        <w:gridCol w:w="276"/>
        <w:gridCol w:w="214"/>
        <w:gridCol w:w="109"/>
        <w:gridCol w:w="109"/>
        <w:gridCol w:w="109"/>
        <w:gridCol w:w="199"/>
        <w:gridCol w:w="265"/>
        <w:gridCol w:w="122"/>
        <w:gridCol w:w="175"/>
        <w:gridCol w:w="175"/>
        <w:gridCol w:w="176"/>
        <w:gridCol w:w="181"/>
        <w:gridCol w:w="556"/>
        <w:gridCol w:w="109"/>
        <w:gridCol w:w="109"/>
        <w:gridCol w:w="109"/>
        <w:gridCol w:w="109"/>
        <w:gridCol w:w="207"/>
        <w:gridCol w:w="464"/>
        <w:gridCol w:w="125"/>
        <w:gridCol w:w="109"/>
        <w:gridCol w:w="109"/>
        <w:gridCol w:w="109"/>
        <w:gridCol w:w="181"/>
        <w:gridCol w:w="631"/>
        <w:gridCol w:w="109"/>
        <w:gridCol w:w="109"/>
        <w:gridCol w:w="109"/>
        <w:gridCol w:w="109"/>
        <w:gridCol w:w="181"/>
        <w:gridCol w:w="631"/>
        <w:gridCol w:w="109"/>
        <w:gridCol w:w="109"/>
        <w:gridCol w:w="109"/>
        <w:gridCol w:w="109"/>
        <w:gridCol w:w="190"/>
        <w:gridCol w:w="521"/>
        <w:gridCol w:w="115"/>
        <w:gridCol w:w="109"/>
        <w:gridCol w:w="109"/>
        <w:gridCol w:w="109"/>
        <w:gridCol w:w="181"/>
        <w:gridCol w:w="631"/>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124"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244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1293"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June 30,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62,469,364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66,109,012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(217,057)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vested RSUs and PSUs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5,863,874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(5,863,874)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Distribution to noncontrolling interests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Class A Common Stock related to the ATM Program (Note 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12,939,029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80,451 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Tax receivable agreement - obligation to partners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(80,951)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(292,492)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the Company</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September 30, 2024</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81,351,656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60,245,138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(12,825)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(483,998)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(496,809)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1,456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(495,353)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4"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244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1293"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December 31, 2023</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22,279,876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70,909,012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(248,619)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(261,435)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(261,435)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Conversion of Series A preferred stock (Note 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7,738,743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23,119 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warrants exercised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19,123,633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127,579 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loan conversion (Notes 5 and 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227,820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vested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1,308,820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10,663,874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(10,663,874)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Distribution to noncontrolling interests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Class A Common Stock related to the ATM Program (Note 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16,521,612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97,495 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Tax receivable agreement - obligation to partners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(252,148)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(353,312)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(134,215)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(134,215)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(134,215)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September 30, 2024</w:t>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81,351,656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60,245,138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(12,825)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(483,998)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(496,809)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1,456</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(495,353)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INTUITIVE MACHINES,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387" w:type="dxa"/>
        <w:jc w:val="center"/>
        <w:tblInd w:w="0" w:type="dxa"/>
        <w:tblLayout w:type="fixed"/>
        <w:tblCellMar>
          <w:top w:w="28" w:type="dxa"/>
          <w:left w:w="28" w:type="dxa"/>
          <w:bottom w:w="28" w:type="dxa"/>
          <w:right w:w="28" w:type="dxa"/>
        </w:tblCellMar>
      </w:tblPr>
      <w:tblGrid>
        <w:gridCol w:w="1637"/>
        <w:gridCol w:w="1441"/>
        <w:gridCol w:w="1452"/>
        <w:gridCol w:w="209"/>
        <w:gridCol w:w="747"/>
        <w:gridCol w:w="126"/>
        <w:gridCol w:w="126"/>
        <w:gridCol w:w="126"/>
        <w:gridCol w:w="126"/>
        <w:gridCol w:w="209"/>
        <w:gridCol w:w="799"/>
        <w:gridCol w:w="126"/>
        <w:gridCol w:w="109"/>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of property and equipment (see Note 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issuance costs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earn-out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issuance of securities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receivable, net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 affiliated companies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 affiliated companies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 current and long-term</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notes, net of discount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capped call transactions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exercised</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warrants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A Common Stock</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loans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securities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withholding taxes from share-based awards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in cash, cash equivalents and restricted cash</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414,368 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87,087 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the period</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the period</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624,017 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91,647 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restricted cash</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the period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621,975 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operating activities: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new operating liabilities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reduced due to lease modifications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financing activities: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C Common Stock related to earn-out awards (Note 2)</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Series A preferred stock (Note 7)</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BUSINESS DESCRIPTION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Intuitive Machines, Inc. </w:t>
      </w:r>
      <w:r>
        <w:rPr>
          <w:rFonts w:ascii="Times New Roman;serif" w:hAnsi="Times New Roman;serif"/>
          <w:b w:val="false"/>
          <w:color w:val="000000"/>
          <w:sz w:val="20"/>
          <w:shd w:fill="FFFFFF" w:val="clear"/>
        </w:rPr>
        <w:t xml:space="preserve">(formerly known as Inflection Point Acquisition Corp. or “IPAX”), </w:t>
      </w:r>
      <w:r>
        <w:rPr>
          <w:rFonts w:ascii="Times New Roman;serif" w:hAnsi="Times New Roman;serif"/>
          <w:b w:val="false"/>
          <w:color w:val="000000"/>
          <w:sz w:val="20"/>
        </w:rPr>
        <w:t xml:space="preserve">collectively with its subsidiaries (the “Company,” “IM,” “Intuitive Machines,” “we,” “us” or “our”) is a space technology, infrastructure, and services company founded in 2013 and headquartered in Houston, Texas, that is contributing to the establishment of cislunar infrastructure and helping to develop cislunar and deep space commerce. Cislunar encompasses objects in orbit in the Earth-Moon system and on the Lunar surface, while deep space exploration is space beyond the Moon, including Mars. We believe we have a leading position in the development of technology platforms operating in three core pillars — delivery services, data transmission services, and infrastructure as a service. We are focused on establishing the lunar infrastructure associated with each of the three pillars, which provides the basis for commerce to inform and sustain human presence off Earth. Our vision is that our infrastructure services enable our customers to focus on their unique contributions to create a thriving, diverse cislunar economy and expand the commercial space exploration marketplace to the Lunar surface and beyond.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(the “Nasdaq”).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IPAX Business Combination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September 16, 2022, IPAX entered into a certain Business Combination Agreement (the “Business Combination Agreement”) by and between IPAX and Intuitive Machines, LLC, a Delaware limited liability company (formerly, a Texas limited liability company). On February 10,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Transactions, the Company was reorganized into an umbrella partnership C corporation (or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condensed consolidated financial statements of the Company represent a continuation of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Beginning on February 14, 2023, the Company’s Class A common stock </w:t>
      </w:r>
      <w:r>
        <w:rPr>
          <w:rFonts w:ascii="Times New Roman;serif" w:hAnsi="Times New Roman;serif"/>
          <w:b w:val="false"/>
          <w:color w:val="000000"/>
          <w:sz w:val="20"/>
        </w:rPr>
        <w:t>par value 0.0001 per share (the “Class A Common Stock”)</w:t>
      </w:r>
      <w:r>
        <w:rPr>
          <w:color w:val="000000"/>
          <w:shd w:fill="FFFFFF" w:val="clear"/>
        </w:rPr>
        <w:t xml:space="preserve"> </w:t>
      </w:r>
      <w:r>
        <w:rPr>
          <w:rFonts w:ascii="Times New Roman;serif" w:hAnsi="Times New Roman;serif"/>
          <w:b w:val="false"/>
          <w:color w:val="000000"/>
          <w:sz w:val="20"/>
          <w:shd w:fill="FFFFFF" w:val="clear"/>
        </w:rPr>
        <w:t>and warrants to purchase the Class A Common Stock at an exercise price of $11.50</w:t>
      </w:r>
      <w:r>
        <w:rPr>
          <w:color w:val="000000"/>
        </w:rPr>
        <w:t xml:space="preserve"> </w:t>
      </w:r>
      <w:r>
        <w:rPr>
          <w:rFonts w:ascii="Times New Roman;serif" w:hAnsi="Times New Roman;serif"/>
          <w:b w:val="false"/>
          <w:color w:val="000000"/>
          <w:sz w:val="20"/>
        </w:rPr>
        <w:t>per share (th</w:t>
      </w:r>
      <w:r>
        <w:rPr>
          <w:rFonts w:ascii="Times New Roman;serif" w:hAnsi="Times New Roman;serif"/>
          <w:b w:val="false"/>
          <w:color w:val="000000"/>
          <w:sz w:val="20"/>
          <w:shd w:fill="FFFFFF" w:val="clear"/>
        </w:rPr>
        <w:t xml:space="preserve">e “Warrants” as further defined in </w:t>
      </w:r>
      <w:r>
        <w:rPr>
          <w:rFonts w:ascii="Times New Roman;serif" w:hAnsi="Times New Roman;serif"/>
          <w:b w:val="false"/>
          <w:color w:val="000000"/>
          <w:sz w:val="20"/>
        </w:rPr>
        <w:t>Note 9</w:t>
      </w:r>
      <w:r>
        <w:rPr>
          <w:rFonts w:ascii="Times New Roman;serif" w:hAnsi="Times New Roman;serif"/>
          <w:b w:val="false"/>
          <w:color w:val="000000"/>
          <w:sz w:val="20"/>
          <w:shd w:fill="FFFFFF" w:val="clear"/>
        </w:rPr>
        <w:t xml:space="preserve">) began trading on Nasdaq under the symbols “LUNR” and “LUNRW,” respectively. </w:t>
      </w:r>
      <w:r>
        <w:rPr>
          <w:rFonts w:ascii="Times New Roman;serif" w:hAnsi="Times New Roman;serif"/>
          <w:b w:val="false"/>
          <w:color w:val="000000"/>
          <w:sz w:val="20"/>
        </w:rPr>
        <w:t xml:space="preserve">On February 4, 2025, the Company announced the redemption of all of its outstanding publicly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Warrants. In connection with the redemption, the unexercised Warrants ceased trading on the Nasdaq and were delisted, with the suspension of trading effective before the market opened on March 6, 2025. Refer to Note 9 - Warrants for more information on the redemption.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160" w:after="283"/>
        <w:jc w:val="both"/>
        <w:rPr/>
      </w:pPr>
      <w:r>
        <w:rPr>
          <w:rFonts w:ascii="Times New Roman;serif" w:hAnsi="Times New Roman;serif"/>
          <w:b w:val="false"/>
          <w:color w:val="000000"/>
          <w:sz w:val="20"/>
        </w:rPr>
        <w:t>The Company’s unaudited condensed consolidated financial statements and related notes have been prepared in accordance with United States generally accepted accounting principles (“U.S. GAAP”) for interim reporting and pursuant to the rules and regulations of the SEC. Certain information and footnote disclosures normally included in annual financial statements prepared in accordance with U.S. GAAP have been condensed or omitted pursuant to such rules and regulations relating to interim financial statements. Our condensed consolidated financial statements include the accounts of Intuitive Machines, Space Network Solutions, LLC (“SNS” or “Space Network Solu</w:t>
      </w:r>
      <w:r>
        <w:rPr>
          <w:rFonts w:ascii="Times New Roman;serif" w:hAnsi="Times New Roman;serif"/>
          <w:b w:val="false"/>
          <w:color w:val="000000"/>
          <w:sz w:val="20"/>
          <w:shd w:fill="FFFFFF" w:val="clear"/>
        </w:rPr>
        <w:t xml:space="preserve">tions”) a majority-owned subsidiary, </w:t>
      </w:r>
      <w:r>
        <w:rPr>
          <w:rFonts w:ascii="Times New Roman;serif" w:hAnsi="Times New Roman;serif"/>
          <w:b w:val="false"/>
          <w:color w:val="000000"/>
          <w:sz w:val="20"/>
        </w:rPr>
        <w:t xml:space="preserve">and IX, LLC, a variable interest entity (“VIE”) for which we are the primary beneficiary. All intercompany balances and transactions have been eliminated in consolidation. </w:t>
      </w:r>
    </w:p>
    <w:p>
      <w:pPr>
        <w:pStyle w:val="TextBody"/>
        <w:bidi w:val="0"/>
        <w:spacing w:lineRule="auto" w:line="288" w:before="160" w:after="283"/>
        <w:jc w:val="both"/>
        <w:rPr/>
      </w:pPr>
      <w:r>
        <w:rPr>
          <w:rFonts w:ascii="Times New Roman;serif" w:hAnsi="Times New Roman;serif"/>
          <w:b w:val="false"/>
          <w:color w:val="000000"/>
          <w:sz w:val="20"/>
        </w:rPr>
        <w:t>The accompanying unaudited condensed consolidated financial state</w:t>
      </w:r>
      <w:r>
        <w:rPr>
          <w:rFonts w:ascii="Times New Roman;serif" w:hAnsi="Times New Roman;serif"/>
          <w:b w:val="false"/>
          <w:color w:val="000000"/>
          <w:sz w:val="20"/>
          <w:shd w:fill="FFFFFF" w:val="clear"/>
        </w:rPr>
        <w:t xml:space="preserve">ments should be read in conjunction with the Company’s audited consolidated financial statements as of and for the years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contained in our Annual Report on Form 10-K, filed with the SEC on </w:t>
      </w:r>
      <w:r>
        <w:rPr>
          <w:rFonts w:ascii="Times New Roman;serif" w:hAnsi="Times New Roman;serif"/>
          <w:b w:val="false"/>
          <w:color w:val="000000"/>
          <w:sz w:val="20"/>
        </w:rPr>
        <w:t>March 25, 2025</w:t>
      </w:r>
      <w:r>
        <w:rPr>
          <w:rFonts w:ascii="Times New Roman;serif" w:hAnsi="Times New Roman;serif"/>
          <w:b w:val="false"/>
          <w:color w:val="000000"/>
          <w:sz w:val="20"/>
          <w:shd w:fill="FFFFFF" w:val="clear"/>
        </w:rPr>
        <w:t>. O</w:t>
      </w:r>
      <w:r>
        <w:rPr>
          <w:rFonts w:ascii="Times New Roman;serif" w:hAnsi="Times New Roman;serif"/>
          <w:b w:val="false"/>
          <w:color w:val="000000"/>
          <w:sz w:val="20"/>
        </w:rPr>
        <w:t>perating results for the three and nine months ended September 30, 2025 are not necessarily indicative of the results that may be expected for the year ending December 31, 2025. Management’s opinion is that all adjustments for a fair statement of the results for the interim periods have been made, and all adjustments are of a normal recurring nature or a description of the nature and amount of any adjustments other than normal recurring adjustments have been appropriately disclosed.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prior period amounts have been reclassified to conform to current period presentation. These reclassifications did not result in any changes to previously reported net income. The Company reclassed a certain amount to a separate line item in the condensed consolidated statement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did not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As of June 30, 2025, our aggregate worldwide market value of common equity held by non-affiliates exceeded $700 million. As we meet all other applicable criteria in the Securities Exchange Act of 1934, as amended, we will lose EGC status and become a large accelerated filer as of December 31, 2025.</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us to make estimates and assumptions that affect the amounts reported in the condensed consolidated financial statements and the accompanying notes. Due to the inherent uncertainty involved in making estimates, actual results could differ from those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 See Note 16 - Segment Information for additional disclosures on segment reporting.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Concentration of Credit Risks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Major customers are defined as those individually comprising more than 10% of the Company’s total revenue. There was one major customer that accounted for 72% and 78% , respectively, of the Company’s total revenue for the three and nine months ended September 30, 2025, and accounted for 90% and 91%, respectively, of the Company’s total revenue for the three and nine months ended September 30, 2024. There were three major customers that accounted for 35%, 14%, and 13% of the accounts receivable balance as of September 30, 2025 and there was one major customer that accounted for 90% of the accounts receivable balance as of December 31, 2024.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Major suppliers are defined as those individually comprising more than 10% of the annual goods or services purchased. There was one major supplier that accounted for 28% and 11% the goods and services purchased during the three and nine months ended September 30, 2025, respectively. There was one major supplier that accounted for 14% of the goods and services purchased for the nine months ended September 30, 2024, and no major supplier during the three months ended September 30, 2024. As of September 30, 2025, there was no major supplier, and there was one major supplier as of December 31, 2024 that accounted for 14% of the accounts payable balance.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Grants</w:t>
      </w:r>
    </w:p>
    <w:p>
      <w:pPr>
        <w:pStyle w:val="TextBody"/>
        <w:bidi w:val="0"/>
        <w:spacing w:lineRule="auto" w:line="288" w:before="160" w:after="283"/>
        <w:jc w:val="both"/>
        <w:rPr/>
      </w:pPr>
      <w:r>
        <w:rPr>
          <w:rFonts w:ascii="Times New Roman;serif" w:hAnsi="Times New Roman;serif"/>
          <w:b w:val="false"/>
          <w:color w:val="000000"/>
          <w:sz w:val="20"/>
        </w:rPr>
        <w:t xml:space="preserve">From time to time, the Company may be awarded government grants. U.S. GAAP does not have specific accounting standards covering government grants to business entities. The Company applies International Accounting Standards 20 (“IAS 20”), </w:t>
      </w:r>
      <w:r>
        <w:rPr>
          <w:rFonts w:ascii="Times New Roman;serif" w:hAnsi="Times New Roman;serif"/>
          <w:b w:val="false"/>
          <w:i/>
          <w:color w:val="000000"/>
          <w:sz w:val="20"/>
        </w:rPr>
        <w:t>Accounting for Government Grants and Disclosure of Government Assistance</w:t>
      </w:r>
      <w:r>
        <w:rPr>
          <w:rFonts w:ascii="Times New Roman;serif" w:hAnsi="Times New Roman;serif"/>
          <w:b w:val="false"/>
          <w:color w:val="000000"/>
          <w:sz w:val="20"/>
        </w:rPr>
        <w:t xml:space="preserve">, by analogy when accounting for government grants. Under IAS 20, government grants or awards are initially recognized when there is reasonable assurance the conditions of the grant or award will be met and the grant or award will be received. After initial recognition, government grants or awards are recognized as income under revenue within the statement of operations on a systematic basis in a manner consistent with the manner in which the Company recognizes the underlying costs included in the cost of revenue within the statement of operations for which the grant or award is intended to compensate. A grant receivable is recognized for expenses incurred but for which grant funding has not yet been received. The Company follows ASC 832, </w:t>
      </w:r>
      <w:r>
        <w:rPr>
          <w:rFonts w:ascii="Times New Roman;serif" w:hAnsi="Times New Roman;serif"/>
          <w:b w:val="false"/>
          <w:i/>
          <w:color w:val="000000"/>
          <w:sz w:val="20"/>
        </w:rPr>
        <w:t>Disclosures by Business Entities about Government Assistance</w:t>
      </w:r>
      <w:r>
        <w:rPr>
          <w:rFonts w:ascii="Times New Roman;serif" w:hAnsi="Times New Roman;serif"/>
          <w:b w:val="false"/>
          <w:color w:val="000000"/>
          <w:sz w:val="20"/>
        </w:rPr>
        <w:t>, with respect to the disclosures of governmental grants or awards. See Note 3 - Revenue for further discussion on government grants.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Long-Lived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For the three and nine months ended September 30, 2024, we recorded impairment charges of approximately $5.0 million within our condensed consolidated statements of operations associated with construction in progress of certain assets under development by a third party subcontractor that were not in compliance according to the specifications under contract. No impairment charges were recorded for the three and nine months ended September 30, 2025. See Note 4 for further discussion of our impairment loss on property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Earn-Out Liabilities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Unvested earn out units of Intuitive Machines, LLC (“Earn Out Units”) are classified as liability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shareholders’ equity (deficit) on the consolidated balance sheet. As of the Closing Date, the Earn Out Units had a fair value of $99.7 million. As a result of the OMES III Contract award by the National Aeronautics and Space Administration (“NASA”) in May 2023, Triggering Event I under the earn out agreement vested resulting in the issuance of 2,500,000 shares of Intuitive Machines Class C common stock, par value $0.0001 per share (the “Class C Common Stock”) with a fair value of approximately $19.4 million to the applicable Intuitive Machines, LLC Members resulting in a reduction to earn-out liabilities and an increase to shareholders’ deficit. In February 2025, the Triggering Events II-A and III were met, resulting in the issuance of 5,000,000 and 2,500,000, respectively, shares of Class C Common Stock with an aggregate fair value of approximately $167.5 million, resulting in a reduction to earn-out liabilities and an increase to shareholders’ deficit. See Note 11 - Fair Value Measurements for additional information related to the changes in fair value and conversions to equity of the earn-out liabilities. As of September 30, 2025, all of the Earn Out Units have vested and the earn-out liabilities no longer exist.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as of September 30, 2025 and for the three and nine months ended September 30, 2025 and 2024, and related notes were prepared on the basis of a going concern, which contemplates that the Company will be able to realize assets and discharge liabilities in the normal course of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cash and cash equivalents of $622.0 million and working capital of $560.0 million. The Company invests excess cash in highly liquid, low risk interest-bearing overnight sweep and demand deposit accounts with major financial institutions. The Company has historically funded its operations through internally generated cash on hand, proceeds from sales of its capital stock, proceeds from warrant exercises, and proceeds from the issuance of bank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2025, the Company issued $345.0 million aggregate principal amount of 2.500% convertible senior notes due 2030 (the “Convertible Notes”).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 The net proceeds of the Convertible Notes were $334.6 million after deducting the initial purchasers’ discount and commissions and the offering expenses payable by the Company and we used approximately $36.8 million of the net proceeds to pay the cost of the capped call transactions (as further defined in Note 6 - Debt). For further information on the Convertible Notes refer to Note 6 - Debt.</w:t>
      </w:r>
    </w:p>
    <w:p>
      <w:pPr>
        <w:pStyle w:val="TextBody"/>
        <w:bidi w:val="0"/>
        <w:spacing w:lineRule="auto" w:line="288" w:before="160" w:after="283"/>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n March 4, 2025, we entered into a loan and security agreement with Stifel Bank which provides for a secured revolving credit facility in an aggregate principal amount of up to $40.0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 the revolving credit facility remains unborrowed. See Note 6 - Debt for additional information on this loan and security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the Company entered into a definitive agreement to acquire 100% of the issued and outstanding membership interests of Lanteris Space Holdings LLC, formerly Maxar Space Systems, a spacecraft manufacturer, from Advent International LLC. The aggregate consideration for the acquisition is $800 million, consisting of $450 million in cash and $350 million in the Company’s Class A Common Stock, subject to adjustments. The transaction is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close in the first quarter of 2026, subject to customary regulatory approvals and closing conditions. See Note 17 - Subsequent Events for additional information on this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cash and cash equivalents as of September 30, 2025 and the liquidity provided under the Convertible Notes and the Stifel revolving credit facility, will be sufficient to fund the short-term liquidity needs and the execution of the business plan through at least the twelve-month period from the date the financial statements are issued. </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which focuses on the rate reconciliation and income taxes paid.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business entities, the new standard is effective for annual periods beginning after December 15, 2024, with early adoption permitted. An entity may apply the amendments in this ASU prospectively by providing the revised disclosures for the period ending December 31, 2025, and continue to provide the pre-ASU disclosures for the prior periods or may apply the amendments retrospectively by providing the revised disclosures for all period presented. This ASU requires additional disclosures and, accordingly, the Company does not expect the adoption of ASU 2023-09 to have a material effect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 Debt with Conversion and Other Options (Subtopic 470-20): Induced Conversions of Convertible Debt Instruments, which clarifies the requirements for determining whether to account for certain early settlements of convertible debt instruments as induced conversions or extinguishments. The standard is effective for fiscal years beginning after December 15, 2025, and interim reporting periods within those fiscal years. Early adoption is permitted. The standard can be applied either prospectively or retrospectively. The Company is currently evaluating the impact of the standard on the presentation of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FASB issued ASU 2025-06, Intangibles - Goodwill and Other - Internal-Use Software (Subtopic 350-40): Targeted Improvements to the Accounting for Internal-Use Software. ASU 2025-06 modernizes the accounting for internal-use software costs by eliminating the prescriptive and sequential development stage model and introducing a principles-based framework requiring companies to capitalize internal-use software costs when management commits to funding the software project and it is probable the project will be completed. The amendment is effective for annual reporting periods beginning after December 15, 2027, and interim reporting periods within those annual reporting periods. Early adoption is permitted. The Company is currently evaluating the potential impacts of adopting this ASU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other current liabilities consisted of the following (in thousands):</w:t>
      </w:r>
    </w:p>
    <w:p>
      <w:pPr>
        <w:pStyle w:val="TextBody"/>
        <w:bidi w:val="0"/>
        <w:spacing w:before="0" w:after="0"/>
        <w:jc w:val="both"/>
        <w:rPr/>
      </w:pPr>
      <w:r>
        <w:rPr/>
      </w:r>
    </w:p>
    <w:tbl>
      <w:tblPr>
        <w:tblW w:w="5108" w:type="dxa"/>
        <w:jc w:val="left"/>
        <w:tblInd w:w="0" w:type="dxa"/>
        <w:tblLayout w:type="fixed"/>
        <w:tblCellMar>
          <w:top w:w="28" w:type="dxa"/>
          <w:left w:w="28" w:type="dxa"/>
          <w:bottom w:w="28" w:type="dxa"/>
          <w:right w:w="28" w:type="dxa"/>
        </w:tblCellMar>
      </w:tblPr>
      <w:tblGrid>
        <w:gridCol w:w="788"/>
        <w:gridCol w:w="690"/>
        <w:gridCol w:w="696"/>
        <w:gridCol w:w="231"/>
        <w:gridCol w:w="790"/>
        <w:gridCol w:w="119"/>
        <w:gridCol w:w="109"/>
        <w:gridCol w:w="109"/>
        <w:gridCol w:w="109"/>
        <w:gridCol w:w="222"/>
        <w:gridCol w:w="759"/>
        <w:gridCol w:w="114"/>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accruals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accruals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interest payable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contract type. The following table provides information about disaggregated revenue for the three and nine months ended September 30, 2025 and 2024 (in thousands):</w:t>
      </w:r>
    </w:p>
    <w:tbl>
      <w:tblPr>
        <w:tblW w:w="10827" w:type="dxa"/>
        <w:jc w:val="left"/>
        <w:tblInd w:w="0" w:type="dxa"/>
        <w:tblLayout w:type="fixed"/>
        <w:tblCellMar>
          <w:top w:w="28" w:type="dxa"/>
          <w:left w:w="28" w:type="dxa"/>
          <w:bottom w:w="28" w:type="dxa"/>
          <w:right w:w="28" w:type="dxa"/>
        </w:tblCellMar>
      </w:tblPr>
      <w:tblGrid>
        <w:gridCol w:w="634"/>
        <w:gridCol w:w="268"/>
        <w:gridCol w:w="26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Revenue by contract type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reimbursable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Time and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Revenue from contracts with customers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Grant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Assets and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condensed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condensed consolidated balance sheets. Long-term deferred revenue and provisions for loss contracts are recorded in long-term contract liabilities on our condensed consolidated balance sheets.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assets as of September 30, 2025 and December 31, 2024 (in thousands):</w:t>
      </w:r>
    </w:p>
    <w:tbl>
      <w:tblPr>
        <w:tblW w:w="4571" w:type="dxa"/>
        <w:jc w:val="left"/>
        <w:tblInd w:w="0" w:type="dxa"/>
        <w:tblLayout w:type="fixed"/>
        <w:tblCellMar>
          <w:top w:w="28" w:type="dxa"/>
          <w:left w:w="28" w:type="dxa"/>
          <w:bottom w:w="28" w:type="dxa"/>
          <w:right w:w="28" w:type="dxa"/>
        </w:tblCellMar>
      </w:tblPr>
      <w:tblGrid>
        <w:gridCol w:w="711"/>
        <w:gridCol w:w="624"/>
        <w:gridCol w:w="630"/>
        <w:gridCol w:w="231"/>
        <w:gridCol w:w="790"/>
        <w:gridCol w:w="119"/>
        <w:gridCol w:w="109"/>
        <w:gridCol w:w="109"/>
        <w:gridCol w:w="109"/>
        <w:gridCol w:w="221"/>
        <w:gridCol w:w="757"/>
        <w:gridCol w:w="16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associated with deferred contract costs for subcontracted launch services was recorded in cost of revenue and was $7.1 million and $22.7 million for the three and nine months ended September 30, 2025, respectively and $1.5 million and $6.5 million for the three and nine months ended September 30, 2024, respectively. Launch delay fees are recorded directly to the cost of revenue and were none and $2.3 million for the three and nine months ended September 30, 2025, respectively, and $1.0 million and $2.2 million for the three and nine months ended September 30,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liabilities as of September 30, 2025 and December 31, 2024 (in thousands):</w:t>
      </w:r>
    </w:p>
    <w:tbl>
      <w:tblPr>
        <w:tblW w:w="5681" w:type="dxa"/>
        <w:jc w:val="left"/>
        <w:tblInd w:w="0" w:type="dxa"/>
        <w:tblLayout w:type="fixed"/>
        <w:tblCellMar>
          <w:top w:w="28" w:type="dxa"/>
          <w:left w:w="28" w:type="dxa"/>
          <w:bottom w:w="28" w:type="dxa"/>
          <w:right w:w="28" w:type="dxa"/>
        </w:tblCellMar>
      </w:tblPr>
      <w:tblGrid>
        <w:gridCol w:w="1115"/>
        <w:gridCol w:w="978"/>
        <w:gridCol w:w="982"/>
        <w:gridCol w:w="231"/>
        <w:gridCol w:w="790"/>
        <w:gridCol w:w="119"/>
        <w:gridCol w:w="109"/>
        <w:gridCol w:w="109"/>
        <w:gridCol w:w="109"/>
        <w:gridCol w:w="221"/>
        <w:gridCol w:w="757"/>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liabilities – current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launch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 – current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liabilities – long-term</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 – long-term</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period was $40.9 million and $8.4 million during the nine months ended September 30, 2025 and 2024,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Loss Contracts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 contract loss occurs when the current estimate of the consideration that we expect to receive is less than the current estimate of total estimating costs to complete the contract. For purposes of determining the existence of or amount of a contract loss, we consider total contract consideration, including any variable consideration constrained for revenue recognition purposes. We may experience favorable or unfavorable changes to contract losses from time to time due to changes in estimated contract costs and modifications that result in changes to contract price. We recorded net losses related to contracts with customers of $1.7 million and $23.9 million for the three and nine months ended September 30, 2025, respectively, and $1.7 million and $22.8 million for the three and nine months ended September 30, 2024,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status of these loss contracts was as follows: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Our IM-1 mission contract for lunar payload services became a loss contract due to estimated contract costs exceeding the estimated amount of consideration that we expected to receive. The contract was successfully completed in February 2024</w:t>
      </w:r>
      <w:r>
        <w:rPr>
          <w:rFonts w:ascii="Times New Roman;serif" w:hAnsi="Times New Roman;serif"/>
          <w:b w:val="false"/>
          <w:color w:val="000000"/>
          <w:sz w:val="20"/>
          <w:shd w:fill="FFFFFF" w:val="clear"/>
        </w:rPr>
        <w:t xml:space="preserve">. As a result of a successful mission, previously constrained variable consideration of $12.3 million as of December 31, 2023 was released and approximately </w:t>
      </w:r>
      <w:r>
        <w:rPr>
          <w:rFonts w:ascii="Times New Roman;serif" w:hAnsi="Times New Roman;serif"/>
          <w:b w:val="false"/>
          <w:color w:val="000000"/>
          <w:sz w:val="20"/>
        </w:rPr>
        <w:t>$11.6 million</w:t>
      </w:r>
      <w:r>
        <w:rPr>
          <w:color w:val="000000"/>
          <w:shd w:fill="FFFFFF" w:val="clear"/>
        </w:rPr>
        <w:t xml:space="preserve"> </w:t>
      </w:r>
      <w:r>
        <w:rPr>
          <w:rFonts w:ascii="Times New Roman;serif" w:hAnsi="Times New Roman;serif"/>
          <w:b w:val="false"/>
          <w:color w:val="000000"/>
          <w:sz w:val="20"/>
          <w:shd w:fill="FFFFFF" w:val="clear"/>
        </w:rPr>
        <w:t xml:space="preserve">was recognized as revenue during the first quarter of 2024. </w:t>
      </w:r>
      <w:r>
        <w:rPr>
          <w:rFonts w:ascii="Times New Roman;serif" w:hAnsi="Times New Roman;serif"/>
          <w:b w:val="false"/>
          <w:color w:val="000000"/>
          <w:sz w:val="20"/>
        </w:rPr>
        <w:t xml:space="preserve">For the nine months ended September 30, 2024 changes in estimated contract costs resulted in an additional of $5.7 million in contract loss.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Our IM-2 mission contract for lunar payload services, became a loss contract in 2023 due to estimated contract costs exceeding the estimated amount of consideration that we expected to receive. The IM-2 mission associated with this contract was completed in March 2025. For the nine months ended September 30, 2025 and 2024, changes in estimated contract costs resulted in an additional $1.0 million and $7.2 million in contract loss, respectively. During the third quarter of 2025, the IM-2 mission contract was closed-out and we recognized revenue of approximately $5.5 million. As of December 31, 2024, the contract loss provision recorded in contract liabilities, current in our condensed consolidated balance sheets was $0.9 million, and there was no contract loss provision remaining as of September 30, 2025.</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Our IM-3 mission contract for lunar payload services became a loss contract in 2021 due to estimated contract costs exceeding the estimated amount of consideration that we expected to receive. For the nine months ended September 30, 2025 and 2024, changes in estimated contract costs resulted in an additional $19.6 million and $9.9 million in contract loss, respectively. The increase in estimated contract costs was primarily driven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alignment of the mission schedule with the completion of an internally-developed satellite to be placed in lunar orbit to meet NSNS contract obligations. The period of performance for this contract currently runs through June 2026. However, these efforts are expected to extend the mission launch window to the second half of 2026. As of September 30, 2025, this contract was approximately 80% complete. As of September 30, 2025 and December 31, 2024, the contract loss provision recorded in contract liabilities, current was $7.9 million and $7.0 million, respectively, and $0.4 million and zero, respectively, in contract liabilities, non-current in our condensed consolidated balance sheets.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Our IM-4 mission contract for lunar payload services, became a loss contract during the second quarter of 2025 due to estimated contract costs exceeding the estimated amount of consideration that we expect to receive. For the nine months ended September 30, 2025, changes in estimated contract costs resulted in $3.3 million in contract loss. As of September 30, 2025 this contract was approximately 24% complete. The period of performance for this contract currently runs through August 2028. As of September 30, 2025, the contract loss provision recorded in contract liabilities, current was $1.3 million and $1.2 million in contract liabilities, non-current in our condensed consolidated balance sheets.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The remaining loss contracts are individually and collectively immaterial.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remaining transaction price of firm orders for which work has not been performed and excludes unexercised contract options. As of September 30, 2025, the aggregate amount of the transaction price allocated to remaining fixed price performance obligations was $119.3 million. The Company expects to recognize revenue on approximately 10-15% of the remaining performance obligations over the remaining 3 months in 2025, 55-60% in 2026 and the remaining thereafter. Remaining performance obligations do not include variable consideration that was determined to be constrained as of September 30, 2025 due to the uncertainty of achieving performance milestones or other factors not yet resolved.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time and materials contracts and cost reimbursable contracts, we have adopted the practical expedient that allows us to recognize revenue based on our right to invoice; therefore, we do not report unfulfilled performance obligations for time and materials and cost reimbursable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Grant Revenue and Related Matters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Texas Space Commission (“TSC”) selected Intuitive Machines for a grant up to $10.0 million from the Space Exploration and Research Fund. This funding supports the development of an Earth reentry vehicle and orbital fabrication lab designed to enable microgravity biomanufacturing and is intended to serve as a critical risk-reduction platform for the Company’s future lunar sample return missions. Under the TSC grant, the Company will apply up to $10.0 million in funds pursuant to budget periods defined in the TSC award through June 30, 2026 as reimbursement for costs incurred in completing the tasks, specified by the Company, to complete the design of the Earth reentry vehicle. The TSC can terminate the TSC award for convenience. Under such a termination, the Company will be permitted to seek reimbursement of valid costs incurred through the date of termination. During the three and nine months ended September 30, 2025, the Company recognized grant revenue of $1.5 million and corresponding expenses included in cost of revenue on the condensed consolidated statement of operations. As of September 30, 2025, the grant receivable was $1.5 million, and is included in trade accounts receivables on the condensed consolidated balance sheet.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PROPERTY AND EQUIPMENT,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property and equipment, net consisted of the following (in thousands):</w:t>
      </w:r>
    </w:p>
    <w:tbl>
      <w:tblPr>
        <w:tblW w:w="6716" w:type="dxa"/>
        <w:jc w:val="left"/>
        <w:tblInd w:w="0" w:type="dxa"/>
        <w:tblLayout w:type="fixed"/>
        <w:tblCellMar>
          <w:top w:w="28" w:type="dxa"/>
          <w:left w:w="28" w:type="dxa"/>
          <w:bottom w:w="28" w:type="dxa"/>
          <w:right w:w="28" w:type="dxa"/>
        </w:tblCellMar>
      </w:tblPr>
      <w:tblGrid>
        <w:gridCol w:w="1488"/>
        <w:gridCol w:w="1308"/>
        <w:gridCol w:w="1314"/>
        <w:gridCol w:w="231"/>
        <w:gridCol w:w="790"/>
        <w:gridCol w:w="119"/>
        <w:gridCol w:w="109"/>
        <w:gridCol w:w="109"/>
        <w:gridCol w:w="109"/>
        <w:gridCol w:w="221"/>
        <w:gridCol w:w="757"/>
        <w:gridCol w:w="16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trailers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depreciation expense related to property and equipment for the three and nine months ended September 30, 2025 was $0.8 million and $2.2 million, respectively, and $0.5 million and $1.3 million, respectively, for the three and nine months ended September 30,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construction in progress includes $32.7 million in capitalized costs associated with the fabrication and development of communications satellites and ground network assets, primarily in support of the NSNS contract within our Data Transmission Services business. During the third quarter of 2024, management determined that certain assets under development by a third party subcontractor were not in compliance according to the specifications under contract. Management concluded that carrying cost of these assets was not recoverable and recorded an impairment charge of approximately $5.0 million, including capitalized interest of $0.5 million, in our condensed consolidated statements of operations for the three and nine months ended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real estate for administrative office space, research, marketing and light manufacturing operations of the lessee’s aerospace related research and development business under operating leases.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five real estate leases with lease terms ranging from 52 months to 313 months and seven equipment leases (of which six are finance leases) with lease terms ranging from 36 months to 60 months, some of which contain options to extend and some of which contain options to terminate the lease without cause at the option of lessee.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Lunar Production and Operations Center Expansion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July 2025, we executed an amendment to our ground lease agreement to expand our Lunar Production and Operations Center (“LPOC”) at the Houston Spaceport at Ellington Airport. The expansion calls for an additional investment of approximately $12.6 million by the Company for the construction of new production and testing facilities, plus support infrastructure, to scale our lunar lander assembly, Earth-reentry systems, Lunar Terrain Vehicle development, and NASA’s Near Space Network Services. The amendment expands the total leased project site by an additional tract of approximately 3.0 acres. The amendment extends the lease term from 20 years to 25 years (ending October 2048), with three optional renewal periods of 5 years each, and reduces the right-of-use assets and liabilities by approximately $7.1 million. The Company accounted for this amendment as a lease modification by remeasuring the right-of-use assets and liabilities as of the effective date. Should construction costs exceed the estimated expansion investment, the Company will consider and account for the excess as variable lease payments or, if the excess costs are significant, the Company will remeasure the lease liability and right-of-use asset. Furthermore, the amendment includes lease components that have not yet commenced. The Company expects to recognize additional lease liabilities of approximately $7.9 million as the expansion phases are completed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Spaceport Facility Lease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executed a sublease for additional office and production space at the Houston Spaceport at Ellington Airport totaling approximately 116,000 square feet. The leased production space includes turn-key production equipment, including test facilities, that allow for an efficient and cost-effective expansion of our manufacturing capabilities. The lease agreement has a remaining term of 7 years. As of September 30, 2025, the Company recorded operating right-of-use assets of $6.5 million and operating lease liabilities of $6.7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total lease expense are as follows (in thousands):</w:t>
      </w:r>
    </w:p>
    <w:tbl>
      <w:tblPr>
        <w:tblW w:w="7446" w:type="dxa"/>
        <w:jc w:val="left"/>
        <w:tblInd w:w="0" w:type="dxa"/>
        <w:tblLayout w:type="fixed"/>
        <w:tblCellMar>
          <w:top w:w="28" w:type="dxa"/>
          <w:left w:w="28" w:type="dxa"/>
          <w:bottom w:w="28" w:type="dxa"/>
          <w:right w:w="28" w:type="dxa"/>
        </w:tblCellMar>
      </w:tblPr>
      <w:tblGrid>
        <w:gridCol w:w="651"/>
        <w:gridCol w:w="572"/>
        <w:gridCol w:w="576"/>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supplemental cash flow information are as follows (in thousands):</w:t>
      </w:r>
    </w:p>
    <w:tbl>
      <w:tblPr>
        <w:tblW w:w="10205" w:type="dxa"/>
        <w:jc w:val="left"/>
        <w:tblInd w:w="0" w:type="dxa"/>
        <w:tblLayout w:type="fixed"/>
        <w:tblCellMar>
          <w:top w:w="28" w:type="dxa"/>
          <w:left w:w="28" w:type="dxa"/>
          <w:bottom w:w="28" w:type="dxa"/>
          <w:right w:w="28" w:type="dxa"/>
        </w:tblCellMar>
      </w:tblPr>
      <w:tblGrid>
        <w:gridCol w:w="1630"/>
        <w:gridCol w:w="1413"/>
        <w:gridCol w:w="1421"/>
        <w:gridCol w:w="242"/>
        <w:gridCol w:w="708"/>
        <w:gridCol w:w="311"/>
        <w:gridCol w:w="109"/>
        <w:gridCol w:w="109"/>
        <w:gridCol w:w="109"/>
        <w:gridCol w:w="259"/>
        <w:gridCol w:w="500"/>
        <w:gridCol w:w="333"/>
        <w:gridCol w:w="109"/>
        <w:gridCol w:w="109"/>
        <w:gridCol w:w="109"/>
        <w:gridCol w:w="242"/>
        <w:gridCol w:w="708"/>
        <w:gridCol w:w="311"/>
        <w:gridCol w:w="109"/>
        <w:gridCol w:w="109"/>
        <w:gridCol w:w="109"/>
        <w:gridCol w:w="257"/>
        <w:gridCol w:w="495"/>
        <w:gridCol w:w="394"/>
      </w:tblGrid>
      <w:tr>
        <w:trPr/>
        <w:tc>
          <w:tcPr>
            <w:tcW w:w="163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amounts included in the measurement of lease liabilities:</w:t>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obtained in exchange for new lease liabilities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reduced due to lease modifications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Weighted average remaining lease term (months)</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Weighted average discount rate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operating and finance lease ROU assets, current operating lease liabilities, current finance lease liabilities, non-current operating lease liabilities, and non-current finance lease liabilities are disclosed in our condensed consolidated balance sheets.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estimated future undiscounted cash flows for operating and finance leases as of September 30, 2025 (in thousands):</w:t>
      </w:r>
    </w:p>
    <w:tbl>
      <w:tblPr>
        <w:tblW w:w="5440" w:type="dxa"/>
        <w:jc w:val="left"/>
        <w:tblInd w:w="0" w:type="dxa"/>
        <w:tblLayout w:type="fixed"/>
        <w:tblCellMar>
          <w:top w:w="28" w:type="dxa"/>
          <w:left w:w="28" w:type="dxa"/>
          <w:bottom w:w="28" w:type="dxa"/>
          <w:right w:w="28" w:type="dxa"/>
        </w:tblCellMar>
      </w:tblPr>
      <w:tblGrid>
        <w:gridCol w:w="1080"/>
        <w:gridCol w:w="949"/>
        <w:gridCol w:w="956"/>
        <w:gridCol w:w="251"/>
        <w:gridCol w:w="984"/>
        <w:gridCol w:w="129"/>
        <w:gridCol w:w="109"/>
        <w:gridCol w:w="109"/>
        <w:gridCol w:w="109"/>
        <w:gridCol w:w="222"/>
        <w:gridCol w:w="380"/>
        <w:gridCol w:w="162"/>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Finance </w:t>
              <w:br/>
              <w:t>Leases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outstanding debt (in thousands):</w:t>
      </w:r>
    </w:p>
    <w:tbl>
      <w:tblPr>
        <w:tblW w:w="5806" w:type="dxa"/>
        <w:jc w:val="left"/>
        <w:tblInd w:w="0" w:type="dxa"/>
        <w:tblLayout w:type="fixed"/>
        <w:tblCellMar>
          <w:top w:w="28" w:type="dxa"/>
          <w:left w:w="28" w:type="dxa"/>
          <w:bottom w:w="28" w:type="dxa"/>
          <w:right w:w="28" w:type="dxa"/>
        </w:tblCellMar>
      </w:tblPr>
      <w:tblGrid>
        <w:gridCol w:w="1157"/>
        <w:gridCol w:w="1017"/>
        <w:gridCol w:w="1020"/>
        <w:gridCol w:w="211"/>
        <w:gridCol w:w="826"/>
        <w:gridCol w:w="109"/>
        <w:gridCol w:w="109"/>
        <w:gridCol w:w="109"/>
        <w:gridCol w:w="109"/>
        <w:gridCol w:w="311"/>
        <w:gridCol w:w="599"/>
        <w:gridCol w:w="229"/>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18, 2025, the Company issued $345.0 million aggregate principal amount of 2.500% convertible senior notes due 2030.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Convertible Notes are convertible at the option of the holders at any time prior to the close of business on the business day immediately preceding July 1, 2030 only under the following conditions: (1) during any calendar quarter commencing after the calendar quarter ending on December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(the “Measurement Period”) in which the trading price per $1,000 principal amount of the Convertible Notes for each trading day of the Measurement Period was less than 98% of the product of the last reported sale price of the Class A Common Stock and the conversion rate on each such trading day; (3) if the Company issues a notice of redemption, at any time prior to the close of business on the scheduled trading day immediately preceding the redemption date; or (4) upon the occurrence of specified corporate events. On or after July 1, 2030 until the close of business on the second scheduled trading day immediately preceding the maturity date, holders may convert all or any portion of their notes at any time, in integral multiples of $1,000 principal amount, at the option of the holder regardless of the foregoing conditions. Upon conversion, the Company may satisfy its conversion obligation by paying or delivering, as the case may be, cash, shares of Class A Common Stock or a combination of cash and shares of Class A Common Stock, at the Company’s election.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notes prior to October 6, 2028. The Company may redeem for cash all or any portion of the notes, at the Company’s option, on or after October 6, 2028 and prior to the 26th scheduled trading day immediately preceding the maturity date, but only if the “liquidity condition” (as defined below) is satisfied and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The “liquidity condition” is satisfied if the Company has filed all reports and other materials required to be filed by Section 13 or 15(d) of the Exchange Act, as applicable, during the preceding 12 months, after giving effect to all applicable grace periods thereunder and other than current reports on Form 8-K; or if the Company has elected to settle all conversions by cash settlement. If the Company redeems less than all the outstanding Convertible Notes, at least $75.0 million aggregate principal amount must be outstanding and not subject to redemption as of, and after giving effect to, delivery of the relevant notice of redemption (unless the Company makes an “all notes election” with respect to such partial redemption, in which case such partial redemption limitation shall not apply). No sinking fund is provided for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conversion rate for the Convertible Notes is 76.2631 shares of Class A Common Stock per $1,000 principal amount of the notes, which represents an initial conversion price of approximately $13.1125 per share of Class A Common Stock. The conversion rate and conversion price are subject to customary adjustments upon the occurrence of certain events. In addition, holders who convert their notes in connection with a make-whole fundamental change or a notice of redemption may be entitled to an increase in the conversion rate. For the potential dilutive impact of the Convertible Notes if-converted, refer to Note 12 - Net Loss per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Convertible Notes include customary covenants and certain events of default after which the notes may be declared immediately due and payable and set forth certain types of bankruptcy or insolvency events of default involving the Company after which the notes become automatically due and payable.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 the Company was in compliance with all debt covenant requirements related to the Convertible Notes.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 the aggregate fair value of the Convertible Notes was $368.0 million based on an observable market quote in an active market (Level 2 inputs). Debt discount and issuance costs are comprised of costs incurred in connection with debt issuance and are presented in the accompanying condensed consolidated balance sheet as a deduction to the carrying amount of the debt and amortized using the effective interest method to interest expense over the term of the debt. The conversion feature was evaluated under ASC 815, “Derivatives and Hedging” and ASC 470-20 “Debt with Conversion and Other Options” and was not separated as a derivative because it met the equity scope exception; therefore, the Convertible Notes are accounted for entirely as a liability. During the three and nine months ended September 30, 2025, the effective interest rate on the Convertible Notes, including the impact of the debt discount and issuance costs, was approximately 3.09% and the Company recognized $1.3 million of interest expense related to the Convertible Notes which included the amortization of the debt discount and issuance costs of $0.2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Capped Calls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18, 2025, in connection with the issuance of the Convertible Notes (as described above), the Company entered into capped call transactions (the “Capped Calls”) with certain financial institutions at an aggregate cost of approximately $36.8 million. The Capped Calls cover, subject to anti-dilution adjustments, the number of Class A Common Stock underlying the Convertible Notes. The Capped Calls can be settled in cash or shares at the Company’s option and are expected generally to reduce the potential dilution to the Class A Common Stock upon any conversion of the Convertible Notes and/or offset any cash payments the Company is required to make in excess of the principal amount of the Convertible Notes. The Capped Calls have an initial strike price of $13.1125 and an initial cap price of $20.9800 per share, which are subject to certain adjustments under the terms of the Capped Calls. The Capped Calls meet the criteria for equity classification under ASC 815-40 as they are indexed to the Company’s own stock and require settlement in shares or cash at the Company’s option. The Capped Calls cover approximately 26,310,770 of Class A Common Stock. These instruments are excluded from diluted earnings per share calculations as they are currently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Stifel Loan Agreement</w:t>
      </w:r>
    </w:p>
    <w:p>
      <w:pPr>
        <w:pStyle w:val="TextBody"/>
        <w:bidi w:val="0"/>
        <w:spacing w:lineRule="auto" w:line="268" w:before="120" w:after="283"/>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n March 4, 2025, we entered into a loan and security agreement (the “Loan Agreement”) with Stifel Bank. The Loan Agreement provides for a secured revolving credit facility in an aggregate principal amount of up to $40.0 million (the “Revolving Facility”). The proceeds of the loans (and any letters of credit issued thereunder) may be used for the funding of growth initiatives, including working capital needs and general corporate purposes </w:t>
      </w:r>
      <w:r>
        <w:rPr>
          <w:rFonts w:ascii="Times New Roman;serif" w:hAnsi="Times New Roman;serif"/>
          <w:b w:val="false"/>
          <w:color w:val="000000"/>
          <w:sz w:val="20"/>
          <w:shd w:fill="FFFFFF" w:val="clear"/>
        </w:rPr>
        <w:t>as the Company continues to focus on minimizing its cost of capital while maximizing available funding alternatives.</w:t>
      </w:r>
      <w:r>
        <w:rPr>
          <w:color w:val="000000"/>
        </w:rPr>
        <w:t xml:space="preserve"> </w:t>
      </w:r>
      <w:r>
        <w:rPr>
          <w:rFonts w:ascii="Times New Roman;serif" w:hAnsi="Times New Roman;serif"/>
          <w:b w:val="false"/>
          <w:color w:val="000000"/>
          <w:sz w:val="20"/>
          <w:shd w:fill="FFFFFF" w:val="clear"/>
        </w:rPr>
        <w:t xml:space="preserve">Amounts outstanding under the Revolving Facility bear interest at a rate per annum equal to the greater of (a) Term SOFR (secured overnight financing rate) plus </w:t>
      </w:r>
      <w:r>
        <w:rPr>
          <w:rFonts w:ascii="Times New Roman;serif" w:hAnsi="Times New Roman;serif"/>
          <w:b w:val="false"/>
          <w:color w:val="000000"/>
          <w:sz w:val="20"/>
        </w:rPr>
        <w:t>2.75%</w:t>
      </w:r>
      <w:r>
        <w:rPr>
          <w:color w:val="000000"/>
          <w:shd w:fill="FFFFFF" w:val="clear"/>
        </w:rPr>
        <w:t xml:space="preserve"> </w:t>
      </w:r>
      <w:r>
        <w:rPr>
          <w:rFonts w:ascii="Times New Roman;serif" w:hAnsi="Times New Roman;serif"/>
          <w:b w:val="false"/>
          <w:color w:val="000000"/>
          <w:sz w:val="20"/>
          <w:shd w:fill="FFFFFF" w:val="clear"/>
        </w:rPr>
        <w:t xml:space="preserve">and (b) </w:t>
      </w:r>
      <w:r>
        <w:rPr>
          <w:rFonts w:ascii="Times New Roman;serif" w:hAnsi="Times New Roman;serif"/>
          <w:b w:val="false"/>
          <w:color w:val="000000"/>
          <w:sz w:val="20"/>
        </w:rPr>
        <w:t>6.00% and requires the Company to meet certain financial and other covenants</w:t>
      </w:r>
      <w:r>
        <w:rPr>
          <w:rFonts w:ascii="Times New Roman;serif" w:hAnsi="Times New Roman;serif"/>
          <w:b w:val="false"/>
          <w:color w:val="000000"/>
          <w:sz w:val="20"/>
          <w:shd w:fill="FFFFFF" w:val="clear"/>
        </w:rPr>
        <w:t xml:space="preserve">. The Loan Agreement matures on </w:t>
      </w:r>
      <w:r>
        <w:rPr>
          <w:rFonts w:ascii="Times New Roman;serif" w:hAnsi="Times New Roman;serif"/>
          <w:b w:val="false"/>
          <w:color w:val="000000"/>
          <w:sz w:val="20"/>
        </w:rPr>
        <w:t xml:space="preserve">April 30, 2027 (the “Maturity Date”). Subject to certain conditions in the Loan Agreement, amounts borrowed thereunder may </w:t>
      </w:r>
      <w:r>
        <w:rPr>
          <w:rFonts w:ascii="Times New Roman;serif" w:hAnsi="Times New Roman;serif"/>
          <w:b w:val="false"/>
          <w:color w:val="000000"/>
          <w:sz w:val="20"/>
          <w:shd w:fill="FFFFFF" w:val="clear"/>
        </w:rPr>
        <w:t xml:space="preserve">be repaid and reborrowed at any time prior to the Maturity Date. As of </w:t>
      </w:r>
      <w:r>
        <w:rPr>
          <w:rFonts w:ascii="Times New Roman;serif" w:hAnsi="Times New Roman;serif"/>
          <w:b w:val="false"/>
          <w:color w:val="000000"/>
          <w:sz w:val="20"/>
        </w:rPr>
        <w:t>September 30, 2025, the Company was in compliance with all covenants related to the Loan Agreement. As of September 30, 2025, there was no outstanding debt under the Stifel Loan Agreement</w:t>
      </w:r>
      <w:r>
        <w:rPr>
          <w:rFonts w:ascii="Times New Roman;serif" w:hAnsi="Times New Roman;serif"/>
          <w:b w:val="false"/>
          <w:color w:val="000000"/>
          <w:sz w:val="20"/>
          <w:shd w:fill="FFFFFF" w:val="clear"/>
        </w:rPr>
        <w:t>.</w:t>
      </w:r>
    </w:p>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Live Oak Credit Mobilization Facility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December 12, 2019, the Company entered into a loan agreement with Live Oak Banking Company (the “Credit Mobilization Facility”) which provided a $12.0 million credit mobilization facility that was paid in full as of November 2023. In July 2022, we entered into the Second Amended and Restated Loan Agreement with Live Oak Banking Company which provided an $8.0 million mobilization credit facility with a loan maturity of July 14, 2024. The Credit Mobilization Facility bears interest (payable monthly) at a rate per annum equal to the greater of (a) the prime rate, as published in the Wall Street Journal newspaper, plus 2.0% and (b) 5.0% and requires the Company to meet certain financial and other covenants and are secured by substantially all of the assets of the Company. There was $8.0 million outstanding under the Credit Mobilization Facility as of December 31, 2023. The Company paid $5.0 million during the second quarter of 2024 and paid the remaining $3.0 million in July 2024 and the facility has been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Bridge Loan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10, 2024, the Company entered into a series of loan documents with Pershing LLC, an affiliate of Bank of New York Mellon, pursuant to which Pershing LLC agreed to an extension of credit in an amount not to exceed $10.0 million to the Company (the “Bridge Loan”). Borrowings under the Bridge Loan bear interest at the target interest rate set by the Federal Open Market Committee (“Fed Funds Rate”), subject to a 5.5% floor, plus a margin. For borrowings,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applicable rate margin is 0.9%. The $10.0 million in borrowings are available for working capital needs and other general corporate purposes were required to be repaid by February 22,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Bridge Loan included guarantees (the “Credit Support Guarantees”) by Ghaffarian Enterprises, LLC (an affiliate of Dr. Kamal Ghaffarian) (“Ghaffarian Enterprises” or “Guarantor”)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29, 2024, the Bridge Loan was repaid in full as a result of $10.0 million in contributions from the Guarantor under the Bridge Loan Conversion transaction for which the Company issued to the Guarantor 3,487,278 shares of the Company’s Class A Common Stock and Conversion Warrants described further in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we recognized $5 thousand U.S. federal and state expense for income taxes, and our effective combined U.S. federal and state income tax rates were (0.05)% and (0.01)%, respectively. For the three and nine months ended September 30, 2024, we recognized a combined U.S. federal and state expense for income taxes of,$50 thousand, and our effective combined U.S. federal and state income tax rates were (0.06)% and (0.03)%, respectively. For the three and nine months ended September 30, 2025 and 2024, our effective tax rate differed from the statutory rate primarily due to deferred taxes for which no benefit is being recorded and losses attributable to noncontrolling interest unitholders that are taxable on their respective share of taxable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consummation of the Transactions, Intuitive Machines, Inc. entered into a tax receivable agreement (the “TRA”). Pursuant to the TRA, the Company is required to pay the TRA Holders (certain Intuitive Machines, LLC members and related parties to the Company) 85% of the amount of the cash tax savings, if any, in U.S. federal, state, and local taxes that are based on, or measured with respect to, net income or profits, and any interest related thereto that the Company realizes, or is deemed to realize, as a result of certain tax attributes, including:</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existing tax basis in certain assets of Intuitive Machines, LLC and its subsidiaries;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tax basis adjustments resulting from taxable exchanges of Intuitive Machines, LLC Common Units acquired by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tax benefits realized by the Company as a result of the Business Combination;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tax deductions in respect of portions of certain payments made under the TRA.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such payments to the TRA Holders are the obligations of the Company, and not that of Intuitive Machines, LLC. As of September 30, 2025, based primarily on historical losses of the Company, management has determined it is more-likely-than-not that the Company will be unable to utilize its deferred tax assets subject to the TRA; therefore, management applies a full valuation allowance to deferred tax asset for a corresponding liability under the TRA related to the tax savings the Company may realize from the utilization of tax deductions related to basis adjustments created by the transactions in the Business Combination Agreement. As of September 30, 2025, management does not expect a TRA liability to be recorded.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We have assessed the impact of the OBBBA and determined that the impact on our condensed consolidated financial statements is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MEZZANINE EQUITY AND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reflects share information about the Company’s capital stock as of September 30, 2025. </w:t>
      </w:r>
    </w:p>
    <w:p>
      <w:pPr>
        <w:pStyle w:val="TextBody"/>
        <w:bidi w:val="0"/>
        <w:spacing w:before="0" w:after="0"/>
        <w:jc w:val="both"/>
        <w:rPr/>
      </w:pPr>
      <w:r>
        <w:rPr/>
      </w:r>
    </w:p>
    <w:tbl>
      <w:tblPr>
        <w:tblW w:w="9161" w:type="dxa"/>
        <w:jc w:val="left"/>
        <w:tblInd w:w="0" w:type="dxa"/>
        <w:tblLayout w:type="fixed"/>
        <w:tblCellMar>
          <w:top w:w="28" w:type="dxa"/>
          <w:left w:w="28" w:type="dxa"/>
          <w:bottom w:w="28" w:type="dxa"/>
          <w:right w:w="28" w:type="dxa"/>
        </w:tblCellMar>
      </w:tblPr>
      <w:tblGrid>
        <w:gridCol w:w="743"/>
        <w:gridCol w:w="654"/>
        <w:gridCol w:w="658"/>
        <w:gridCol w:w="211"/>
        <w:gridCol w:w="721"/>
        <w:gridCol w:w="109"/>
        <w:gridCol w:w="109"/>
        <w:gridCol w:w="109"/>
        <w:gridCol w:w="109"/>
        <w:gridCol w:w="379"/>
        <w:gridCol w:w="379"/>
        <w:gridCol w:w="383"/>
        <w:gridCol w:w="109"/>
        <w:gridCol w:w="109"/>
        <w:gridCol w:w="109"/>
        <w:gridCol w:w="379"/>
        <w:gridCol w:w="379"/>
        <w:gridCol w:w="383"/>
        <w:gridCol w:w="109"/>
        <w:gridCol w:w="109"/>
        <w:gridCol w:w="109"/>
        <w:gridCol w:w="429"/>
        <w:gridCol w:w="429"/>
        <w:gridCol w:w="431"/>
        <w:gridCol w:w="109"/>
        <w:gridCol w:w="109"/>
        <w:gridCol w:w="109"/>
        <w:gridCol w:w="346"/>
        <w:gridCol w:w="346"/>
        <w:gridCol w:w="49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120,074,013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117,882,933</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60,899,264</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180,978,277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178,787,197</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Share Repurchase</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related to the Warrant Redemption (as further discussed in Note 9), Michael Blitzer, a director and warrant holder, agreed to exercise 1,800,000 of the Warrants, and the Company agreed to repurchase 941,080 shares of the Company’s Class A Common Stock for an aggregate purchase price of $20.7 million.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Series A Preferred Stock</w:t>
      </w:r>
      <w:r>
        <w:rPr>
          <w:color w:val="000000"/>
        </w:rPr>
        <w:t xml:space="preserve"> </w:t>
      </w:r>
      <w:r>
        <w:rPr>
          <w:rFonts w:ascii="Times New Roman;serif" w:hAnsi="Times New Roman;serif"/>
          <w:b w:val="false"/>
          <w:i/>
          <w:color w:val="000000"/>
          <w:sz w:val="20"/>
        </w:rPr>
        <w:t>(Mezzanine Equity)</w:t>
      </w:r>
    </w:p>
    <w:p>
      <w:pPr>
        <w:pStyle w:val="TextBody"/>
        <w:bidi w:val="0"/>
        <w:spacing w:lineRule="auto" w:line="268" w:before="120" w:after="283"/>
        <w:jc w:val="both"/>
        <w:rPr/>
      </w:pPr>
      <w:r>
        <w:rPr>
          <w:rFonts w:ascii="Times New Roman;serif" w:hAnsi="Times New Roman;serif"/>
          <w:b w:val="false"/>
          <w:color w:val="342F2F"/>
          <w:sz w:val="20"/>
        </w:rPr>
        <w:t>As a result of the</w:t>
      </w:r>
      <w:r>
        <w:rPr>
          <w:color w:val="342F2F"/>
          <w:shd w:fill="FFFFFF" w:val="clear"/>
        </w:rPr>
        <w:t xml:space="preserve"> </w:t>
      </w:r>
      <w:r>
        <w:rPr>
          <w:rFonts w:ascii="Times New Roman;serif" w:hAnsi="Times New Roman;serif"/>
          <w:b w:val="false"/>
          <w:color w:val="342F2F"/>
          <w:sz w:val="20"/>
          <w:shd w:fill="FFFFFF" w:val="clear"/>
        </w:rPr>
        <w:t xml:space="preserve">Private Placement Transaction on September 5, 2023 (as discussed below) </w:t>
      </w:r>
      <w:r>
        <w:rPr>
          <w:rFonts w:ascii="Times New Roman;serif" w:hAnsi="Times New Roman;serif"/>
          <w:b w:val="false"/>
          <w:color w:val="342F2F"/>
          <w:sz w:val="20"/>
        </w:rPr>
        <w:t xml:space="preserve">and in accordance with the terms of the Certificate of Designation, the Series A Preferred Stock conversion price was reduced from </w:t>
      </w:r>
      <w:r>
        <w:rPr>
          <w:rFonts w:ascii="Times New Roman;serif" w:hAnsi="Times New Roman;serif"/>
          <w:b w:val="false"/>
          <w:color w:val="000000"/>
          <w:sz w:val="20"/>
        </w:rPr>
        <w:t>$12.00</w:t>
      </w:r>
      <w:r>
        <w:rPr>
          <w:color w:val="342F2F"/>
        </w:rPr>
        <w:t xml:space="preserve"> </w:t>
      </w:r>
      <w:r>
        <w:rPr>
          <w:rFonts w:ascii="Times New Roman;serif" w:hAnsi="Times New Roman;serif"/>
          <w:b w:val="false"/>
          <w:color w:val="342F2F"/>
          <w:sz w:val="20"/>
        </w:rPr>
        <w:t xml:space="preserve">per share to $5.10 per share. Additionally, as a result of </w:t>
      </w:r>
      <w:r>
        <w:rPr>
          <w:rFonts w:ascii="Times New Roman;serif" w:hAnsi="Times New Roman;serif"/>
          <w:b w:val="false"/>
          <w:color w:val="000000"/>
          <w:sz w:val="20"/>
        </w:rPr>
        <w:t xml:space="preserve">the Warrant Exercise Agreement on January 10, 2024 in conjunction with the warrant transactions discussed in Note 9, the Series A Preferred Stock conversion price was further reduced from $5.10 per share to $3.00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Private Placement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consummated a securities purchase agreement (the “Purchase Agreement”) with Armistice Capital Master Fund Ltd (the “Purchaser”) pursuant to which the Company agreed to sell securities to the Purchaser in a private placement (the “Private Placement”). The Purchase Agreement provided for the sale and issuance by 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 During the first quarter of 2024, the Initial Series A Warrant and the Initial Series B Warrant were fully exercised. Refer to Note 9 - Warrants, for further information on the Initial Series A Warrant and Initial Series B Warrant.</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color w:val="000000"/>
          <w:sz w:val="20"/>
        </w:rPr>
        <w:t xml:space="preserve">Redeemable Noncontrolling Interests </w:t>
      </w:r>
      <w:r>
        <w:rPr>
          <w:rFonts w:ascii="Times New Roman;serif" w:hAnsi="Times New Roman;serif"/>
          <w:b w:val="false"/>
          <w:i/>
          <w:color w:val="000000"/>
          <w:sz w:val="20"/>
        </w:rPr>
        <w:t>(Mezzanine Equity)</w:t>
      </w:r>
    </w:p>
    <w:p>
      <w:pPr>
        <w:pStyle w:val="TextBody"/>
        <w:bidi w:val="0"/>
        <w:spacing w:lineRule="auto" w:line="268" w:before="120" w:after="283"/>
        <w:jc w:val="both"/>
        <w:rPr/>
      </w:pPr>
      <w:r>
        <w:rPr>
          <w:rFonts w:ascii="Times New Roman;serif" w:hAnsi="Times New Roman;serif"/>
          <w:b w:val="false"/>
          <w:color w:val="000000"/>
          <w:sz w:val="20"/>
        </w:rPr>
        <w:t xml:space="preserve">As of September 30, 2025, the prior investors of Intuitive Machines, LLC own 34.1% of the outstanding common units of Intuitive Machines, LLC. The prior investors of Intuitive Machines, LLC have the right to exchange their common units in Intuitive Machines, LLC </w:t>
      </w:r>
      <w:r>
        <w:rPr>
          <w:rFonts w:ascii="Times New Roman;serif" w:hAnsi="Times New Roman;serif"/>
          <w:b w:val="false"/>
          <w:color w:val="000000"/>
          <w:sz w:val="20"/>
          <w:shd w:fill="FFFFFF" w:val="clear"/>
        </w:rPr>
        <w:t>(along with the cancellation of the paired shares of Class B Common Stock or Class C Common Stock in Intuitive Machines, Inc.)</w:t>
      </w:r>
      <w:r>
        <w:rPr>
          <w:color w:val="000000"/>
        </w:rPr>
        <w:t xml:space="preserve"> </w:t>
      </w:r>
      <w:r>
        <w:rPr>
          <w:rFonts w:ascii="Times New Roman;serif" w:hAnsi="Times New Roman;serif"/>
          <w:b w:val="false"/>
          <w:color w:val="000000"/>
          <w:sz w:val="20"/>
        </w:rPr>
        <w:t>for shares of Class A Common Stock on a one-to-one basis or cash proceeds for an equivalent amount. The option to redeem Intuitive Machines, LLC’s common units for cash proceeds must be approved by the Board. The ability to put common units is solely within the control of the holder of the redeemable noncontrolling interests. If the prior investors elect the redemption to be settled in cash, the cash used to settle the redemption must be funded through a private or public offering of Class A Common Stock and subject to the Company’s Board approval.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results of Intuitive Machines, LLC and its subsidiaries are consolidated with Intuitive Machines, Inc. with the redeemable noncontrolling interests' share of our net loss separately allocated.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Public and Private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warrants (the “Private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days after the closing of the Business Combination and will expire five years after the closing of the Business Combination.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Private Warrants are identical to the Public Warrants except that the Private Warrants may not, subject to certain limited exceptions, be transferred assigned or sold by the holders until 30 days after the closing of the Business Combination. The Public Warrants and Private Warrants (collectively, the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2025, the Company announced the redemption of all of its outstanding Warrants to purchase shares of the Company’s Class A Common Stock that were issued under the warrant agreement, dated September 21, 2021 (the “Warrant Agreement”), by and between the Company and Continental Stock Transfer &amp; Trust Company, as warrant agent, and that remained unexercised at 5:00 p.m., New York City time, on March 6, 2025 (the “Redemption Date”) for the redemption price of $0.01 per Warrant (the “Warrant Redemption”). During the period from January 1, 2025 and the Redemption Date, 15,358,229 of the Warrants were exercised resulting in gross proceeds of $176.6 million. As of the Redemption Date, 6,571,724 Warrants remained unexercised and were redeemed for an aggregate redemption price of $66 thousand. Trading of the Warrants on the Nasdaq was suspended prior to the market open on March 6, 2025, and the Warrants were subsequently delisted.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Preferred Investor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issuance of Series A Preferred Stock at closing of the Business Combination, the Company issued 541,667 Preferred Investor Warrants (of which, 104,157 are owned by a related party, Ghaffarian Enterprises, LLC) to purchase one share of the Company’s Class A Common Stock with an exercise price of $15.00, subject to adjustment. The Company evaluated the terms of the Preferred Investor Warrants and determined they meet the criteria to be classified in shareholders’ equity upon issuance.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result of the Private Placement Transaction on September 5, 2023 discussed in Note 8 and in accordance with the terms of the Certificate of Designation, the Preferred Investor Warrants exercise price was reduced from $15.00 to $11.50 per share and the aggregate number of shares of Class A Common Stock issuable upon exercise of the Preferred Investor Warrants was proportionally increased to 706,522.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have been no exercises of the Preferred Investor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Warrant Exercise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10, 2024, the Company entered into a Warrant Exercise Agreement with the Armistice Capital Master Fund Ltd (the “Purchaser”) to exercise in full the Initial Series B Warrant to purchase up to an aggregate 4,705,883 shares of Class A Common Stock. In consideration for the immediate and full exercise of the Initial Series B Warrant, the existing investor received (i) a new unregistered Series A Common Stock Purchase Warrant to purchase up to an aggregate of 4,705,883 shares of Class A Common Stock with an exercise price of $2.75 per share and a term of 5.5 years (the “New Series A Warrant”) and (ii) a new unregistered Series B Common Stock Purchase Warrant to purchase up to an aggregate of 4,705,883 shares of Class A Common Stock with an exercise price of $2.75 per share and a term of 18 months (the “New Series B Warrant”), collectively, (the “New Warrants”), in a private placement pursuant to Section 4(a)(2) of the Securities Act of 1933. In connection with the Warrant Exercise Agreement, the Company also agreed to reduce the exercise price of the Initial Series B Warrant from $4.75 to $2.50 per share and reduced the exercise price of the Initial Series A Warrant to purchase up to 4,705,883 shares of Class A Common Stock from $4.75 to $2.75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modifications to the 4,705,883 Initial Series A Warrant and the 4,705,883 Initial Series B Warrant, collectively (the “Initial Warrants”), the Company recognized an unfavorable change in fair value of warrant liabilities of $1.2 million in the condensed consolidated statement of operations. Upon the immediate exercise of the 4,705,883 Initial Series B Warrants, the Company issued 4,705,883 shares of Class A Common Stock, received cash proceeds of approximately $11.8 million and recognized a gain on issuance of securities of approximately $1.3 million 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New Series A Warrant and New Series B Warrant were immediately exercisable and have a term of 5.5 years and 18 months, respectively. The Company evaluated the terms of the New Warrants and determined they meet the criteria in ASC 815, “Derivatives and Hedging”, to be classified as a derivative liability, initially measured at fair value with changes in fair value recognized in other income (expense) on the condensed consolidated statement of operations. The New Series A Warrant and New Series B Warrant had an initial fair value of $10.8 million and $5.7 million, respectively, which was recorded as a $16.6 million loss on issuance of securities in our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Subsequently, the Purchaser exercised 4,705,883 Initial Series A Warrants, 4,705,883 New Series A Warrants and 4,705,883 New Series B Warrants during the period from February 9, 2024 to February 23, 2024. As a result, the Company issued 14,117,649 shares of Class A Common Stock and received cash proceeds of approximately $38.8 million, and all of the Initial Warrants and New Warrants have been settled and are no longer outstanding. The Company recorded a loss on issuance of securities of approximately $47.9 million as a result of these warrant exercises.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Conversion Warrants</w:t>
      </w:r>
    </w:p>
    <w:p>
      <w:pPr>
        <w:pStyle w:val="TextBody"/>
        <w:bidi w:val="0"/>
        <w:spacing w:lineRule="auto" w:line="288" w:before="160" w:after="283"/>
        <w:jc w:val="both"/>
        <w:rPr/>
      </w:pPr>
      <w:r>
        <w:rPr>
          <w:rFonts w:ascii="Times New Roman;serif" w:hAnsi="Times New Roman;serif"/>
          <w:b w:val="false"/>
          <w:color w:val="000000"/>
          <w:sz w:val="20"/>
        </w:rPr>
        <w:t>In connection with the January 2024 Bridge Loan Conversion discussed further in Note 6,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5 years, (the “Conversion Series A Warrant”)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w:t>
      </w:r>
      <w:r>
        <w:rPr>
          <w:color w:val="000000"/>
          <w:shd w:fill="FFFFFF" w:val="clear"/>
        </w:rPr>
        <w:t xml:space="preserve"> </w:t>
      </w:r>
      <w:r>
        <w:rPr>
          <w:rFonts w:ascii="Times New Roman;serif" w:hAnsi="Times New Roman;serif"/>
          <w:b w:val="false"/>
          <w:color w:val="000000"/>
          <w:sz w:val="20"/>
          <w:shd w:fill="FFFFFF" w:val="clear"/>
        </w:rPr>
        <w:t xml:space="preserve">of 18 months </w:t>
      </w:r>
      <w:r>
        <w:rPr>
          <w:rFonts w:ascii="Times New Roman;serif" w:hAnsi="Times New Roman;serif"/>
          <w:b w:val="false"/>
          <w:color w:val="000000"/>
          <w:sz w:val="20"/>
        </w:rPr>
        <w:t>(the “Conversion Series B Warrant”), collectively (the “Conversion Warrants”). On May 31, 2024, the guarantor assigned the Conversion Warrants to a third party investor in a private transaction. Pursuant to the assignment to a third party investor, the Conversion Warrants are no longer exercisable for Class C Common Stock. All other terms related to the Conversion Warrants remain the same as previously discussed. Pursuant to the guidance under ASC 480 “Distinguishing Liabilities from Equity,” the Company determined that the Conversion Warrants should be recorded as liabilities as of the issuance date and March 31, 2024 and subsequently determined that they meet the criteria in ASC 815, “Derivatives and Hedging”, to be classified as a derivative liability as of May 31, 2024 and June 30, 2024, initially measured at fair value with changes in fair value recognized in earnings in other income (expense) on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Conversion Series A Warrant and Conversion Series B Warrant had an initial fair value of $10.0 million and $5.5 million, respectively. The gross proceeds of $10.0 million from the Letter Agreement were allocated to the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Warrants resulting in a loss on the transaction of approximately $5.5 million recognized as loss on issuance of securities in our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period from June 5, 2024 to June 7, 2024, the investor exercised 300,000 Conversion Series B Warrants, resulting in the issuance of an equal number of shares of Class A Common Stock. The Company recorded a gain on issuance of securities of approximately $0.6 million as a result of these warrant exercises. During the period from November 21, 2024 to November 29, 2024, the investor exercised the remaining 3,850,780 Conversion Series B Warrants, resulting in the issuance of an equal number of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recognized a gain of $31.9 million from the change in fair value of the Conversion Series A Warrant liability in our condensed consolidated statement of operations. During the nine months ended September 30, 2024, the Company recognized a loss of $17.8 million and $17.7 million from the change in fair value of the Conversion Series A Warrant liability and Conversion Series B Warrant liability,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overall warrant activity for the nine months ended September 30, 2025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0"/>
        <w:gridCol w:w="754"/>
        <w:gridCol w:w="758"/>
        <w:gridCol w:w="109"/>
        <w:gridCol w:w="109"/>
        <w:gridCol w:w="109"/>
        <w:gridCol w:w="751"/>
        <w:gridCol w:w="734"/>
        <w:gridCol w:w="737"/>
        <w:gridCol w:w="109"/>
        <w:gridCol w:w="109"/>
        <w:gridCol w:w="109"/>
        <w:gridCol w:w="734"/>
        <w:gridCol w:w="734"/>
        <w:gridCol w:w="737"/>
        <w:gridCol w:w="109"/>
        <w:gridCol w:w="109"/>
        <w:gridCol w:w="109"/>
        <w:gridCol w:w="701"/>
        <w:gridCol w:w="701"/>
        <w:gridCol w:w="1003"/>
      </w:tblGrid>
      <w:tr>
        <w:trPr/>
        <w:tc>
          <w:tcPr>
            <w:tcW w:w="8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Public and Private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Conversion Series A Warrants</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4,150,780</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4,150,780</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4,150,780</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4,150,780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SHARE-BASED COMPENSATION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2021 Unit Option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25, 2021, the Intuitive Machines, LLC’s board of directors adopted, and its members approved the 2021 Unit Option Plan (the “2021 Plan”). The 2021 Plan allowed the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a result of the Business Combination discussed in Note 1 and per the terms of the Second Amended and Restated Intuitive Machines, LLC Operating Agreement, the unexpired and </w:t>
      </w:r>
      <w:r>
        <w:rPr>
          <w:rFonts w:ascii="Times New Roman;serif" w:hAnsi="Times New Roman;serif"/>
          <w:b w:val="false"/>
          <w:color w:val="000000"/>
          <w:sz w:val="20"/>
          <w:shd w:fill="FFFFFF" w:val="clear"/>
        </w:rPr>
        <w:t xml:space="preserve">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Intuitive Machines, LLC was authorized to issue a total of 765,042 Class B Common Units upon exercise of the Incentive Unit Options under the 2021 Plan. The following table provides a summary of the option activity under the 2021 Plan for the nine months ended September 30, 2025:</w:t>
      </w:r>
    </w:p>
    <w:tbl>
      <w:tblPr>
        <w:tblW w:w="8208" w:type="dxa"/>
        <w:jc w:val="left"/>
        <w:tblInd w:w="0" w:type="dxa"/>
        <w:tblLayout w:type="fixed"/>
        <w:tblCellMar>
          <w:top w:w="28" w:type="dxa"/>
          <w:left w:w="28" w:type="dxa"/>
          <w:bottom w:w="28" w:type="dxa"/>
          <w:right w:w="28" w:type="dxa"/>
        </w:tblCellMar>
      </w:tblPr>
      <w:tblGrid>
        <w:gridCol w:w="1147"/>
        <w:gridCol w:w="1006"/>
        <w:gridCol w:w="1012"/>
        <w:gridCol w:w="299"/>
        <w:gridCol w:w="299"/>
        <w:gridCol w:w="301"/>
        <w:gridCol w:w="109"/>
        <w:gridCol w:w="109"/>
        <w:gridCol w:w="109"/>
        <w:gridCol w:w="211"/>
        <w:gridCol w:w="511"/>
        <w:gridCol w:w="109"/>
        <w:gridCol w:w="109"/>
        <w:gridCol w:w="109"/>
        <w:gridCol w:w="109"/>
        <w:gridCol w:w="330"/>
        <w:gridCol w:w="330"/>
        <w:gridCol w:w="331"/>
        <w:gridCol w:w="109"/>
        <w:gridCol w:w="109"/>
        <w:gridCol w:w="109"/>
        <w:gridCol w:w="211"/>
        <w:gridCol w:w="97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(000’s)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8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3,977,117 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Aggregate intrinsic value represents the difference between the exercise price of the options and the market price of our Class A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weighted-average grant-date fair value of unit options under the 2021 Plan:</w:t>
      </w:r>
    </w:p>
    <w:tbl>
      <w:tblPr>
        <w:tblW w:w="4123" w:type="dxa"/>
        <w:jc w:val="left"/>
        <w:tblInd w:w="0" w:type="dxa"/>
        <w:tblLayout w:type="fixed"/>
        <w:tblCellMar>
          <w:top w:w="28" w:type="dxa"/>
          <w:left w:w="28" w:type="dxa"/>
          <w:bottom w:w="28" w:type="dxa"/>
          <w:right w:w="28" w:type="dxa"/>
        </w:tblCellMar>
      </w:tblPr>
      <w:tblGrid>
        <w:gridCol w:w="1136"/>
        <w:gridCol w:w="996"/>
        <w:gridCol w:w="1002"/>
        <w:gridCol w:w="238"/>
        <w:gridCol w:w="577"/>
        <w:gridCol w:w="17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2024</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2025</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options was $50 thousand and $153 thousand for the three and nine months ended September 30, 2025, respectively, $78 thousand and $298 thousand for the three and nine months ended September 30, 2024, respectively, and was classified in the condensed consolidated statement of operations under general and administrative expense. As of September 30, 2025, the Company had $167 thousand in estimated unrecognized share-based compensation costs related to outstanding unit options that is expected to be recognized over a weighted average period of 1.80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consummation of the Business Combination, no new awards will be granted under the 2021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Intuitive Machines, Inc. 2023 Long Term Omnibus Incentive Plan (the “2023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w:t>
      </w:r>
      <w:r>
        <w:rPr>
          <w:rFonts w:ascii="Times New Roman;serif" w:hAnsi="Times New Roman;serif"/>
          <w:b w:val="false"/>
          <w:color w:val="000000"/>
          <w:sz w:val="20"/>
          <w:shd w:fill="FFFFFF" w:val="clear"/>
        </w:rPr>
        <w:t xml:space="preserve">m of </w:t>
      </w:r>
      <w:r>
        <w:rPr>
          <w:rFonts w:ascii="Times New Roman;serif" w:hAnsi="Times New Roman;serif"/>
          <w:b w:val="false"/>
          <w:color w:val="000000"/>
          <w:sz w:val="20"/>
        </w:rPr>
        <w:t>12,706,811</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ares of Class A Common Stock are authorized to be issued. As of September 30, 2025, the Company has issued restricted stock units (“RSUs”) and performance stock units (“PSUs”) as outlined in the following disclosures. No other awards have been granted under the 2023 Plan. As of September 30, 2025, approximately (7,645,211 shares were available for future grants under the 2023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and Performance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2023 Plan, the Company grants RSUs with time-based vesting requirements which typically vest over one to four years and PSUs with target performance-based vesting requirements based on continuous service. The fair value of RSUs and PSUs are based on the Company’s closing stock price on the date of grant.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RSU and PSU activity:</w:t>
      </w:r>
    </w:p>
    <w:p>
      <w:pPr>
        <w:pStyle w:val="TextBody"/>
        <w:bidi w:val="0"/>
        <w:spacing w:before="0" w:after="0"/>
        <w:jc w:val="both"/>
        <w:rPr/>
      </w:pPr>
      <w:r>
        <w:rPr/>
      </w:r>
    </w:p>
    <w:tbl>
      <w:tblPr>
        <w:tblW w:w="7751" w:type="dxa"/>
        <w:jc w:val="left"/>
        <w:tblInd w:w="0" w:type="dxa"/>
        <w:tblLayout w:type="fixed"/>
        <w:tblCellMar>
          <w:top w:w="28" w:type="dxa"/>
          <w:left w:w="28" w:type="dxa"/>
          <w:bottom w:w="28" w:type="dxa"/>
          <w:right w:w="28" w:type="dxa"/>
        </w:tblCellMar>
      </w:tblPr>
      <w:tblGrid>
        <w:gridCol w:w="1147"/>
        <w:gridCol w:w="1006"/>
        <w:gridCol w:w="1012"/>
        <w:gridCol w:w="347"/>
        <w:gridCol w:w="347"/>
        <w:gridCol w:w="355"/>
        <w:gridCol w:w="109"/>
        <w:gridCol w:w="109"/>
        <w:gridCol w:w="109"/>
        <w:gridCol w:w="773"/>
        <w:gridCol w:w="1873"/>
        <w:gridCol w:w="56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pPr>
            <w:r>
              <w:rPr>
                <w:rFonts w:ascii="Times New Roman;serif" w:hAnsi="Times New Roman;serif"/>
                <w:b/>
                <w:color w:val="000000"/>
                <w:sz w:val="16"/>
              </w:rPr>
              <w:t>Units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0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7"/>
        </w:rPr>
        <w:t>(1)    Includes PSUs of 53,333</w:t>
      </w:r>
      <w:r>
        <w:rPr>
          <w:color w:val="000000"/>
        </w:rPr>
        <w:t xml:space="preserve"> </w:t>
      </w:r>
      <w:r>
        <w:rPr>
          <w:rFonts w:ascii="Times New Roman;serif" w:hAnsi="Times New Roman;serif"/>
          <w:b w:val="false"/>
          <w:color w:val="000000"/>
          <w:sz w:val="17"/>
        </w:rPr>
        <w:t>granted in October 2024 at the 100% attainment level which are based on two performance goals related to the Company’s financial management plan. Each goal has a performance multiplier of 50% and must be attained by September 1, 2025. As of April 2025, the performance goals were attained and all 53,333</w:t>
      </w:r>
      <w:r>
        <w:rPr>
          <w:color w:val="000000"/>
        </w:rPr>
        <w:t xml:space="preserve"> </w:t>
      </w:r>
      <w:r>
        <w:rPr>
          <w:rFonts w:ascii="Times New Roman;serif" w:hAnsi="Times New Roman;serif"/>
          <w:b w:val="false"/>
          <w:color w:val="000000"/>
          <w:sz w:val="17"/>
        </w:rPr>
        <w:t>PSU grants fully vested.</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RSUs was $1.4 million and $6.3 million for the three and nine months ended September 30, 2025, respectively, and $1.2 million and $3.7 million for the three and nine months ended September 30, 2024, respectively. Share-based compensation expense related to PSUs was zero and $0.3 million for the three and nine months ended September 30, 2025, respectively, and zero and $3.2 million for the three and nine months ended September 30, 2024, respectively. Share-based compensation expense for RSUs and PSUs are classified in the condensed consolidated statement of operations under general and administrative expense. As of September 30, 2025, the estimated unrecognized share-based compensation costs related to unvested RSUs was $16.9 million that is expected to be recognized over a weighted average period of 2.75 years. As of April 2025, the remaining PSUs were fully vested and hence the Company has no estimated unrecognized share-based compensation costs related to unvested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FAIR VALUE MEASUREMENTS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assets and liabilities that are recorded in the Company’s condensed consolidated balance sheets as of September 30, 2025 and December 31, 2024 at fair value on a recurring basis. </w:t>
      </w:r>
    </w:p>
    <w:p>
      <w:pPr>
        <w:pStyle w:val="TextBody"/>
        <w:bidi w:val="0"/>
        <w:spacing w:before="0" w:after="0"/>
        <w:jc w:val="both"/>
        <w:rPr/>
      </w:pPr>
      <w:r>
        <w:rPr/>
      </w:r>
    </w:p>
    <w:tbl>
      <w:tblPr>
        <w:tblW w:w="9357" w:type="dxa"/>
        <w:jc w:val="left"/>
        <w:tblInd w:w="0" w:type="dxa"/>
        <w:tblLayout w:type="fixed"/>
        <w:tblCellMar>
          <w:top w:w="28" w:type="dxa"/>
          <w:left w:w="28" w:type="dxa"/>
          <w:bottom w:w="28" w:type="dxa"/>
          <w:right w:w="28" w:type="dxa"/>
        </w:tblCellMar>
      </w:tblPr>
      <w:tblGrid>
        <w:gridCol w:w="1227"/>
        <w:gridCol w:w="1077"/>
        <w:gridCol w:w="1085"/>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 Conversion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67" w:type="dxa"/>
        <w:jc w:val="left"/>
        <w:tblInd w:w="0" w:type="dxa"/>
        <w:tblLayout w:type="fixed"/>
        <w:tblCellMar>
          <w:top w:w="28" w:type="dxa"/>
          <w:left w:w="28" w:type="dxa"/>
          <w:bottom w:w="28" w:type="dxa"/>
          <w:right w:w="28" w:type="dxa"/>
        </w:tblCellMar>
      </w:tblPr>
      <w:tblGrid>
        <w:gridCol w:w="1228"/>
        <w:gridCol w:w="1076"/>
        <w:gridCol w:w="1085"/>
        <w:gridCol w:w="360"/>
        <w:gridCol w:w="360"/>
        <w:gridCol w:w="361"/>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 Conversion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in bank, demand deposit accounts, money market funds and short-term certificates of deposit with original maturities of less than 90 days. Because of the short-term nature of these instruments, the carrying amounts approximate fair value and therefore are considered Level 1 measurements under the fair value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roll-forwards of the Company’s Level 3 liabilities (in thousands):</w:t>
      </w:r>
    </w:p>
    <w:p>
      <w:pPr>
        <w:pStyle w:val="TextBody"/>
        <w:bidi w:val="0"/>
        <w:spacing w:before="0" w:after="0"/>
        <w:jc w:val="both"/>
        <w:rPr/>
      </w:pPr>
      <w:r>
        <w:rPr/>
      </w:r>
    </w:p>
    <w:tbl>
      <w:tblPr>
        <w:tblW w:w="9781" w:type="dxa"/>
        <w:jc w:val="left"/>
        <w:tblInd w:w="0" w:type="dxa"/>
        <w:tblLayout w:type="fixed"/>
        <w:tblCellMar>
          <w:top w:w="28" w:type="dxa"/>
          <w:left w:w="28" w:type="dxa"/>
          <w:bottom w:w="28" w:type="dxa"/>
          <w:right w:w="28" w:type="dxa"/>
        </w:tblCellMar>
      </w:tblPr>
      <w:tblGrid>
        <w:gridCol w:w="902"/>
        <w:gridCol w:w="792"/>
        <w:gridCol w:w="796"/>
        <w:gridCol w:w="268"/>
        <w:gridCol w:w="1049"/>
        <w:gridCol w:w="138"/>
        <w:gridCol w:w="109"/>
        <w:gridCol w:w="109"/>
        <w:gridCol w:w="109"/>
        <w:gridCol w:w="617"/>
        <w:gridCol w:w="2109"/>
        <w:gridCol w:w="318"/>
        <w:gridCol w:w="109"/>
        <w:gridCol w:w="109"/>
        <w:gridCol w:w="109"/>
        <w:gridCol w:w="109"/>
        <w:gridCol w:w="109"/>
        <w:gridCol w:w="373"/>
        <w:gridCol w:w="1275"/>
        <w:gridCol w:w="272"/>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Earn-out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liabilities - Conversion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Warrant liabilities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Converted to equity</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7"/>
        <w:gridCol w:w="693"/>
        <w:gridCol w:w="696"/>
        <w:gridCol w:w="279"/>
        <w:gridCol w:w="954"/>
        <w:gridCol w:w="143"/>
        <w:gridCol w:w="109"/>
        <w:gridCol w:w="109"/>
        <w:gridCol w:w="109"/>
        <w:gridCol w:w="437"/>
        <w:gridCol w:w="1279"/>
        <w:gridCol w:w="226"/>
        <w:gridCol w:w="109"/>
        <w:gridCol w:w="109"/>
        <w:gridCol w:w="109"/>
        <w:gridCol w:w="435"/>
        <w:gridCol w:w="1271"/>
        <w:gridCol w:w="224"/>
        <w:gridCol w:w="109"/>
        <w:gridCol w:w="109"/>
        <w:gridCol w:w="109"/>
        <w:gridCol w:w="342"/>
        <w:gridCol w:w="1171"/>
        <w:gridCol w:w="257"/>
      </w:tblGrid>
      <w:tr>
        <w:trPr/>
        <w:tc>
          <w:tcPr>
            <w:tcW w:w="81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Earn-out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liabilities -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liabilities -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Warrant liabilities</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Converted to equity</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22,027 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Earn-out Liabilities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Business Combination, certain Intuitive Machines, LLC members received 10,000,000 earn out units of Intuitive Machines, LLC (“Earn Out Units”) subject to certain triggering events. Upon the vesting of any Earn Out Units, each of the certain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Under the earn out agreement, Earn Out Units of 2,500,000 vested during the year ended December 31, 2023, and the remaining 7,500,000 Earn Out Units vested during the nine months ended September 30,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Warrant Liabilities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Conversion Warrants</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Conversion Series A Warrant liabilities as of September 30, 2025 was estimated using a Black-Scholes-Merton model. The significant assumptions utilized in estimating the fair value of the Conversion Series A Warrant liabilities include: (i) a per share price of the Class A Common Stock of $10.52; (ii) a dividend yield of 0.0%; (iii) a risk-free rate of 3.63%; and (iv) expected volatility of 91%.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 NET LOSS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Basic net income</w:t>
      </w:r>
      <w:r>
        <w:rPr>
          <w:color w:val="000000"/>
          <w:shd w:fill="FFFFFF" w:val="clear"/>
        </w:rPr>
        <w:t xml:space="preserve"> </w:t>
      </w:r>
      <w:r>
        <w:rPr>
          <w:rFonts w:ascii="Times New Roman;serif" w:hAnsi="Times New Roman;serif"/>
          <w:b w:val="false"/>
          <w:color w:val="000000"/>
          <w:sz w:val="20"/>
          <w:shd w:fill="FFFFFF" w:val="clear"/>
        </w:rPr>
        <w:t>(loss) p</w:t>
      </w:r>
      <w:r>
        <w:rPr>
          <w:rFonts w:ascii="Times New Roman;serif" w:hAnsi="Times New Roman;serif"/>
          <w:b w:val="false"/>
          <w:color w:val="000000"/>
          <w:sz w:val="20"/>
        </w:rPr>
        <w:t>er share of Class A common stock is computed by dividing</w:t>
      </w:r>
      <w:r>
        <w:rPr>
          <w:color w:val="000000"/>
          <w:shd w:fill="FFFFFF" w:val="clear"/>
        </w:rPr>
        <w:t xml:space="preserve"> </w:t>
      </w:r>
      <w:r>
        <w:rPr>
          <w:rFonts w:ascii="Times New Roman;serif" w:hAnsi="Times New Roman;serif"/>
          <w:b w:val="false"/>
          <w:color w:val="000000"/>
          <w:sz w:val="20"/>
          <w:shd w:fill="FFFFFF" w:val="clear"/>
        </w:rPr>
        <w:t xml:space="preserve">net income (loss) attributable to Class A common shareholders for the </w:t>
      </w:r>
      <w:r>
        <w:rPr>
          <w:rFonts w:ascii="Times New Roman;serif" w:hAnsi="Times New Roman;serif"/>
          <w:b w:val="false"/>
          <w:color w:val="000000"/>
          <w:sz w:val="20"/>
        </w:rPr>
        <w:t>three and nine months ended</w:t>
      </w:r>
      <w:r>
        <w:rPr>
          <w:color w:val="000000"/>
          <w:shd w:fill="FFFFFF" w:val="clear"/>
        </w:rPr>
        <w:t xml:space="preserve"> </w:t>
      </w:r>
      <w:r>
        <w:rPr>
          <w:rFonts w:ascii="Times New Roman;serif" w:hAnsi="Times New Roman;serif"/>
          <w:b w:val="false"/>
          <w:color w:val="000000"/>
          <w:sz w:val="20"/>
        </w:rPr>
        <w:t>September 30, 2025 and 2024 by the weighted-average number of shares of Class A common stock outstanding for the same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net income (loss) per share of Class A common stock includes additional weighted average common shares that would have been outstanding if potential common shares with a dilutive effect had been issued using the if-converted method for the Series A Preferred Stock and Convertible Notes, and the treasury method for our RSUs, PSUs, options, and warrants. During loss periods, diluted net loss per share for all periods presented is the same as basic net loss per share as the inclusion of the potentially issuable shares would be anti-dilutive. The Capped Call transactions entered into in connection with the Convertible Notes (as discussed in Note 6) are excluded from diluted net income (loss) per share calculations as they are designed to reduce potential dilution and are currently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the basic and diluted loss per share of Class A Common Stock (in thousands, except share data):</w:t>
      </w:r>
    </w:p>
    <w:tbl>
      <w:tblPr>
        <w:tblW w:w="10205" w:type="dxa"/>
        <w:jc w:val="left"/>
        <w:tblInd w:w="0" w:type="dxa"/>
        <w:tblLayout w:type="fixed"/>
        <w:tblCellMar>
          <w:top w:w="28" w:type="dxa"/>
          <w:left w:w="28" w:type="dxa"/>
          <w:bottom w:w="28" w:type="dxa"/>
          <w:right w:w="28" w:type="dxa"/>
        </w:tblCellMar>
      </w:tblPr>
      <w:tblGrid>
        <w:gridCol w:w="1696"/>
        <w:gridCol w:w="1411"/>
        <w:gridCol w:w="1424"/>
        <w:gridCol w:w="253"/>
        <w:gridCol w:w="757"/>
        <w:gridCol w:w="131"/>
        <w:gridCol w:w="114"/>
        <w:gridCol w:w="114"/>
        <w:gridCol w:w="114"/>
        <w:gridCol w:w="222"/>
        <w:gridCol w:w="814"/>
        <w:gridCol w:w="114"/>
        <w:gridCol w:w="109"/>
        <w:gridCol w:w="109"/>
        <w:gridCol w:w="109"/>
        <w:gridCol w:w="227"/>
        <w:gridCol w:w="795"/>
        <w:gridCol w:w="119"/>
        <w:gridCol w:w="109"/>
        <w:gridCol w:w="109"/>
        <w:gridCol w:w="109"/>
        <w:gridCol w:w="211"/>
        <w:gridCol w:w="875"/>
        <w:gridCol w:w="160"/>
      </w:tblGrid>
      <w:tr>
        <w:trPr/>
        <w:tc>
          <w:tcPr>
            <w:tcW w:w="169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Numerator </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(80,411)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(181,787)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Net loss attributable to redeemable noncontrolling interest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Net income attributable to noncontrolling interest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the Company</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(55,400)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(43,419)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(134,215)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Cumulative preferred dividends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Class A common shareholders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(55,543)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(43,875)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(134,966)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Denominator</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and diluted weighted-average shares of Class A common stock outstanding</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117,815,856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67,072,014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114,150,168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52,971,882</w:t>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of Class A common stock - basic and diluted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potentially dilutive securities, as of the end of the periods, excluded from the computation of diluted net loss per share of Class A Common Stock as their effect would be anti-dilutive, their exercise price was out-of-the-money, or because of unsatisfied contingent issuance conditions.</w:t>
      </w:r>
    </w:p>
    <w:tbl>
      <w:tblPr>
        <w:tblW w:w="8652" w:type="dxa"/>
        <w:jc w:val="left"/>
        <w:tblInd w:w="0" w:type="dxa"/>
        <w:tblLayout w:type="fixed"/>
        <w:tblCellMar>
          <w:top w:w="28" w:type="dxa"/>
          <w:left w:w="28" w:type="dxa"/>
          <w:bottom w:w="28" w:type="dxa"/>
          <w:right w:w="28" w:type="dxa"/>
        </w:tblCellMar>
      </w:tblPr>
      <w:tblGrid>
        <w:gridCol w:w="797"/>
        <w:gridCol w:w="702"/>
        <w:gridCol w:w="706"/>
        <w:gridCol w:w="495"/>
        <w:gridCol w:w="298"/>
        <w:gridCol w:w="298"/>
        <w:gridCol w:w="298"/>
        <w:gridCol w:w="298"/>
        <w:gridCol w:w="298"/>
        <w:gridCol w:w="495"/>
        <w:gridCol w:w="298"/>
        <w:gridCol w:w="298"/>
        <w:gridCol w:w="109"/>
        <w:gridCol w:w="109"/>
        <w:gridCol w:w="109"/>
        <w:gridCol w:w="495"/>
        <w:gridCol w:w="280"/>
        <w:gridCol w:w="280"/>
        <w:gridCol w:w="280"/>
        <w:gridCol w:w="280"/>
        <w:gridCol w:w="280"/>
        <w:gridCol w:w="473"/>
        <w:gridCol w:w="280"/>
        <w:gridCol w:w="39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RSUs</w:t>
            </w:r>
            <w:r>
              <w:rPr>
                <w:rFonts w:ascii="Times New Roman;serif" w:hAnsi="Times New Roman;serif"/>
                <w:b w:val="false"/>
                <w:color w:val="000000"/>
                <w:sz w:val="12"/>
              </w:rPr>
              <w:t>(1)</w:t>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2,963,588</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2,963,588</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3,251,206</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Options</w:t>
            </w:r>
            <w:r>
              <w:rPr>
                <w:rFonts w:ascii="Times New Roman;serif" w:hAnsi="Times New Roman;serif"/>
                <w:b w:val="false"/>
                <w:color w:val="000000"/>
                <w:sz w:val="12"/>
              </w:rPr>
              <w:t>(1)(4)</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765,042</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765,042</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1,027,451</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Series A Preferred Stock</w:t>
            </w:r>
            <w:r>
              <w:rPr>
                <w:rFonts w:ascii="Times New Roman;serif" w:hAnsi="Times New Roman;serif"/>
                <w:b w:val="false"/>
                <w:color w:val="000000"/>
                <w:sz w:val="12"/>
              </w:rPr>
              <w:t>(2)</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2,117,362</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1,916,965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2,065,532</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1,869,956</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Warrants</w:t>
            </w:r>
            <w:r>
              <w:rPr>
                <w:rFonts w:ascii="Times New Roman;serif" w:hAnsi="Times New Roman;serif"/>
                <w:b w:val="false"/>
                <w:color w:val="000000"/>
                <w:sz w:val="12"/>
              </w:rPr>
              <w:t>(1)(4)</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4,857,302</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30,638,374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4,857,302</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30,638,374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Earn Out Units</w:t>
            </w:r>
            <w:r>
              <w:rPr>
                <w:rFonts w:ascii="Times New Roman;serif" w:hAnsi="Times New Roman;serif"/>
                <w:b w:val="false"/>
                <w:color w:val="000000"/>
                <w:sz w:val="12"/>
              </w:rPr>
              <w:t>(3)</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7,500,000</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Convertible Notes</w:t>
            </w:r>
            <w:r>
              <w:rPr>
                <w:rFonts w:ascii="Times New Roman;serif" w:hAnsi="Times New Roman;serif"/>
                <w:b w:val="false"/>
                <w:color w:val="000000"/>
                <w:sz w:val="12"/>
              </w:rPr>
              <w:t>(2)</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12,297,425</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4,099,142</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number of instruments outstanding at the end of the period that were evaluated under the treasury stock method for potentially dilutive effects and were determined to be anti-dilutive. The number of RSUs outstanding at the three and nine months ended September 30, 2025 consists of 2,774,276 unvested RSUs and 189,312 vested RSUs with elected deferrals of the issuance of Class A common stock.</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number of instruments outstanding as converted at the end of the period that were evaluated under the if-converted method for potentially dilutive effects and were determined to be anti-dilutive. For the three and nine months ended September 30, 2025, the Convertible Notes (if-converted) included in the table above that were out-of-the-money totaled 12,297,425 and 4,099,142, respectively.</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Represents number of Earn Out Units outstanding at the end of the period that were excluded due to unsatisfied contingent issuance conditions.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    Options and warrants with exercise prices greater than the average market price of our Class A Common Stock would be excluded from the computation of diluted net income per share because they are out-of-the-money. The out-of-the-money instruments included in the table above were warrants of 706,522 for the three and nine months ended September 30, 2025. For the three and nine months ended September 30, 2024, the out-of-the-money instruments included in the table above were options of 250,308 and warrants of 22,636,814. </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legal proceedings, claims and liabilities that arise in the ordinary course of business. We accrue for losses associated with legal claims when such losses are considered probable and the amounts can be reasonably estimated. The Company bases any accrual for losses on a variety of factors, including informal settlement discussions. As of September 30, 2025 and December 31, 2024, the aggregate amount accrued on our condensed consolidated balance sheet is approximately $2.1 million. For matters for which no accrual has currently been made or for potential losses in excess of amounts accrued, the Company currently believes, based on its internal investigations, that any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it could have a material adverse effect on our business, financial condition and results of operations. The Company may also incur substantial legal fees, which are expensed as incurred, in defending against legal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22, 2024, Starlight Strategies IV LLC (“Plaintiff”), an alleged successor in interest to a purported former holder of shares of the Company’s 10% Series A Cumulative Convertible Preferred Stock, par value $0.0001 per share (the “Series A Preferred Stock”) filed a breach of contract action in Delaware Chancery Court. The complaint alleges that the Plaintiff’s predecessor received fewer shares of common stock upon conversion of its shares of Series A Preferred Stock than it was allegedly entitled to receive under the terms of the applicable certificate of designation. The Plaintiff is seeking unspecified contractual damages and equitable relief.  The Company has filed its answer to the complaint and asserted counterclaims against the Plaintiff and third-party claims against certain entities affiliated with the Plaintiff. Also, on January 24, 2025, Kingstown 1740 Fund L.P. and Kingstown Capital Partners LLC (together, “Kingstown”) moved to intervene, seeking to file a complaint in intervention against Starlight. The court granted Kingstown leave to intervene. In connection with the intervention, the Company has agreed to pay Kingstown’s legal fees. We believe that we have meritorious defenses and claims against the Plaintiff and its affiliates, and we intend to vigorously defend the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time-to-time, we enter into long-term commitments with vendors to purchase launch services and for the development of certain components in conjunction with our obligations under revenue contracts with our customers.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aggregate purchases under these commitments totaled approximately $20.4 million and $49.4 million for the three and nine months ended September 30, 2025, respectively, and $6.0 million and $29.0 million for the three and nine months ended September 30, 2024, respectively. As of September 30, 2025, we had remaining purchase obligations under non-cancelable commitments with various vendors totaling $93.2 million of which $11.9 million is due during the remaining of 2025, $59.7 million due in 2026, and the remaining $21.6 million due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 RELATED PARTY TRANSACTIONS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Intuitive Machines, IX LLC and Space Network Solutions, LLC have entered into recurring transaction agreements with certain related parties, including sales agreements and loan agreements.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IBX, LLC and PTX, LLC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incur expenses with IBX, LLC and PTX, LLC (“IBX/PTX”) for the provision of management and professional services in the day-to-day operation of our business. These expenses include, among others, fees for the provision of administrative, accounting and legal services. As such, expenses incurred in relation to IBX/PTX are incurred in the normal course of business and amounts are settled under normal business terms. IBX/PTX is an innovation and investment firm committed to advancing the state of humanity and human knowledge. Kamal Ghaffarian, the Chairman of the Board and one of the co-founders of Intuitive Machines, is a co-founder and current member of management of IBX/PTX. The Company incurred no expenses with IBX/PTX for the three and nine months ended September 30, 2025, and incurred expenses of $30 thousand and $54 thousand for the three and nine months ended September 30, 2024, respectively. There was no affiliate accounts payable related to IBX expenses as of September 30, 2025 and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KBR, Inc.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KBR, Inc. (“KBR”), a U.S.-based firm operating in the science, technology and engineering industries holds approximately 10% of the equity of Space Network Solutions, LLC (“SNS”), one of our operating subsidiaries. The Company recognized affiliate revenue from KBR related to engineering services of $0.4 million and $0.2 million for the three months ended September 30, 2025 and 2024, respectively, and $1.5 million and $1.5 million for the nine months ended September 30, 2025 and 2024, respectively. As of September 30, 2025 and December 31, 2024, there was $0.3 million and $0.4 million, respectively, of affiliate accounts receivable related to KBR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SNS incurred cost of revenue with KBR related to the OMES III contract of $5.3 million and $8.5 million for the three months ended September 30, 2025 and 2024, respectively, and $17.1 million and $27.1 million for the nine months ended September 30, 2025 and 2024, respectively. As of September 30, 2025 and December 31, 2024, there was $2.1 million and $2.5 million, respectively, of affiliate accounts payable related to cost of revenue with KBR. See Note 15 - Variable Interest Entities for more information on the OMES III contract with KBR.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and expenses related to KBR are incurred in the normal course of business and amounts are settled under normal business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 from ASES related to engineering services of $0.3 million and $0.1 million for the three months ended September 30, 2025 and 2024, respectively, and $0.9 million and $0.5 million for the nine months ended September 30, 2025 and 2024, respectively. There was $0.1 million of affiliate accounts receivable related to ASES revenue as of September 30, 2025 and December 31, 2024. ASES is a joint venture between Aerodyne and KBR. Kamal Ghaffarian, the Chairman of the Board and one of the co-founders of Intuitive Machines, LLC is a current member of management of Aerodyne Industries, LLC.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SNS incurred cost of revenue with Aerodyne related to the OMES III contract of $0.4 million and $1.6 million for the three and nine months ended September 30, 2025, respectively, and none for the three and nine months ended September 30, 2024. As of September 30, 2025 and December 31, 2024, there was $0.1 million and zero, respectively, of affiliate accounts payable related to cost of revenue with Aerodyne. See Note 15 - Variable Interest Entities for more information on the OMES III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and expenses related to ASES are incurred in the normal course of business and amounts are settled under normal business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X-energy, LLC</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incurred expenses with X-energy, LLC (“X-energy”) of zero and $0.1 million for the three months ended September 30, 2025 and 2024, respectively, and $0.5 million and $0.3 million for the nine months ended September 30, 2025 and 2024, respectively. As of September 30, 2025 and December 31, 2024, there was no affiliate accounts payable related to X-energy expenses. Expenses related to X-energy are incurred in the normal course of business and amounts are settled under normal business terms. Kamal Ghaffarian, the Chairman of the Board and one of the co-founders of Intuitive Machines, LLC is the Executive Chairman of X-Energy Reactor Company, LLC, which is the parent company of X-Energy.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Axiom Space, Inc.</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 from Axiom Space, Inc. (“Axiom”) related to space infrastructure development activities of $300 thousand for the three and nine months ended September 30, 2025, and zero and $50 thousand for the three and nine months ended September 30, 2024. As of September 30, 2025, there was affiliate accounts receivable of $300 thousand related to Axiom and none as of December 31, 2024. Kamal Ghaffarian, the Chairman of the Board and one of the co-founders of Intuitive Machines, LLC is a co-founder and Executive Chairman of Axiom. Revenue related to Axiom are incurred in the normal course of business and amounts are settled under normal business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VARIABLE INTEREST ENTITIES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Space Network Solutions, LLC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 As of September 30, 2025, SNS LLC had total assets of $9.4 million and total liabilities of $6.4 million. As of December 31, 2024, SNS LLC had total assets of $12.9 million and total liabilities of $9.2 million.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IX, LLC Joint Venture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the IX, LLC joint venture (“IX LLC JV”) with X-energy, a nuclear reactor and fuel design engineering company, developing high-temperature gas cooled nuclear reactors and fuel to power them. We hold a 51% interest in the IX LLC JV and X-energy holds a 49% interest. Kamal Ghaffarian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IX LLC JV was formed to pursue nuclear space propulsion and surface power systems in support of future space exploration goals. In the third quarter of 2022, the IX LLC JV received an award from Battelle Energy Alliance to design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fission surface power system that can operate on the surface of the Moon to support sustained lunar presence and exploration of Mars. As of September 30, 2025 and December 31, 2024, the assets and liabilities of IX LLC JV totaled $— million and $0.5 million, respectively, associated with project execution activities subcontracted to the IX LLC JV partners and other third parties.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one operating segment and one reportable segment underpinned by three core pillars (delivery services, data transmission services, and infrastructure as a service) that have similar capabilities, customers, and economic characteristics. The Company’s chief operating decision-maker (“CODM”) is our chief executive officer. Our CODM reviews and evaluates consolidated Net income (loss), a U.S. GAAP measure, and Adjusted Earnings before Interest, Taxes, Depreciation, and Amortization (“Adjusted EBITDA”), a non-GAAP measure, for purposes of evaluating financial performance, making operating decisions, allocating resources, and planning and forecasting for future periods. Although we utilize a non-GAAP measure of Adjusted EBITDA to evaluate our ability to generate cash and as an alternative measure of profitability, our primary profitability measure is the GAAP measure of Net income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maintained in the U.S. We geographically disaggregate our revenues based on the customer’s country of domicile. Substantially all of our revenues are derived from customers in the U.S., and our revenues from foreign customers were 10% and 6% of total revenues for the three and nine months ended September 30, 2025, respectively, and were not material for the three and nine months ended September 30, 2024. Refer to Note 2 for information regarding our major customers and Note 3 for further information on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significant financial information with respect to the Company’s reportable segment for the three and nine months ended September 30, 2025 and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62"/>
        <w:gridCol w:w="1445"/>
        <w:gridCol w:w="1424"/>
        <w:gridCol w:w="224"/>
        <w:gridCol w:w="765"/>
        <w:gridCol w:w="115"/>
        <w:gridCol w:w="115"/>
        <w:gridCol w:w="115"/>
        <w:gridCol w:w="115"/>
        <w:gridCol w:w="224"/>
        <w:gridCol w:w="831"/>
        <w:gridCol w:w="115"/>
        <w:gridCol w:w="109"/>
        <w:gridCol w:w="109"/>
        <w:gridCol w:w="109"/>
        <w:gridCol w:w="211"/>
        <w:gridCol w:w="826"/>
        <w:gridCol w:w="109"/>
        <w:gridCol w:w="109"/>
        <w:gridCol w:w="109"/>
        <w:gridCol w:w="109"/>
        <w:gridCol w:w="211"/>
        <w:gridCol w:w="886"/>
        <w:gridCol w:w="158"/>
      </w:tblGrid>
      <w:tr>
        <w:trPr/>
        <w:tc>
          <w:tcPr>
            <w:tcW w:w="16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 (excluding depreciation)</w:t>
            </w:r>
            <w:r>
              <w:rPr>
                <w:rFonts w:ascii="Times New Roman;serif" w:hAnsi="Times New Roman;serif"/>
                <w:b w:val="false"/>
                <w:color w:val="000000"/>
                <w:sz w:val="13"/>
              </w:rPr>
              <w:t>(1)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(excluding depreciation):</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expense</w:t>
            </w:r>
            <w:r>
              <w:rPr>
                <w:rFonts w:ascii="Times New Roman;serif" w:hAnsi="Times New Roman;serif"/>
                <w:b w:val="false"/>
                <w:color w:val="000000"/>
                <w:sz w:val="13"/>
              </w:rPr>
              <w:t>(2)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general and administrative expense</w:t>
            </w:r>
            <w:r>
              <w:rPr>
                <w:rFonts w:ascii="Times New Roman;serif" w:hAnsi="Times New Roman;serif"/>
                <w:b w:val="false"/>
                <w:color w:val="000000"/>
                <w:sz w:val="13"/>
              </w:rPr>
              <w:t>(3)</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 (excluding depreciation)</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securities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(80,411)</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Cost of revenue consists primarily of direct material and labor costs, launch costs, manufacturing overhead, freight expense, and other personnel-related expenses, which include employee compensation and benefits and stock-based compensation expense.</w:t>
      </w:r>
    </w:p>
    <w:p>
      <w:pPr>
        <w:pStyle w:val="TextBody"/>
        <w:bidi w:val="0"/>
        <w:spacing w:lineRule="auto" w:line="288" w:before="12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(2)    Sales and marketing expense primarily includes business development and research and development related expenses such as, employee compensation and benefits, subcontract costs, marketing, and materials and supplies costs. Costs incurred for business development were $1.2 million and $0.5 million for the three months ended September 30, 2025 and 2024, respectively, and $2.6 million and $1.4 million for the nine months ended September 30, 2025 and 2024, respectively. Costs incurred for research and development costs were $4.0 million and $0.3 million for the three months ended September 30, 2025 and 2024, respectively, and $5.4 million and $0.9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(3)    Other general and administrative expense primarily includes all other employee compensation and benefits, stock-based compensation, facilities costs, professional services, software licenses, and other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Purchase Agreement - Lanteris Space Holdings LLC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entered into a Membership Interest Purchase Agreement (the “Purchase Agreement”), to acquire Lanteris Space Holdings LLC (“Lanteris”) from Advent International LLC. Formerly Maxar Space Systems, Lanteris is a leading satellite manufacturer and provider for space exploration with a record of delivering mission success across national security, commercial and civil space. Pursuant to the Purchase Agreement, and upon the terms and subject to the conditions therein, the Company will purchase from Advent 100% of the issued and outstanding membership interests of Lanteris. The aggregate consideration for the acquisition is $800 million, consisting of $450 million in cash and $350 million in the Company’s Class A Common Stock, subject to adjustments as set forth in the Purchase Agreement. The transaction is expected to close in the first quarter of 2026, subject to customary regulatory approvals and closing conditions.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 Purchase Agreement - KinetX, Inc.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completed the stock purchase agreement to acquire 100% of the issued and outstanding capital stock of KinetX, Inc (“KinetX”). KinetX is a privately-held, Arizona-based aerospace company with more than 30 years of experience delivering flight-proven, deep space navigation, systems engineering, ground software, and constellation mission design to the U.S. government and international customers. The consideration for the acquisition totaled approximately $31.1 million, consisting of the aggregate base consideration of $30.0 million plus $1.1 million for net working capital and other adjustments, and was paid in a combination of $16.1 million cash and 1,434,005 shares of the Company’s Class A Common Stock valued at $15.0 million based on a volume-weighted average price of $10.46. As of the date of this filing, the initial accounting for the acquisition of KinetX is incomplete due to the timing of available information. The Company is gathering the necessary information to provide such disclosures in future filings.</w:t>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our condensed consolidated financial statements and related notes thereto included elsewhere in this Quarterly Report, as well as our audited consolidated financial statements as of and for the years ended December 31, 2024 and 2023 which was filed with the Securities and Exchange Commission (the “SEC”) on March 25, 2025. Certain of the information contained in this discussion and analysis or set forth elsewhere in this Quarterly Report, includes forward-looking statements that involve risks and uncertainties. As a result of many factors, including those factors set forth in the sections titled “Cautionary Note Regarding Forward-Looking Statements“ and Part II. Item 1A. “Risk Factors” included in this Quarterly Report and in the section titled Part I. Item 1A. “Risk Factors” in our 2024 Annual Report on Form 10-K filed with the SEC on March 25, 2025, our actual results could differ materially from the results described in or implied by the forward-looking statements contained in the following discussion and analysis.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section to the “Company,” “IM,” “Intuitive Machines,” “we,” “us,”, or “our” refer to Intuitive Machines,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are a space technology, infrastructure, and services company founded in 2013 that is contributing to the establishment of cislunar infrastructure and helping to develop cislunar and deep space commerce. Cislunar encompasses objects in orbit in the Earth-Moon system and on the Lunar surface, while deep space exploration is space beyond the Moon, including Mars. We believe we have a leading position in the development of technology platforms operating in three core pillars —delivery services, data transmission services, and infrastructure as a service — as described below under </w:t>
      </w:r>
      <w:r>
        <w:rPr>
          <w:rFonts w:ascii="Times New Roman;serif" w:hAnsi="Times New Roman;serif"/>
          <w:b w:val="false"/>
          <w:i/>
          <w:color w:val="000000"/>
          <w:sz w:val="20"/>
        </w:rPr>
        <w:t>Our Business Model</w:t>
      </w:r>
      <w:r>
        <w:rPr>
          <w:rFonts w:ascii="Times New Roman;serif" w:hAnsi="Times New Roman;serif"/>
          <w:b w:val="false"/>
          <w:color w:val="000000"/>
          <w:sz w:val="20"/>
        </w:rPr>
        <w:t>. We are focused on establishing the lunar infrastructure associated with each of the three pillars, which provides the basis for commerce to inform and sustain human presence off Earth. Our vision is that our infrastructure services enable our customers to focus on their unique contributions to create a thriving, diverse cislunar economy and expand the commercial space exploration marketplace to the Lunar surface and beyond.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United States (“U.S.”) government has indicated that returning to the Moon is of strategic importance to the U.S. and we believe it will continue to have bipartisan support as we enter the next generation space race with </w:t>
      </w:r>
      <w:r>
        <w:rPr>
          <w:rFonts w:ascii="Times New Roman;serif" w:hAnsi="Times New Roman;serif"/>
          <w:b w:val="false"/>
          <w:color w:val="000000"/>
          <w:sz w:val="20"/>
          <w:shd w:fill="FFFFFF" w:val="clear"/>
        </w:rPr>
        <w:t>the People’s Republic of China (“China”)</w:t>
      </w:r>
      <w:r>
        <w:rPr>
          <w:rFonts w:ascii="Times New Roman;serif" w:hAnsi="Times New Roman;serif"/>
          <w:b w:val="false"/>
          <w:color w:val="000000"/>
          <w:sz w:val="20"/>
        </w:rPr>
        <w:t xml:space="preserve">. We believe that space is the next economic frontier, with the Moon being the next stepping stone, and the increased demand from governments, intelligence agencies, commercial industries, and private individuals has created multiple opportunities for long-term growth. We intend to participate in expanding the cislunar economy through a steady cadence of missions, with the intent of offering reduced cost of access and operations while providing reliable missions on a defined schedule. We are one of a select few companies servicing NASA and a worldwide set of commercial payload customers. We believe we have a strong position, as evidenced by four Commercial Lunar Payload Services (“CLPS”) awards to date as of September 30, 2025. On February 22, 2024, our Nova-C lander became the first U.S. vehicle to softly land on the lunar surface since 1972, utilizing our Nova-C Guidance, Navigation and Control (“GN&amp;C”) and Propulsion systems, both of which were designed and are produced in-house. Our IM-1 Nova-C lander carried approximately 100 kilograms of science experiment and technology demonstration payloads, including the first CLPS payload, to a landing site closer to the lunar south pole than any previous mission. We operated on the lunar surface beyond the CLPS required mission duration and downloaded over 500 MB of payload customer data on our commercial Lunar Data Network. In March 2025, our IM-2 mission landed at the southernmost location of the Moon, 5 degrees from the south pole. While in transit, our space to ground communications brought down over 8GB of data from space over our network; delivered 3 rideshare customers to trans lunar injection orbit and assisted them with ground tracking and communication; and demonstrated precision autonomous orbit operations circling the Moon for 39 orbits over a 72 hour period. While on the surface, we demonstrated the ability to manage power in thermal conditions on the south pole surface and in a crater. With the challenge of not being able to recharge the IM-2 lander solar panels post landing, the mission was still able to complete several mission and payload milestones, including downloading 500 MB of payload customer data from the lunar surface.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 Space Force (“Space Force”) has recently begun to turn its attention to the cislunar space, as noted in the Mitchell Institute paper “Securing Cislunar Space and the First Island Off the Coast of Earth.” As the leading CLPS provider and the first company to have successfully landed and operated on the Moon, we believe we are at the forefront of NASA's push for a sustainable return to the lunar surface, while simultaneously driving critical early conversations with the U.S. Department of Defense (“U.S. DoD”) and Space Force to secure the Moon and cislunar space to ensure peaceful and strategic operations in this emerging domain.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generate revenue through our contracts with customers of our orbital and lunar access services and by collecting and transmitting cislunar data for science, technology and infrastructure. We are a provider and supplier of space products and services that we believe will enable sustained robotic and human exploration to the Moon, Mars, and beyond.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employ a “land-and-expand” go-to-market strategy with the goal to deliver increasing value and repetitive revenue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under three core pillars which we believe are required to develop cislunar and deep space commerce: delivery services, data transmission services, and infrastructure as a service. Under Accounting Standards Codification (“ASC”) 280 “Segment Reporting,” we concluded that our core pillars operate as one reportable segment. See our Segment Reporting disclosure under Notes 2 and 16 in our condensed consolidated financial statements for further discussion on our reportable segment. Provided below are summarized descriptions of our three core pillars.</w:t>
      </w:r>
    </w:p>
    <w:p>
      <w:pPr>
        <w:pStyle w:val="TextBody"/>
        <w:bidi w:val="0"/>
        <w:spacing w:lineRule="auto" w:line="268" w:before="120" w:after="283"/>
        <w:ind w:left="0" w:right="0" w:hanging="360"/>
        <w:jc w:val="both"/>
        <w:rPr/>
      </w:pPr>
      <w:r>
        <w:rPr>
          <w:color w:val="000000"/>
        </w:rPr>
        <w:t>•</w:t>
      </w:r>
      <w:r>
        <w:rPr>
          <w:rFonts w:ascii="Times New Roman;serif" w:hAnsi="Times New Roman;serif"/>
          <w:b/>
          <w:i/>
          <w:color w:val="000000"/>
          <w:sz w:val="20"/>
        </w:rPr>
        <w:t>Delivery Services</w:t>
      </w:r>
      <w:r>
        <w:rPr>
          <w:color w:val="000000"/>
        </w:rPr>
        <w:t xml:space="preserve"> </w:t>
      </w:r>
      <w:r>
        <w:rPr>
          <w:rFonts w:ascii="Times New Roman;serif" w:hAnsi="Times New Roman;serif"/>
          <w:b w:val="false"/>
          <w:color w:val="000000"/>
          <w:sz w:val="20"/>
        </w:rPr>
        <w:t xml:space="preserve">provides for the transportation and delivery of payloads, such as, satellites, scientific instruments and cargo to various destinations in space, in addition to rideshare delivery and lunar surface access. In February 2024, our Nova C lander became the first U.S. vehicle to softly land on the lunar surface since 1972. In March 2025, our IM-2 mission landed at the southernmost location of the Moon, 5 degrees from the south pole and conducted a shortened mission. </w:t>
      </w:r>
    </w:p>
    <w:p>
      <w:pPr>
        <w:pStyle w:val="TextBody"/>
        <w:bidi w:val="0"/>
        <w:spacing w:lineRule="auto" w:line="268" w:before="160" w:after="283"/>
        <w:ind w:left="0" w:right="0" w:hanging="360"/>
        <w:jc w:val="both"/>
        <w:rPr/>
      </w:pPr>
      <w:r>
        <w:rPr>
          <w:color w:val="000000"/>
        </w:rPr>
        <w:t>•</w:t>
      </w:r>
      <w:r>
        <w:rPr>
          <w:rFonts w:ascii="Times New Roman;serif" w:hAnsi="Times New Roman;serif"/>
          <w:b/>
          <w:i/>
          <w:color w:val="000000"/>
          <w:sz w:val="20"/>
        </w:rPr>
        <w:t>Data Transmission Services</w:t>
      </w:r>
      <w:r>
        <w:rPr>
          <w:color w:val="000000"/>
        </w:rPr>
        <w:t xml:space="preserve"> </w:t>
      </w:r>
      <w:r>
        <w:rPr>
          <w:rFonts w:ascii="Times New Roman;serif" w:hAnsi="Times New Roman;serif"/>
          <w:b w:val="false"/>
          <w:color w:val="000000"/>
          <w:sz w:val="20"/>
        </w:rPr>
        <w:t>offerings include the collection, processing, and interpretation of space-based data, utilizing applications, such as, command, control, communications, reconnaissance and prospecting. In September 2024, NASA awarded Intuitive Machines a NSNS contract for communication and navigation services for missions in the near space region, which extends from Earth’s surface to beyond the Moon.</w:t>
      </w:r>
    </w:p>
    <w:p>
      <w:pPr>
        <w:pStyle w:val="TextBody"/>
        <w:bidi w:val="0"/>
        <w:spacing w:lineRule="auto" w:line="268" w:before="160" w:after="283"/>
        <w:ind w:left="0" w:right="0" w:hanging="360"/>
        <w:jc w:val="both"/>
        <w:rPr/>
      </w:pPr>
      <w:r>
        <w:rPr>
          <w:color w:val="000000"/>
        </w:rPr>
        <w:t>•</w:t>
      </w:r>
      <w:r>
        <w:rPr>
          <w:rFonts w:ascii="Times New Roman;serif" w:hAnsi="Times New Roman;serif"/>
          <w:b/>
          <w:i/>
          <w:color w:val="000000"/>
          <w:sz w:val="20"/>
        </w:rPr>
        <w:t>Infrastructure as a Service</w:t>
      </w:r>
      <w:r>
        <w:rPr>
          <w:color w:val="000000"/>
        </w:rPr>
        <w:t xml:space="preserve"> </w:t>
      </w:r>
      <w:r>
        <w:rPr>
          <w:rFonts w:ascii="Times New Roman;serif" w:hAnsi="Times New Roman;serif"/>
          <w:b w:val="false"/>
          <w:color w:val="000000"/>
          <w:sz w:val="20"/>
        </w:rPr>
        <w:t>delivers</w:t>
      </w:r>
      <w:r>
        <w:rPr>
          <w:color w:val="000000"/>
        </w:rPr>
        <w:t xml:space="preserve"> </w:t>
      </w:r>
      <w:r>
        <w:rPr>
          <w:rFonts w:ascii="Times New Roman;serif" w:hAnsi="Times New Roman;serif"/>
          <w:b w:val="false"/>
          <w:color w:val="000000"/>
          <w:sz w:val="20"/>
        </w:rPr>
        <w:t>space assets performing tasks and making decisions without human intervention that are designed to perform essential functions, such as, navigation, maintenance, scientific data collection, and system health monitoring. During 2024, NASA awarded Intuitive Machines a LTV contract to support the agency’s Artemis Campaign as a prime contractor, leading the development of the Moon RACER.</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integrate these fundamental pillars to not only enable access to the Moon but also to lay the foundation for a thriving cislunar and deep space economy. We believe our delivery, data transmission, and infrastructure capabilities uniquely position us to drive innovation, create long-tail revenue streams, and ultimately support humanity’s push to establish profitable industries in space. We expect to achieve leading time to market across these core pillars driven by our short design to manufacture process, enabled through vertical integration and rapid iterative testing. We leverage technologies developed for our three core service pillars to expand into adjacent markets where these capabilities provide a competitive advantage. </w:t>
      </w:r>
    </w:p>
    <w:p>
      <w:pPr>
        <w:pStyle w:val="TextBody"/>
        <w:bidi w:val="0"/>
        <w:spacing w:lineRule="auto" w:line="268" w:before="240" w:after="283"/>
        <w:jc w:val="both"/>
        <w:rPr/>
      </w:pPr>
      <w:r>
        <w:rPr>
          <w:rFonts w:ascii="Times New Roman;serif" w:hAnsi="Times New Roman;serif"/>
          <w:b/>
          <w:i/>
          <w:color w:val="000000"/>
          <w:sz w:val="20"/>
        </w:rPr>
        <w:t>Adjacent and Opportunistic Market</w:t>
      </w:r>
      <w:r>
        <w:rPr>
          <w:color w:val="000000"/>
        </w:rPr>
        <w:t xml:space="preserve"> </w:t>
      </w:r>
      <w:r>
        <w:rPr>
          <w:rFonts w:ascii="Times New Roman;serif" w:hAnsi="Times New Roman;serif"/>
          <w:b/>
          <w:i/>
          <w:color w:val="000000"/>
          <w:sz w:val="20"/>
        </w:rPr>
        <w:t>Opportunities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Intuitive Machines’ unique technology platforms and engineering expertise, we are also pursuing and executing on business opportunities outside the three core pillars for customers aligned with our talent and product offerings. This includes work on the JETSON Low Power project for the Air Force Research Laboratory (AFRL), the development of scalable reentry technologies, and federal engineering services contracts at various NASA centers.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New Awards and Recent Developments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Purchase Agreement - Lanteris Space Systems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the Company entered into a Membership Interest Purchase Agreement (the “Purchase Agreement”), to acquire Lanteris Space Holdings LLC (“Lanteris”) from Advent International LLC. Formerly Maxar Space Systems, Lanteris is a leading satellite manufacturer and provider for space exploration with a record of delivering mission success across national security, commercial and civil space. Pursuant to the Purchase Agreement, and upon the terms and subject to the conditions therein, the Company will purchase from Advent 100% of the issued and outstanding membership interests of Lanteris. The aggregate consideration for the acquisition is $800 million, consisting of $450 million in cash and $350 million in the Company’s Class A Common Stock, subject to adjustments as set forth in the Purchase Agreement. In alignment with the Company’s vision, the acquisition of Lanteris positions it as a vertically integrated, next generation space prime that can design, manufacture, deliver, and operate missions from earth orbit to the Moon, Mars, and beyond.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transaction is expected to close in the first quarter of 2026, subject to customary regulatory approvals and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Purchase Agreement - KinetX, Inc.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completed the stock purchase agreement to acquire 100% of the issued and outstanding capital stock of KinetX, Inc (“KinetX”). KinetX is a privately-held, Arizona-based aerospace company with more than 30 years of experience delivering flight-proven, deep space navigation, systems engineering, ground software, and constellation mission design to the U.S. government and international customers. The consideration for the acquisition totaled approximately $31.1 million, consisting of the aggregate base consideration of $30.0 million plus $1.1 million for net working capital and other adjustments, and was paid in a combination of $16.1 million cash and 1,434,005 shares of the Company’s Class A Common Stock valued at $15.0 million based on a volume-weighted average price of $10.46.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reinforces the Company’s flight dynamics and navigation business line within its Data Transmission Services pillar. The Company plans to pair KinetX software and talent with its lunar-proven flight systems, positioning the Company to lead in emerging opportunities like NASA’s Near Space Network Services, the potential for Tracking and Data Relay Satellite System replacement, Mars data relay missions, and commercial operations of legacy Deep Space Network infrastructure.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Orbital Transfer Vehicle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received a $9.8 million government contract from a National Security customer to advance our Orbital Transfer Vehicle design. This phase two award represents the final engineering milestone prior to manufacturing the vehicle as early as 2026 and expands our in-space mobility solutions beyond lunar surface delivery into the rapidly growing market for in-space logistics.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Tax Legislation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We have assessed the impact of the OBBBA and determined that the impact on our condensed consolidated financial statements is not material.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future success and financial performance depend on several factors that present significant opportunities for our business, but also pose risks and challenges, including those discussed below and in the sections titled Part I., Item 1A. “Risk Factors” in the 2024 Annual Report on Form 10-K, and Part II., Item 1A. “Risk Factors” of this Quarterly Report on Form 10-Q.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Inflation and Macroeconomic Pressures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continue to monitor economic conditions and the impact of macroeconomic pressures, including repercussions from elevated interest rates, sustained inflation and recession fears, supply chain disruptions, </w:t>
      </w:r>
      <w:r>
        <w:rPr>
          <w:rFonts w:ascii="Times New Roman;serif" w:hAnsi="Times New Roman;serif"/>
          <w:b w:val="false"/>
          <w:color w:val="000000"/>
          <w:sz w:val="20"/>
          <w:shd w:fill="FFFFFF" w:val="clear"/>
        </w:rPr>
        <w:t xml:space="preserve">monetary and fiscal policy measures (including future actions or inactions of the United States government related to the “debt-ceiling” or “Department of Government Efficiency” actions), heightened geopolitical tensions (such as the war in Ukraine and Israel), changes to the U.S. federal budget, current or future government shutdowns, and the political and regulatory environment (including changes as a result of policy shifts implemented by the current administration) </w:t>
      </w:r>
      <w:r>
        <w:rPr>
          <w:rFonts w:ascii="Times New Roman;serif" w:hAnsi="Times New Roman;serif"/>
          <w:b w:val="false"/>
          <w:color w:val="000000"/>
          <w:sz w:val="20"/>
        </w:rPr>
        <w:t>on our business, customers, suppliers and other third parties. While rising costs and other inflationary pressures have not had a material impact on our business to date, we are monitoring the situation and assessing its impact on our business, including to our partners and customers.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20"/>
        </w:rPr>
        <w:t>During 2025, we observed a significant shift in U.S. trade policy, with increased tariffs and</w:t>
      </w:r>
      <w:r>
        <w:rPr>
          <w:color w:val="000000"/>
          <w:shd w:fill="FFFFFF" w:val="clear"/>
        </w:rPr>
        <w:t xml:space="preserve"> </w:t>
      </w:r>
      <w:r>
        <w:rPr>
          <w:rFonts w:ascii="Times New Roman;serif" w:hAnsi="Times New Roman;serif"/>
          <w:b w:val="false"/>
          <w:color w:val="000000"/>
          <w:sz w:val="20"/>
          <w:shd w:fill="FFFFFF" w:val="clear"/>
        </w:rPr>
        <w:t xml:space="preserve">the imposition of new tariffs that could impact our supply chain and our business. While some of these wide-reaching tariffs have been paused, these trade policy decisions are outside of our control and may have consequences for our business. Changes in trade policies, such as new tariffs or increases in tariffs, or reactionary measures including retaliatory tariffs or legal challenges, could have an adverse impact on our business. Even though we primarily sell our products and services to U.S. Government customers and our suppliers are primarily domestic, we have some exposure to imported materials and components. Based on current conditions, we do not expect a material impact on our 2025 results. We will continue to monitor the evolving trade landscape and assess potential implications on our supply chain and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2025, the continuing resolution allowing U.S. government departments and agencies to operate through the end of the government fiscal year expired and the U.S. government shut down. As a result of the U.S. government shutdown, our business, program performance and results of operations may be impacted by the disruptions to federal government offices, workers, and operations, including risks relating to the funding of certain programs, stop work orders, delay in contract awards, new program starts, payments for work performed, and other actions. We may also experience similar impacts in the event of a series of short-term continuing resolutions rather than full-year fiscal year 2026 appropriations. Generally, the significance of these impacts will primarily be based on the length of the shutdown and timing of passage of a new continuing resolutions or a full budget.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ability to expand our product and services offerings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in the preliminary stages of developing our full space infrastructure offerings.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earth reentry, and payload development and manufacture.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expect to make significant investments in our lunar and data programs in the short term. Although we believe that our financial resources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expand spaceflight mission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success will partially depend on our ability to expand our lunar mission operations and win government contracts in 2025 and beyond. We completed the first mission in February 2024 and completed our second mission in March 2025. We are working to establish a regular cadence of missions. We believe that this will provide our customers with proven and reliable cislunar access, with which to plan their future manifest. With binding agreements for additional launches as of September 30, 2025, we have $235.9 million in backlog, and we are in active discussions with numerous potential customers, including government agencies and private companies, to potentially add to our contracted revenue backlog.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Prior to commencing missions, we must complete internal integration activities as well as launch vehicle integration with our launch provider, SpaceX. Any delays to our targeted mission launch date or in commencing our missions, including due to congestion at the pad launch site or delays in obtaining various approvals or licenses, could adversely impact our results and growth plans. As we improve production efficiency and schedule reliability and begin to launch our satellites for our lunar data network, we expect to improve our market penetration, which we believe will lead to higher revenue from both volume and mission complexity as well as increased operating leverage.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Ability to continue to capitalize on government expenditures and private enterprise investment in the space economy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is largely dependent on our ability to continue to capitalize on increased government spending and private investment in the space economy. U.S. federal government expenditures and private enterprise investment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fueled our growth in recent years, and it has resulted in our continued ability to secure increasingly valuable contracts for products and services. An increased focus on U.S. federal government spending could unfavorably impact the space exploration sector in the future. On January 20, 2025, President Donald J. Trump announced an executive order establishing the “Department of Government Efficiency” to maximize government efficiency and productivity. Pressures on and uncertainty surrounding the U.S. federal government’s budget and potential changes in budgetary priorities, could adversely affect the funding for individual programs and delay purchasing decisions by our customers. If our existing programs and project pursuits are not focused on the federal government’s higher priorities, our business, prospects, financial condition and operating results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Ability to improve profit margins and scale 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ability to continue to innovate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design, build, and test our landers, satellites,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lunar data network, and other space systems. Over time, we expect our research and development expenditures to continue to grow on an absolute basis, but remain consistent or decrease as a percent of our total revenue as we expand our service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most of our revenue has been derived from fixed-price,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IM-2, IM-3, IM-4) for management purposes. Revenue is measured based on the amount of consideration specified in a contract with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pStyle w:val="TextBody"/>
        <w:bidi w:val="0"/>
        <w:spacing w:lineRule="auto" w:line="288" w:before="160" w:after="283"/>
        <w:jc w:val="both"/>
        <w:rPr/>
      </w:pPr>
      <w:r>
        <w:rPr>
          <w:rFonts w:ascii="Times New Roman;serif" w:hAnsi="Times New Roman;serif"/>
          <w:b w:val="false"/>
          <w:color w:val="000000"/>
          <w:sz w:val="20"/>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w:t>
      </w:r>
      <w:r>
        <w:rPr>
          <w:rFonts w:ascii="Times New Roman;serif" w:hAnsi="Times New Roman;serif"/>
          <w:b w:val="false"/>
          <w:color w:val="000000"/>
          <w:sz w:val="20"/>
          <w:shd w:fill="FFFFFF" w:val="clear"/>
        </w:rPr>
        <w:t>mately 10% o</w:t>
      </w:r>
      <w:r>
        <w:rPr>
          <w:rFonts w:ascii="Times New Roman;serif" w:hAnsi="Times New Roman;serif"/>
          <w:b w:val="false"/>
          <w:color w:val="000000"/>
          <w:sz w:val="20"/>
        </w:rPr>
        <w:t>f the contract price) contains variable considerations which is constrained to nil for accounting purposes as it is dependent on a successful mission landing. This may cause fluctuations in future revenue, profits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Since late 2023, we have been performing a more significant amount of work on cost-reimbursable contracts such as OMES III. Under cost-reimbursable contracts, the price is generally variable based upon our actual allowable costs incurred for materials, equipment, reimbursable labor hours, overhead and G&amp;A expenses. Profit on cost-reimbursable contracts may be in the form of a fixed fee or a mark-up applied to costs incurred, or a combination of the two. The fee may also be an incentive fee based on performance indicators, milestones or targets and can be based on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discretion or in the form of an award fee determined based on customer evaluation of the Company's performance against contractual criteria. Cost-reimbursable contracts are generally less risky because the owner/customer retains many of the project risks, however it generally requires us to use our best efforts to accomplish the scope of the work within a specified time and budget.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Cost-reimbursable contracts with the U.S. government are generally subject to the Federal Acquisition Regulation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Grant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awarded government grants. Government grants or awards are initially recognized when there is reasonable assurance the conditions of the grant or award will be met and the grant or award will be received. After initial recognition, government grants or awards are recognized as income under revenue within the statement of operations on a systematic basis in a manner consistent with the manner in which the Company recognizes the underlying costs included in the cost of revenue within the statement of operations for which the grant or award is intended to compensate.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revenue (excluding depreciation) consists primarily of direct material and labor costs, launch costs, manufacturing overhead, other personnel-related expenses, which include salaries, bonuses, benefits and stock-based compensation expense and freight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Depreciation consists of the depreciation of tangible fixed assets for the relevant period based on the straight-line method over the useful life of the assets. Tangible fixed assets include property and equipment.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 (excluding depreciation)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of interest income earned on cash and cash equivalent balances held by us in interest-bearing demand deposit accounts, money market funds, and certificates of deposit.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is primarily incurred on the Convertible Notes as discussed in Note 6 - Debt, in addition to interest expense on our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 in fair value of earn-out liabilities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stockholders’ equity (deficit) on the consolidated balance sheet. See Note 11 of the condensed consolidated financial statements for additional information on the earn-out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Warrant Exercise Agreement, and the Bridge Loan Conversion, the Company has issued warrants which are classified as liabilities on our balance sheet. At each period end, the warrants are remeasured to their fair value with the changes during the period recognized in other income (expense) on our condensed consolidated statement of operations. As of September 30, 2025, only the Bridge Loan Conversion warrants remain outstanding. See Notes 9 and 11 of the condensed consolidated financial statements for additional information on the warrant liabilities.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Loss on issuance of securities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Private Placement, Warrant Exercise Agreement, and the Bridge Loan Conversion, the Company has discussed in Notes 9 and 11 to the condensed consolidated financial statements, the Company issued warrants and recognized a loss on the issuance as the fair value of the securities exceeded the gross proceeds at the issuance date. The Company evaluated the terms of the warrants and determined they meet the criteria in ASC 815, “Derivatives and Hedging”, to be classified as a derivative liability, initially measured at fair value. The subsequent changes in fair value are recognized in earnings in other income (expense) on the condensed consolidated statement of operations.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immaterial miscellaneous income sources.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loss attributable to redeemable noncontrolling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 represents the portion of Intuitive Machines, LLC that the Company controls and consolidates but does not own. The noncontrolling interest was created as a result of the Business Combination and represented the common units issued by Intuitive Machines, LLC to the prior investors. The Company allocates net income or loss attributable to the noncontrolling interest based on the weighted average ownership interest during the period. The net income or loss attributable to noncontrolling interests is reflected in the condensed consolidated statement of operations. As of September 30, 2025, the financial results of Intuitive Machines, LLC were consolidated into Intuitive Machines, Inc. and resulted in the allocation of approximately 34.1% of Intuitive Machines, LLC’s net loss to noncontrolling interest.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income attributable to noncontrolling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Intuitive Machines and KBR entered into a joint venture agreement (the “OMES III JV Agreement”) within Space Network Solutions to execute the OMES III contract with a profits interest of 47% for Intuitive Machines and 53% for KBR, which represents the noncontrolling interest. We have determined that the OMES III JV Agreement represents a silo within Space Network Solutions and is a standalone VIE.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The period-period comparison of financial results is not necessarily indicative of future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consolidated results of operations for the three months ended September 30, 2025 compared to the three months ended September 30, 2024, and for the nine months ended September 30, 2025 compared to the nine months ended September 30,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1"/>
        <w:gridCol w:w="532"/>
        <w:gridCol w:w="536"/>
        <w:gridCol w:w="199"/>
        <w:gridCol w:w="656"/>
        <w:gridCol w:w="110"/>
        <w:gridCol w:w="110"/>
        <w:gridCol w:w="110"/>
        <w:gridCol w:w="110"/>
        <w:gridCol w:w="199"/>
        <w:gridCol w:w="686"/>
        <w:gridCol w:w="110"/>
        <w:gridCol w:w="109"/>
        <w:gridCol w:w="109"/>
        <w:gridCol w:w="109"/>
        <w:gridCol w:w="196"/>
        <w:gridCol w:w="646"/>
        <w:gridCol w:w="109"/>
        <w:gridCol w:w="109"/>
        <w:gridCol w:w="109"/>
        <w:gridCol w:w="135"/>
        <w:gridCol w:w="135"/>
        <w:gridCol w:w="136"/>
        <w:gridCol w:w="196"/>
        <w:gridCol w:w="736"/>
        <w:gridCol w:w="109"/>
        <w:gridCol w:w="135"/>
        <w:gridCol w:w="135"/>
        <w:gridCol w:w="136"/>
        <w:gridCol w:w="196"/>
        <w:gridCol w:w="765"/>
        <w:gridCol w:w="109"/>
        <w:gridCol w:w="109"/>
        <w:gridCol w:w="109"/>
        <w:gridCol w:w="109"/>
        <w:gridCol w:w="196"/>
        <w:gridCol w:w="646"/>
        <w:gridCol w:w="109"/>
        <w:gridCol w:w="109"/>
        <w:gridCol w:w="160"/>
      </w:tblGrid>
      <w:tr>
        <w:trPr/>
        <w:tc>
          <w:tcPr>
            <w:tcW w:w="88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(in thousands)</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revenue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Grant revenue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revenues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expenses: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revenue (excluding depreciation)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revenue (excluding depreciation) - affiliated companies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property and equipment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 (excluding depreciation)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operating expenses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loss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(15,419)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(13,724)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income (expense), net:</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earn-out liabilities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warrant liabilities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issuance of securities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net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other income (expense), net</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(66,637)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before income taxes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(9,960)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attributable to redeemable noncontrolling interest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attributable to noncontrolling interest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 attributable to the Company</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(55,400)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Preferred dividends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 attributable to Class A common shareholders</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(7,000)</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(55,543)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(43,875)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(134,966)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for the three and nine months ended September 30, 2025 and 2024 was primarily driven by NASA and other commercial payload contracts associated with our lunar payload missions as well as the OMES III contract where we provide engineering services to the Landsat Servicing mission at the Goddard Space Flight Center in Maryland, the NSNS contract for the development of a satellite communications and navigation network, and the LTV contract leading the development of the Moon RACER Lunar Terrain Vehicle.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provides a summary of the significant contracts and estimated mission launch dates for each lunar payload mission impacting our results of operations:</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erif" w:hAnsi="Times New Roman;serif"/>
          <w:b w:val="false"/>
          <w:color w:val="000000"/>
          <w:sz w:val="20"/>
        </w:rPr>
        <w:t>The NASA payload contract for the IM-1 mission was awarded in June 2019 and was completed in February 2024.</w:t>
      </w:r>
      <w:r>
        <w:rPr>
          <w:color w:val="000000"/>
          <w:shd w:fill="FFFFFF" w:val="clear"/>
        </w:rPr>
        <w:t xml:space="preserve"> </w:t>
      </w:r>
      <w:r>
        <w:rPr>
          <w:rFonts w:ascii="Times New Roman;serif" w:hAnsi="Times New Roman;serif"/>
          <w:b w:val="false"/>
          <w:color w:val="000000"/>
          <w:sz w:val="20"/>
          <w:shd w:fill="FFFFFF" w:val="clear"/>
        </w:rPr>
        <w:t xml:space="preserve">As a result of the successful landing on the lunar surface, previously constrained revenue of approximately $12.3 million as of December 31, 2023 was released and approximately </w:t>
      </w:r>
      <w:r>
        <w:rPr>
          <w:rFonts w:ascii="Times New Roman;serif" w:hAnsi="Times New Roman;serif"/>
          <w:b w:val="false"/>
          <w:color w:val="000000"/>
          <w:sz w:val="20"/>
        </w:rPr>
        <w:t>$11.6 million was recognized as revenue during the first quarter of 2024,</w:t>
      </w:r>
      <w:r>
        <w:rPr>
          <w:color w:val="000000"/>
          <w:shd w:fill="FFFFFF" w:val="clear"/>
        </w:rPr>
        <w:t xml:space="preserve"> </w:t>
      </w:r>
      <w:r>
        <w:rPr>
          <w:rFonts w:ascii="Times New Roman;serif" w:hAnsi="Times New Roman;serif"/>
          <w:b w:val="false"/>
          <w:color w:val="000000"/>
          <w:sz w:val="20"/>
          <w:shd w:fill="FFFFFF" w:val="clear"/>
        </w:rPr>
        <w:t>bringing the total IM-1 mission contract revenue under NASA and other commercial fixed-priced</w:t>
      </w:r>
      <w:r>
        <w:rPr>
          <w:color w:val="000000"/>
        </w:rPr>
        <w:t xml:space="preserve"> </w:t>
      </w:r>
      <w:r>
        <w:rPr>
          <w:rFonts w:ascii="Times New Roman;serif" w:hAnsi="Times New Roman;serif"/>
          <w:b w:val="false"/>
          <w:color w:val="000000"/>
          <w:sz w:val="20"/>
        </w:rPr>
        <w:t xml:space="preserve">contracts to $132.4 million. As of March 31 2024, the IM-1 mission and all related contracts have been closed out. </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shd w:fill="FFFFFF" w:val="clear"/>
        </w:rPr>
        <w:t>•</w:t>
      </w:r>
      <w:r>
        <w:rPr>
          <w:rFonts w:ascii="Times New Roman;serif" w:hAnsi="Times New Roman;serif"/>
          <w:b w:val="false"/>
          <w:color w:val="000000"/>
          <w:sz w:val="20"/>
        </w:rPr>
        <w:t>The initial NASA p</w:t>
      </w:r>
      <w:r>
        <w:rPr>
          <w:rFonts w:ascii="Times New Roman;serif" w:hAnsi="Times New Roman;serif"/>
          <w:b w:val="false"/>
          <w:color w:val="000000"/>
          <w:sz w:val="20"/>
          <w:shd w:fill="FFFFFF" w:val="clear"/>
        </w:rPr>
        <w:t xml:space="preserve">ayload contract for the IM-2 mission was awarded in October 2020 and the mission was completed in March 2025. During the third quarter of 2025, the post-launch services were completed and the previously constrained revenue of </w:t>
      </w:r>
      <w:r>
        <w:rPr>
          <w:rFonts w:ascii="Times New Roman;serif" w:hAnsi="Times New Roman;serif"/>
          <w:b w:val="false"/>
          <w:color w:val="000000"/>
          <w:sz w:val="20"/>
        </w:rPr>
        <w:t>$5.7 million was released and recognized as revenue, bringing the t</w:t>
      </w:r>
      <w:r>
        <w:rPr>
          <w:rFonts w:ascii="Times New Roman;serif" w:hAnsi="Times New Roman;serif"/>
          <w:b w:val="false"/>
          <w:color w:val="000000"/>
          <w:sz w:val="20"/>
          <w:shd w:fill="FFFFFF" w:val="clear"/>
        </w:rPr>
        <w:t xml:space="preserve">otal IM-2 mission contract revenue under NASA and other commercial fixed-priced contracts to </w:t>
      </w:r>
      <w:r>
        <w:rPr>
          <w:rFonts w:ascii="Times New Roman;serif" w:hAnsi="Times New Roman;serif"/>
          <w:b w:val="false"/>
          <w:color w:val="000000"/>
          <w:sz w:val="20"/>
        </w:rPr>
        <w:t>$131.2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As of September 30 2025, the IM-2 mission and all related contracts have been closed out. </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shd w:fill="FFFFFF" w:val="clear"/>
        </w:rPr>
        <w:t>•</w:t>
      </w:r>
      <w:r>
        <w:rPr>
          <w:rFonts w:ascii="Times New Roman;serif" w:hAnsi="Times New Roman;serif"/>
          <w:b w:val="false"/>
          <w:color w:val="000000"/>
          <w:sz w:val="20"/>
          <w:shd w:fill="FFFFFF" w:val="clear"/>
        </w:rPr>
        <w:t xml:space="preserve">The initial NASA payload contract for the IM-3 mission was awarded in November 2021 with an initial targeted mission launch date no later than June 2024. Total IM-3 mission estimated revenue under fixed-priced contracts is </w:t>
      </w:r>
      <w:r>
        <w:rPr>
          <w:rFonts w:ascii="Times New Roman;serif" w:hAnsi="Times New Roman;serif"/>
          <w:b w:val="false"/>
          <w:color w:val="000000"/>
          <w:sz w:val="20"/>
        </w:rPr>
        <w:t>$91.3 million</w:t>
      </w:r>
      <w:r>
        <w:rPr>
          <w:color w:val="000000"/>
          <w:shd w:fill="FFFFFF" w:val="clear"/>
        </w:rPr>
        <w:t xml:space="preserve"> </w:t>
      </w:r>
      <w:r>
        <w:rPr>
          <w:rFonts w:ascii="Times New Roman;serif" w:hAnsi="Times New Roman;serif"/>
          <w:b w:val="false"/>
          <w:color w:val="000000"/>
          <w:sz w:val="20"/>
          <w:shd w:fill="FFFFFF" w:val="clear"/>
        </w:rPr>
        <w:t xml:space="preserve">(excluding constrained revenue of </w:t>
      </w:r>
      <w:r>
        <w:rPr>
          <w:rFonts w:ascii="Times New Roman;serif" w:hAnsi="Times New Roman;serif"/>
          <w:b w:val="false"/>
          <w:color w:val="000000"/>
          <w:sz w:val="20"/>
        </w:rPr>
        <w:t>$9.7 million</w:t>
      </w:r>
      <w:r>
        <w:rPr>
          <w:rFonts w:ascii="Times New Roman;serif" w:hAnsi="Times New Roman;serif"/>
          <w:b w:val="false"/>
          <w:color w:val="000000"/>
          <w:sz w:val="20"/>
          <w:shd w:fill="FFFFFF" w:val="clear"/>
        </w:rPr>
        <w:t xml:space="preserve">) as of September 30, 2025 as compared to </w:t>
      </w:r>
      <w:r>
        <w:rPr>
          <w:rFonts w:ascii="Times New Roman;serif" w:hAnsi="Times New Roman;serif"/>
          <w:b w:val="false"/>
          <w:color w:val="000000"/>
          <w:sz w:val="20"/>
        </w:rPr>
        <w:t xml:space="preserve">$93.0 million as of September 30, 2024. The IM-3 mission timeline currently runs through June 2026; however, as discussed below, we expect to further extend the mission launch window into the second half of 2026. </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shd w:fill="FFFFFF" w:val="clear"/>
        </w:rPr>
        <w:t>The initial NASA payload contract for the IM-4 mission was awarded in August 2024 with an initial targeted mission launch date no later tha</w:t>
      </w:r>
      <w:r>
        <w:rPr>
          <w:rFonts w:ascii="Times New Roman;serif" w:hAnsi="Times New Roman;serif"/>
          <w:b w:val="false"/>
          <w:color w:val="000000"/>
          <w:sz w:val="20"/>
        </w:rPr>
        <w:t>n August 2028, although we expect the mission launch to occur during the second half of 2027. Total IM-4 mission estimated revenu</w:t>
      </w:r>
      <w:r>
        <w:rPr>
          <w:rFonts w:ascii="Times New Roman;serif" w:hAnsi="Times New Roman;serif"/>
          <w:b w:val="false"/>
          <w:color w:val="000000"/>
          <w:sz w:val="20"/>
          <w:shd w:fill="FFFFFF" w:val="clear"/>
        </w:rPr>
        <w:t>e under fixed-priced contrac</w:t>
      </w:r>
      <w:r>
        <w:rPr>
          <w:rFonts w:ascii="Times New Roman;serif" w:hAnsi="Times New Roman;serif"/>
          <w:b w:val="false"/>
          <w:color w:val="000000"/>
          <w:sz w:val="20"/>
        </w:rPr>
        <w:t xml:space="preserve">ts is $105.2 million (excluding constrained revenue of $11.7 million) as of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three months ended September 30, 2025 and 2024</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Total revenue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$6.0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10%</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2025 compared to the same period in 2024, primarily driven by decreases on the OMES III contract of approximately </w:t>
      </w:r>
      <w:r>
        <w:rPr>
          <w:rFonts w:ascii="Times New Roman;serif" w:hAnsi="Times New Roman;serif"/>
          <w:b w:val="false"/>
          <w:color w:val="000000"/>
          <w:sz w:val="20"/>
        </w:rPr>
        <w:t>$17.1 million</w:t>
      </w:r>
      <w:r>
        <w:rPr>
          <w:color w:val="000000"/>
          <w:shd w:fill="FFFFFF" w:val="clear"/>
        </w:rPr>
        <w:t xml:space="preserve"> </w:t>
      </w:r>
      <w:r>
        <w:rPr>
          <w:rFonts w:ascii="Times New Roman;serif" w:hAnsi="Times New Roman;serif"/>
          <w:b w:val="false"/>
          <w:color w:val="000000"/>
          <w:sz w:val="20"/>
          <w:shd w:fill="FFFFFF" w:val="clear"/>
        </w:rPr>
        <w:t xml:space="preserve">due to NASA’s cancellation of the OSAM project task orders </w:t>
      </w:r>
      <w:r>
        <w:rPr>
          <w:rFonts w:ascii="Times New Roman;serif" w:hAnsi="Times New Roman;serif"/>
          <w:b w:val="false"/>
          <w:color w:val="000000"/>
          <w:sz w:val="20"/>
        </w:rPr>
        <w:t xml:space="preserve">and decrease of $9.9 million on LTV contract which was completed during the second quarter of 2025. </w:t>
      </w:r>
      <w:r>
        <w:rPr>
          <w:rFonts w:ascii="Times New Roman;serif" w:hAnsi="Times New Roman;serif"/>
          <w:b w:val="false"/>
          <w:color w:val="000000"/>
          <w:sz w:val="20"/>
          <w:shd w:fill="FFFFFF" w:val="clear"/>
        </w:rPr>
        <w:t xml:space="preserve">These decreases were mostly offset by overall </w:t>
      </w:r>
      <w:r>
        <w:rPr>
          <w:rFonts w:ascii="Times New Roman;serif" w:hAnsi="Times New Roman;serif"/>
          <w:b w:val="false"/>
          <w:color w:val="000000"/>
          <w:sz w:val="20"/>
        </w:rPr>
        <w:t>increases</w:t>
      </w:r>
      <w:r>
        <w:rPr>
          <w:color w:val="000000"/>
          <w:shd w:fill="FFFFFF" w:val="clear"/>
        </w:rPr>
        <w:t xml:space="preserve"> </w:t>
      </w:r>
      <w:r>
        <w:rPr>
          <w:rFonts w:ascii="Times New Roman;serif" w:hAnsi="Times New Roman;serif"/>
          <w:b w:val="false"/>
          <w:color w:val="000000"/>
          <w:sz w:val="20"/>
          <w:shd w:fill="FFFFFF" w:val="clear"/>
        </w:rPr>
        <w:t xml:space="preserve">in revenue from CLPS mission contracts of </w:t>
      </w:r>
      <w:r>
        <w:rPr>
          <w:rFonts w:ascii="Times New Roman;serif" w:hAnsi="Times New Roman;serif"/>
          <w:b w:val="false"/>
          <w:color w:val="000000"/>
          <w:sz w:val="20"/>
        </w:rPr>
        <w:t>$13.1 million</w:t>
      </w:r>
      <w:r>
        <w:rPr>
          <w:color w:val="000000"/>
          <w:shd w:fill="FFFFFF" w:val="clear"/>
        </w:rPr>
        <w:t xml:space="preserve"> </w:t>
      </w:r>
      <w:r>
        <w:rPr>
          <w:rFonts w:ascii="Times New Roman;serif" w:hAnsi="Times New Roman;serif"/>
          <w:b w:val="false"/>
          <w:color w:val="000000"/>
          <w:sz w:val="20"/>
          <w:shd w:fill="FFFFFF" w:val="clear"/>
        </w:rPr>
        <w:t xml:space="preserve">(as further discussed below) and new projects ramping up in 2025, most notably the NSNS contract with an increase in revenue of </w:t>
      </w:r>
      <w:r>
        <w:rPr>
          <w:rFonts w:ascii="Times New Roman;serif" w:hAnsi="Times New Roman;serif"/>
          <w:b w:val="false"/>
          <w:color w:val="000000"/>
          <w:sz w:val="20"/>
        </w:rPr>
        <w:t xml:space="preserve">$1.8 million and various other engineering services revenue increased by approximately $6.1 million.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2025 compared to the same period in 2024, revenue on the IM-2 mission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slightly by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as the mission was completed in March 2025 and the close-out process was finalized in the third quarter of 2025</w:t>
      </w:r>
      <w:r>
        <w:rPr>
          <w:rFonts w:ascii="Times New Roman;serif" w:hAnsi="Times New Roman;serif"/>
          <w:b w:val="false"/>
          <w:color w:val="000000"/>
          <w:sz w:val="20"/>
        </w:rPr>
        <w:t xml:space="preserve">. Revenue from the IM-3 mission for the three months ended September 30, 2025 compared to the same period in </w:t>
      </w:r>
      <w:r>
        <w:rPr>
          <w:rFonts w:ascii="Times New Roman;serif" w:hAnsi="Times New Roman;serif"/>
          <w:b w:val="false"/>
          <w:color w:val="000000"/>
          <w:sz w:val="20"/>
          <w:shd w:fill="FFFFFF" w:val="clear"/>
        </w:rPr>
        <w:t xml:space="preserve">2024 </w:t>
      </w:r>
      <w:r>
        <w:rPr>
          <w:rFonts w:ascii="Times New Roman;serif" w:hAnsi="Times New Roman;serif"/>
          <w:b w:val="false"/>
          <w:color w:val="000000"/>
          <w:sz w:val="20"/>
        </w:rPr>
        <w:t xml:space="preserve">was relatively flat with a decrease of approximately $0.1 million. </w:t>
      </w:r>
      <w:r>
        <w:rPr>
          <w:rFonts w:ascii="Times New Roman;serif" w:hAnsi="Times New Roman;serif"/>
          <w:b w:val="false"/>
          <w:color w:val="000000"/>
          <w:sz w:val="20"/>
          <w:shd w:fill="FFFFFF" w:val="clear"/>
        </w:rPr>
        <w:t xml:space="preserve">The IM-4 mission was awarded in August 2024 and we recognized revenue of </w:t>
      </w:r>
      <w:r>
        <w:rPr>
          <w:rFonts w:ascii="Times New Roman;serif" w:hAnsi="Times New Roman;serif"/>
          <w:b w:val="false"/>
          <w:color w:val="000000"/>
          <w:sz w:val="20"/>
        </w:rPr>
        <w:t>$13.7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2025 compared to </w:t>
      </w:r>
      <w:r>
        <w:rPr>
          <w:rFonts w:ascii="Times New Roman;serif" w:hAnsi="Times New Roman;serif"/>
          <w:b w:val="false"/>
          <w:color w:val="000000"/>
          <w:sz w:val="20"/>
        </w:rPr>
        <w:t xml:space="preserve">$0.1 million for the same period in </w:t>
      </w:r>
      <w:r>
        <w:rPr>
          <w:rFonts w:ascii="Times New Roman;serif" w:hAnsi="Times New Roman;serif"/>
          <w:b w:val="false"/>
          <w:color w:val="000000"/>
          <w:sz w:val="20"/>
          <w:shd w:fill="FFFFFF" w:val="clear"/>
        </w:rPr>
        <w:t>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nine months ended September 30, 2025 and 2024</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Total revenue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$8.1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5%</w:t>
      </w:r>
      <w:r>
        <w:rPr>
          <w:rFonts w:ascii="Times New Roman;serif" w:hAnsi="Times New Roman;serif"/>
          <w:b w:val="false"/>
          <w:color w:val="000000"/>
          <w:sz w:val="20"/>
          <w:shd w:fill="FFFFFF" w:val="clear"/>
        </w:rPr>
        <w:t xml:space="preserve">, for the nine months ended September 30, 2025 compared to the same period in 2024, primarily driven by the OMES III contract decrease in revenue of </w:t>
      </w:r>
      <w:r>
        <w:rPr>
          <w:rFonts w:ascii="Times New Roman;serif" w:hAnsi="Times New Roman;serif"/>
          <w:b w:val="false"/>
          <w:color w:val="000000"/>
          <w:sz w:val="20"/>
        </w:rPr>
        <w:t>$56.6 million</w:t>
      </w:r>
      <w:r>
        <w:rPr>
          <w:color w:val="000000"/>
          <w:shd w:fill="FFFFFF" w:val="clear"/>
        </w:rPr>
        <w:t xml:space="preserve"> </w:t>
      </w:r>
      <w:r>
        <w:rPr>
          <w:rFonts w:ascii="Times New Roman;serif" w:hAnsi="Times New Roman;serif"/>
          <w:b w:val="false"/>
          <w:color w:val="000000"/>
          <w:sz w:val="20"/>
          <w:shd w:fill="FFFFFF" w:val="clear"/>
        </w:rPr>
        <w:t xml:space="preserve">due to NASA’s cancellation of the OSAM project task orders. This decrease was partially offset by a net increase in revenue from CLPS mission contracts of </w:t>
      </w:r>
      <w:r>
        <w:rPr>
          <w:rFonts w:ascii="Times New Roman;serif" w:hAnsi="Times New Roman;serif"/>
          <w:b w:val="false"/>
          <w:color w:val="000000"/>
          <w:sz w:val="20"/>
        </w:rPr>
        <w:t>$23.3 million</w:t>
      </w:r>
      <w:r>
        <w:rPr>
          <w:color w:val="000000"/>
          <w:shd w:fill="FFFFFF" w:val="clear"/>
        </w:rPr>
        <w:t xml:space="preserve"> </w:t>
      </w:r>
      <w:r>
        <w:rPr>
          <w:rFonts w:ascii="Times New Roman;serif" w:hAnsi="Times New Roman;serif"/>
          <w:b w:val="false"/>
          <w:color w:val="000000"/>
          <w:sz w:val="20"/>
          <w:shd w:fill="FFFFFF" w:val="clear"/>
        </w:rPr>
        <w:t xml:space="preserve">(as further discussed below), as well as </w:t>
      </w:r>
      <w:r>
        <w:rPr>
          <w:rFonts w:ascii="Times New Roman;serif" w:hAnsi="Times New Roman;serif"/>
          <w:b w:val="false"/>
          <w:color w:val="000000"/>
          <w:sz w:val="20"/>
        </w:rPr>
        <w:t>increases</w:t>
      </w:r>
      <w:r>
        <w:rPr>
          <w:color w:val="000000"/>
          <w:shd w:fill="FFFFFF" w:val="clear"/>
        </w:rPr>
        <w:t xml:space="preserve"> </w:t>
      </w:r>
      <w:r>
        <w:rPr>
          <w:rFonts w:ascii="Times New Roman;serif" w:hAnsi="Times New Roman;serif"/>
          <w:b w:val="false"/>
          <w:color w:val="000000"/>
          <w:sz w:val="20"/>
          <w:shd w:fill="FFFFFF" w:val="clear"/>
        </w:rPr>
        <w:t xml:space="preserve">in revenue related to the ramp up of the NSNS contract of </w:t>
      </w:r>
      <w:r>
        <w:rPr>
          <w:rFonts w:ascii="Times New Roman;serif" w:hAnsi="Times New Roman;serif"/>
          <w:b w:val="false"/>
          <w:color w:val="000000"/>
          <w:sz w:val="20"/>
        </w:rPr>
        <w:t xml:space="preserve">$14.3 million, the </w:t>
      </w:r>
      <w:r>
        <w:rPr>
          <w:rFonts w:ascii="Times New Roman;serif" w:hAnsi="Times New Roman;serif"/>
          <w:b w:val="false"/>
          <w:color w:val="000000"/>
          <w:sz w:val="20"/>
          <w:shd w:fill="FFFFFF" w:val="clear"/>
        </w:rPr>
        <w:t xml:space="preserve">LTV contract of </w:t>
      </w:r>
      <w:r>
        <w:rPr>
          <w:rFonts w:ascii="Times New Roman;serif" w:hAnsi="Times New Roman;serif"/>
          <w:b w:val="false"/>
          <w:color w:val="000000"/>
          <w:sz w:val="20"/>
        </w:rPr>
        <w:t>$0.9 million, and various o</w:t>
      </w:r>
      <w:r>
        <w:rPr>
          <w:rFonts w:ascii="Times New Roman;serif" w:hAnsi="Times New Roman;serif"/>
          <w:b w:val="false"/>
          <w:color w:val="000000"/>
          <w:sz w:val="20"/>
          <w:shd w:fill="FFFFFF" w:val="clear"/>
        </w:rPr>
        <w:t xml:space="preserve">ther engineering services of </w:t>
      </w:r>
      <w:r>
        <w:rPr>
          <w:rFonts w:ascii="Times New Roman;serif" w:hAnsi="Times New Roman;serif"/>
          <w:b w:val="false"/>
          <w:color w:val="000000"/>
          <w:sz w:val="20"/>
        </w:rPr>
        <w:t xml:space="preserve">$10.0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IM-1 mission successfully completed in February 2024 and resulted in the release of approximately $12.3 million of previously constrained revenue during the first quarter of 2024. For the nine months ended September 30, 2025 compared to the same period in 2024, revenue on the IM-2 mission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as the mission was completed in March 2025 and the mission close-out process was finalized in the third quarter of 2025. Revenue from the IM-3 mission </w:t>
      </w:r>
      <w:r>
        <w:rPr>
          <w:rFonts w:ascii="Times New Roman;serif" w:hAnsi="Times New Roman;serif"/>
          <w:b w:val="false"/>
          <w:color w:val="000000"/>
          <w:sz w:val="20"/>
        </w:rPr>
        <w:t>increased by $5.3 million for the nine months ended September 30, 2025 compared to s</w:t>
      </w:r>
      <w:r>
        <w:rPr>
          <w:rFonts w:ascii="Times New Roman;serif" w:hAnsi="Times New Roman;serif"/>
          <w:b w:val="false"/>
          <w:color w:val="000000"/>
          <w:sz w:val="20"/>
          <w:shd w:fill="FFFFFF" w:val="clear"/>
        </w:rPr>
        <w:t xml:space="preserve">ame period in 2024 as activity increases on the IM-3 mission following the close-out of IM-2. The IM-4 mission which was awarded in August 2024, recognized revenue of </w:t>
      </w:r>
      <w:r>
        <w:rPr>
          <w:rFonts w:ascii="Times New Roman;serif" w:hAnsi="Times New Roman;serif"/>
          <w:b w:val="false"/>
          <w:color w:val="000000"/>
          <w:sz w:val="20"/>
        </w:rPr>
        <w:t>$27.7 million</w:t>
      </w:r>
      <w:r>
        <w:rPr>
          <w:color w:val="000000"/>
          <w:shd w:fill="FFFFFF" w:val="clear"/>
        </w:rPr>
        <w:t xml:space="preserve"> </w:t>
      </w:r>
      <w:r>
        <w:rPr>
          <w:rFonts w:ascii="Times New Roman;serif" w:hAnsi="Times New Roman;serif"/>
          <w:b w:val="false"/>
          <w:color w:val="000000"/>
          <w:sz w:val="20"/>
          <w:shd w:fill="FFFFFF" w:val="clear"/>
        </w:rPr>
        <w:t xml:space="preserve">during the nine months ended September 30, 2025 compared to </w:t>
      </w:r>
      <w:r>
        <w:rPr>
          <w:rFonts w:ascii="Times New Roman;serif" w:hAnsi="Times New Roman;serif"/>
          <w:b w:val="false"/>
          <w:color w:val="000000"/>
          <w:sz w:val="20"/>
        </w:rPr>
        <w:t xml:space="preserve">nil for the same period in </w:t>
      </w:r>
      <w:r>
        <w:rPr>
          <w:rFonts w:ascii="Times New Roman;serif" w:hAnsi="Times New Roman;serif"/>
          <w:b w:val="false"/>
          <w:color w:val="000000"/>
          <w:sz w:val="20"/>
          <w:shd w:fill="FFFFFF" w:val="clear"/>
        </w:rPr>
        <w:t>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three months ended September 30, 2025 and 2024</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Total cost of revenue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$7.6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14%</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2025 compared to the same period in 2024, primarily driven by </w:t>
      </w:r>
      <w:r>
        <w:rPr>
          <w:rFonts w:ascii="Times New Roman;serif" w:hAnsi="Times New Roman;serif"/>
          <w:b w:val="false"/>
          <w:color w:val="000000"/>
          <w:sz w:val="20"/>
        </w:rPr>
        <w:t>decreases on t</w:t>
      </w:r>
      <w:r>
        <w:rPr>
          <w:rFonts w:ascii="Times New Roman;serif" w:hAnsi="Times New Roman;serif"/>
          <w:b w:val="false"/>
          <w:color w:val="000000"/>
          <w:sz w:val="20"/>
          <w:shd w:fill="FFFFFF" w:val="clear"/>
        </w:rPr>
        <w:t xml:space="preserve">he OMES III contract of </w:t>
      </w:r>
      <w:r>
        <w:rPr>
          <w:rFonts w:ascii="Times New Roman;serif" w:hAnsi="Times New Roman;serif"/>
          <w:b w:val="false"/>
          <w:color w:val="000000"/>
          <w:sz w:val="20"/>
        </w:rPr>
        <w:t>$15.4 million</w:t>
      </w:r>
      <w:r>
        <w:rPr>
          <w:color w:val="000000"/>
          <w:shd w:fill="FFFFFF" w:val="clear"/>
        </w:rPr>
        <w:t xml:space="preserve"> </w:t>
      </w:r>
      <w:r>
        <w:rPr>
          <w:rFonts w:ascii="Times New Roman;serif" w:hAnsi="Times New Roman;serif"/>
          <w:b w:val="false"/>
          <w:color w:val="000000"/>
          <w:sz w:val="20"/>
          <w:shd w:fill="FFFFFF" w:val="clear"/>
        </w:rPr>
        <w:t xml:space="preserve">due to NASA’s cancellation of the OSAM project task orders and </w:t>
      </w:r>
      <w:r>
        <w:rPr>
          <w:rFonts w:ascii="Times New Roman;serif" w:hAnsi="Times New Roman;serif"/>
          <w:b w:val="false"/>
          <w:color w:val="000000"/>
          <w:sz w:val="20"/>
        </w:rPr>
        <w:t xml:space="preserve">the LTV contract decrease of $8.2 million due to the close-out during the second quarter of 2025, offset by overall cost increases related to the CLPS mission contracts of $7.7 million (as further discussed below), the NSNS contract of $3.8 million, and other engineering services of $4.5 million.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IM-2 mission cost of revenue decreased by $7.9 million for the three months ended September 30, 2025 compared to the same period in </w:t>
      </w:r>
      <w:r>
        <w:rPr>
          <w:rFonts w:ascii="Times New Roman;serif" w:hAnsi="Times New Roman;serif"/>
          <w:b w:val="false"/>
          <w:color w:val="000000"/>
          <w:sz w:val="20"/>
          <w:shd w:fill="FFFFFF" w:val="clear"/>
        </w:rPr>
        <w:t xml:space="preserve">2024, </w:t>
      </w:r>
      <w:r>
        <w:rPr>
          <w:rFonts w:ascii="Times New Roman;serif" w:hAnsi="Times New Roman;serif"/>
          <w:b w:val="false"/>
          <w:color w:val="000000"/>
          <w:sz w:val="20"/>
        </w:rPr>
        <w:t xml:space="preserve">as the mission was completed in March 2025 and the close-out process was finalized during the third quarter of 2025. IM-3 mission cost of revenue increased to $5.2 million for the three months ended September 30, 2025 compared to $3.8 million for the same period in 2024, as activity picked up on IM-3 following the close-out of IM-2. As of September 30, 2025, the IM-3 contract is in a loss position and the accrued contract loss increased by approximately $1.1 million during the three months ended September 30, 2025. The IM-4 mission which was awarded in August 2024, incurred cost of revenue of $14.2 million during the three months ended September 30, 2025 compared to nil for the same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During the second quarter of 2025, IM-4 became a loss contract and the accrued contract loss increased by $0.6 million for the three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nine months ended September 30, 2025 and 2024</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Total cost of revenue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$6.5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4%</w:t>
      </w:r>
      <w:r>
        <w:rPr>
          <w:rFonts w:ascii="Times New Roman;serif" w:hAnsi="Times New Roman;serif"/>
          <w:b w:val="false"/>
          <w:color w:val="000000"/>
          <w:sz w:val="20"/>
          <w:shd w:fill="FFFFFF" w:val="clear"/>
        </w:rPr>
        <w:t xml:space="preserve">, for the nine months ended September 30, 2025 compared to the same period in 2024, primarily driven by </w:t>
      </w: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OMES III contract cost </w:t>
      </w:r>
      <w:r>
        <w:rPr>
          <w:rFonts w:ascii="Times New Roman;serif" w:hAnsi="Times New Roman;serif"/>
          <w:b w:val="false"/>
          <w:color w:val="000000"/>
          <w:sz w:val="20"/>
        </w:rPr>
        <w:t>decrease of $53.5 million d</w:t>
      </w:r>
      <w:r>
        <w:rPr>
          <w:rFonts w:ascii="Times New Roman;serif" w:hAnsi="Times New Roman;serif"/>
          <w:b w:val="false"/>
          <w:color w:val="000000"/>
          <w:sz w:val="20"/>
          <w:shd w:fill="FFFFFF" w:val="clear"/>
        </w:rPr>
        <w:t xml:space="preserve">ue to NASA’s cancellation of the OSAM project offset by </w:t>
      </w:r>
      <w:r>
        <w:rPr>
          <w:rFonts w:ascii="Times New Roman;serif" w:hAnsi="Times New Roman;serif"/>
          <w:b w:val="false"/>
          <w:color w:val="000000"/>
          <w:sz w:val="20"/>
        </w:rPr>
        <w:t>overall cost increases related to the mission contracts of $26.1 million (as further discussed below), the NSNS contract of $9.1 million, the LTV contract of $2.8 million, and various other engineering services of $9.0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IM-1 mission completed in February 2024 and incurred cost of revenue of $4.8 million during the first quarter of 2024. On the IM-2 mission, cost of revenue decreased by approximately $14.2 million for the nine months ended September 30, 2025 compared to the same period in 2024 as the mission was completed in March 2025. IM-3 mission cost of revenue increased by approximately $12.7 million for the nine months ended September 30, 2025 compared to the same period in 2024, as IM-3 mission activity increases following the final close-out of IM-2. As of September 30, 2025, the IM-3 contract is in a loss position and the accrued contract loss increased by approximately $9.7 million for nine months ended September 30, 2025 compared to the same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driven by cost adjustments during the second quarter of 2025 related to decisions to align the mission schedule with the completion of an internally-developed satellite to be placed in lunar orbit to meet NSNS contract obligations. </w:t>
      </w:r>
      <w:r>
        <w:rPr>
          <w:rFonts w:ascii="Times New Roman;serif" w:hAnsi="Times New Roman;serif"/>
          <w:b w:val="false"/>
          <w:color w:val="000000"/>
          <w:sz w:val="20"/>
          <w:shd w:fill="FFFFFF" w:val="clear"/>
        </w:rPr>
        <w:t xml:space="preserve">The IM-4 mission which was awarded in August 2024, incurred cost of revenue of </w:t>
      </w:r>
      <w:r>
        <w:rPr>
          <w:rFonts w:ascii="Times New Roman;serif" w:hAnsi="Times New Roman;serif"/>
          <w:b w:val="false"/>
          <w:color w:val="000000"/>
          <w:sz w:val="20"/>
        </w:rPr>
        <w:t>$32.4 million</w:t>
      </w:r>
      <w:r>
        <w:rPr>
          <w:color w:val="000000"/>
          <w:shd w:fill="FFFFFF" w:val="clear"/>
        </w:rPr>
        <w:t xml:space="preserve"> </w:t>
      </w:r>
      <w:r>
        <w:rPr>
          <w:rFonts w:ascii="Times New Roman;serif" w:hAnsi="Times New Roman;serif"/>
          <w:b w:val="false"/>
          <w:color w:val="000000"/>
          <w:sz w:val="20"/>
          <w:shd w:fill="FFFFFF" w:val="clear"/>
        </w:rPr>
        <w:t xml:space="preserve">during the nine months ended September 30, 2025 compared to </w:t>
      </w:r>
      <w:r>
        <w:rPr>
          <w:rFonts w:ascii="Times New Roman;serif" w:hAnsi="Times New Roman;serif"/>
          <w:b w:val="false"/>
          <w:color w:val="000000"/>
          <w:sz w:val="20"/>
        </w:rPr>
        <w:t xml:space="preserve">nil for the same period in </w:t>
      </w:r>
      <w:r>
        <w:rPr>
          <w:rFonts w:ascii="Times New Roman;serif" w:hAnsi="Times New Roman;serif"/>
          <w:b w:val="false"/>
          <w:color w:val="000000"/>
          <w:sz w:val="20"/>
          <w:shd w:fill="FFFFFF" w:val="clear"/>
        </w:rPr>
        <w:t xml:space="preserve">2024. </w:t>
      </w:r>
      <w:r>
        <w:rPr>
          <w:rFonts w:ascii="Times New Roman;serif" w:hAnsi="Times New Roman;serif"/>
          <w:b w:val="false"/>
          <w:color w:val="000000"/>
          <w:sz w:val="20"/>
        </w:rPr>
        <w:t>During the second quarter of 2025, IM-4 became a loss contract and has accrued contract losses of approximately $3.3 million for the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 (excluding depreciation)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(excluding depreciation) increased by $8.0 million for the three months ended September 30, 2025 compared to the same period in 2024, and $12.7 million for the nine months ended September 30, 2025 compared to the same period in 2024. These increases primarily reflect the Company’s investment in its workforce to support our operations and business infrastructure, business development, and information technology to optimize corporate and operational processes and systems, and research and development initiatives to expand our product and service capabilities. These increases are summarized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$8.0 million increase for the three months ended September 30, 2025 compared to the same period in 2024 was primarily driven by research and development of $3.7 million, professional services of $1.8 million driven by legal fees, higher employee compensation and benefits expense of $0.7 million, bids and proposals cost of $0.7 million, and various other administrative costs of $1.1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$12.7 million increase for the nine months ended September 30, 2025 compared to the same periods in 2024 was driven by research and development of $4.4 million, higher employee compensation and benefits expense of $2.9 million, software licenses of $1.5 million, bids and proposals cost of $1.4 million, professional services of $1.3 million driven by legal fees, and various other administrative costs of $1.2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favorable change of $72.1 million for the three months ended September 30, 2025 compared to the same period in 2024 was primarily driven by the favorable changes in the fair value of warrant liabilities of $35.6 million, earn-out liabilities of $33.3 million (as the remaining Earn Out Units vested in the first quarter of 2025), and $4.8 million increase in interest income earned on cash and cash equivalents balances held by us in highly liquid interest bearing overnight sweep and demand deposit accounts slightly offset by increase in interest expense of $1.3 million mostly related to our Convertible Notes issued in August 2025 and various other unfavorable changes of $0.3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favorable change of $144.7 million for the nine months ended September 30, 2025 compared to the same period in 2024 was primarily due to the non-recurrence of the $68.1 million loss on issuance of securities incurred in 2024, the favorable change in the fair value of warrant liabilities of $68.6 million and the earn-out liabilities of $0.4 million, in addition to a $9.6 million increase in interest income earned on cash and cash equivalents balances held by us in highly liquid interest bearing overnight sweep and demand deposits accounts slightly offset by increase in interest expense of approximately $1.4 million mostly related to our Convertible Notes issued in August 2025 and various other net unfavorable changes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Business Metrics and Non-GAAP Financial Measures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business metrics and non-GAAP financial measures that assist us in evaluating our business, measuring our performance, identifying trends and making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backlog as of the periods indicated:</w:t>
      </w:r>
    </w:p>
    <w:tbl>
      <w:tblPr>
        <w:tblW w:w="4236"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Orders comprising backlog as of a given balance sheet date are typically invoiced in subsequent periods. As of September 30, 2025, we expect to recognize approximately 20% of our backlog over the remainder of 2025, approximately 45-50% over the subsequent twelve months of 2026 and the remaining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Backlog decreased by $92.5 million as of September 30, 2025 compared to December 31, 2024, primarily due to continued performance on existing contracts of $165.3 million, IM-2 mission close-out adjustments of $8.4 million and adjustments on the IM-3 mission of $1.8 million, partially offset by $83.0 million in new awards primarily associated with the NSNS contract of $18.0 million, TSC grant of $10.0 million, OMES III contract of $16.2 million, and various other contracts.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backlog of $235.9 million exceeded our remaining performance obligations of $119.3 million as reported in Note 3 - Revenue to our condensed consolidated financial statements included in this Quarterly Report. The difference of $116.6 million was primarily related to $39.3 million of variable consideration associated with constrained revenue and $77.3 million in backlog related to the funded value of the OMES III contract, the NSNS contract, and various other contracts where revenue is recognized when services are performed and contractually billable and therefore not included in remaining performance obligations.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key performance measure that our management team uses to assess our operating performance. We calculate Adjusted EBITDA as net income (loss) excluding results from non-operating sources including interest income, interest expense, share based compensation, change in fair value instruments, gain or loss on issuance of securities, other income/expense, depreciation, impairment of property and equipment, and provision for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present Adjusted EBITDA because we believe it is helpful in highlighting trends in our operating results and because it is frequently used by analysts, investors, and other interested parties to evaluate companies in our industry.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measure, and you should not consider it in isolation or as a substitute for analysis of our results as reported under U.S. GAAP. Some of these limitations are:</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reflect interest income, interest expense or other non-operating gains and losses, which may represent an increase to or reduction in cash available to us;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consider the impact of share-based compensation expense, which is expected to continue to be part of our compensation strategy;</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consider the impact of change in fair value of earn-out liabilities, change in fair value of warrant liabilities, loss on issuance of securities, or impairment of property and equipment, that we do not consider to be routine in nature for the ongoing financial performance of our business;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reflect provisions for income taxes, which may represent a reduction in cash available to us.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U.S.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the most directly comparable financial measure presented in accordance with U.S. GAAP, to Adjusted EBITDA.</w:t>
      </w:r>
    </w:p>
    <w:tbl>
      <w:tblPr>
        <w:tblW w:w="9243" w:type="dxa"/>
        <w:jc w:val="left"/>
        <w:tblInd w:w="0" w:type="dxa"/>
        <w:tblLayout w:type="fixed"/>
        <w:tblCellMar>
          <w:top w:w="28" w:type="dxa"/>
          <w:left w:w="28" w:type="dxa"/>
          <w:bottom w:w="28" w:type="dxa"/>
          <w:right w:w="28" w:type="dxa"/>
        </w:tblCellMar>
      </w:tblPr>
      <w:tblGrid>
        <w:gridCol w:w="1277"/>
        <w:gridCol w:w="1122"/>
        <w:gridCol w:w="1126"/>
        <w:gridCol w:w="221"/>
        <w:gridCol w:w="835"/>
        <w:gridCol w:w="114"/>
        <w:gridCol w:w="114"/>
        <w:gridCol w:w="114"/>
        <w:gridCol w:w="114"/>
        <w:gridCol w:w="221"/>
        <w:gridCol w:w="835"/>
        <w:gridCol w:w="114"/>
        <w:gridCol w:w="109"/>
        <w:gridCol w:w="109"/>
        <w:gridCol w:w="109"/>
        <w:gridCol w:w="211"/>
        <w:gridCol w:w="796"/>
        <w:gridCol w:w="109"/>
        <w:gridCol w:w="109"/>
        <w:gridCol w:w="109"/>
        <w:gridCol w:w="109"/>
        <w:gridCol w:w="211"/>
        <w:gridCol w:w="90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securities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Free Cash Flow has limitations as a liquidity measure, and you should not consider it in isolation or as a substitute for analysis of our cash flows as reported under U.S. GAAP. Some of these limitations are:</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Free Cash Flow is not a measure calculated in accordance with U.S. GAAP and should not be considered in isolation from, or as a substitute for financial information prepared in accordance with U.S. GAAP.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Free Cash Flow may not be comparable to similarly titled metrics of other companies due to differences among methods of calculation.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Free Cash Flow may be affected in the near to medium term by the timing of capital investments, fluctuations in our growth and the effect of such fluctuations on working capital and changes in our cash conversion cycle.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cash used in operating activities, the most directly comparable financial measure presented in accordance with U.S. GAAP, to free cash flow:</w:t>
      </w:r>
    </w:p>
    <w:tbl>
      <w:tblPr>
        <w:tblW w:w="5755" w:type="dxa"/>
        <w:jc w:val="left"/>
        <w:tblInd w:w="0" w:type="dxa"/>
        <w:tblLayout w:type="fixed"/>
        <w:tblCellMar>
          <w:top w:w="28" w:type="dxa"/>
          <w:left w:w="28" w:type="dxa"/>
          <w:bottom w:w="28" w:type="dxa"/>
          <w:right w:w="28" w:type="dxa"/>
        </w:tblCellMar>
      </w:tblPr>
      <w:tblGrid>
        <w:gridCol w:w="1130"/>
        <w:gridCol w:w="992"/>
        <w:gridCol w:w="997"/>
        <w:gridCol w:w="213"/>
        <w:gridCol w:w="807"/>
        <w:gridCol w:w="110"/>
        <w:gridCol w:w="110"/>
        <w:gridCol w:w="110"/>
        <w:gridCol w:w="110"/>
        <w:gridCol w:w="213"/>
        <w:gridCol w:w="807"/>
        <w:gridCol w:w="156"/>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(60,807)</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funded our operations through internally generated cash on hand, proceeds from sales of our capital stock, proceeds from warrant exercises, and our proceeds from the issuance of bank debt. We assess our liquidity in terms of our ability to generate adequate amounts of cash to meet current and future needs. Our expected primary uses of cash on a short and long-term basis are for working capital requirements, general corporate purposes, and capital expenditures as well as research and development efforts and potential mergers and acquisitions.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leasehold improvements for general corporate and operational purposes. We expect construction in progress to continue to increase as we develop data relay satellites and ground networks associated with our Data Transmission Services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cash and cash equivalents of $622.0 million and working capital of $560.0 million. The Company invests excess cash in highly-liquid, low risk interest-bearing demand deposit accounts, money market funds, and certificates of deposits, all of which are with major financial institutions.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2025, the Company issued $345.0 million aggregate principal amount of 2.500% convertible senior notes due 2030 (the “Convertible Notes”).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 The net proceeds of the Convertible Notes were $334.6 million after deducting the initial purchasers’ discount and commissions and the offering expenses payable by the Company and we used approximately $36.8 million of the net proceeds to pay the cost of the capped call transactions (as defined in Note 6). For further information on the Convertible Notes, refer to Note 6 -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n March 4, 2025, we entered into a loan and security agreement with Stifel Bank which provides for a secured revolving credit facility in an aggregate principal amount of up to $40.0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the date of this filing, the revolving credit facility remains unborrowed. See Note 6 - Debt for additional information on this loan and security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the Company entered into a definitive agreement to acquire 100% of the issued and outstanding membership interests of Lanteris Space Systems, formerly Maxar Space Systems, a spacecraft manufacturer, from Advent International LLC. The aggregate consideration for the acquisition is $800 million, consisting of $450 million in cash and $350 million in the Company’s Class A Common Stock, subject to adjustments. The transaction is expected to close in the first quarter of 2026, subject to customary regulatory approvals and closing conditions. See Note 17 - Subsequent Events for additional information on this acquisition.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cash and cash equivalents as of September 30, 2025 and the liquidity provided under the Convertible Notes and the Stifel revolving credit facility, will be sufficient to fund the short-term liquidity needs and the execution of the business plan through at least the twelve-month period from the date the financial statements are issued.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129" w:type="dxa"/>
        <w:jc w:val="left"/>
        <w:tblInd w:w="0" w:type="dxa"/>
        <w:tblLayout w:type="fixed"/>
        <w:tblCellMar>
          <w:top w:w="28" w:type="dxa"/>
          <w:left w:w="28" w:type="dxa"/>
          <w:bottom w:w="28" w:type="dxa"/>
          <w:right w:w="28" w:type="dxa"/>
        </w:tblCellMar>
      </w:tblPr>
      <w:tblGrid>
        <w:gridCol w:w="1255"/>
        <w:gridCol w:w="1102"/>
        <w:gridCol w:w="1108"/>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for the nine months ended September 30, 2025 and 2024</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60" w:after="283"/>
        <w:jc w:val="both"/>
        <w:rPr/>
      </w:pPr>
      <w:r>
        <w:rPr>
          <w:rFonts w:ascii="Times New Roman;serif" w:hAnsi="Times New Roman;serif"/>
          <w:b w:val="false"/>
          <w:color w:val="000000"/>
          <w:sz w:val="20"/>
          <w:shd w:fill="FFFFFF" w:val="clear"/>
        </w:rPr>
        <w:t>During the nine months ended September 30, 2025, our operating activitie</w:t>
      </w:r>
      <w:r>
        <w:rPr>
          <w:rFonts w:ascii="Times New Roman;serif" w:hAnsi="Times New Roman;serif"/>
          <w:b w:val="false"/>
          <w:color w:val="000000"/>
          <w:sz w:val="20"/>
        </w:rPr>
        <w:t>s used $7.0 million</w:t>
      </w:r>
      <w:r>
        <w:rPr>
          <w:color w:val="000000"/>
          <w:shd w:fill="FFFFFF" w:val="clear"/>
        </w:rPr>
        <w:t xml:space="preserve"> </w:t>
      </w:r>
      <w:r>
        <w:rPr>
          <w:rFonts w:ascii="Times New Roman;serif" w:hAnsi="Times New Roman;serif"/>
          <w:b w:val="false"/>
          <w:color w:val="000000"/>
          <w:sz w:val="20"/>
          <w:shd w:fill="FFFFFF" w:val="clear"/>
        </w:rPr>
        <w:t xml:space="preserve">of net cash as compared to </w:t>
      </w:r>
      <w:r>
        <w:rPr>
          <w:rFonts w:ascii="Times New Roman;serif" w:hAnsi="Times New Roman;serif"/>
          <w:b w:val="false"/>
          <w:color w:val="000000"/>
          <w:sz w:val="20"/>
        </w:rPr>
        <w:t>$55.6 million</w:t>
      </w:r>
      <w:r>
        <w:rPr>
          <w:color w:val="000000"/>
          <w:shd w:fill="FFFFFF" w:val="clear"/>
        </w:rPr>
        <w:t xml:space="preserve"> </w:t>
      </w:r>
      <w:r>
        <w:rPr>
          <w:rFonts w:ascii="Times New Roman;serif" w:hAnsi="Times New Roman;serif"/>
          <w:b w:val="false"/>
          <w:color w:val="000000"/>
          <w:sz w:val="20"/>
          <w:shd w:fill="FFFFFF" w:val="clear"/>
        </w:rPr>
        <w:t xml:space="preserve">of net cash </w:t>
      </w:r>
      <w:r>
        <w:rPr>
          <w:rFonts w:ascii="Times New Roman;serif" w:hAnsi="Times New Roman;serif"/>
          <w:b w:val="false"/>
          <w:color w:val="000000"/>
          <w:sz w:val="20"/>
        </w:rPr>
        <w:t>used</w:t>
      </w:r>
      <w:r>
        <w:rPr>
          <w:color w:val="000000"/>
          <w:shd w:fill="FFFFFF" w:val="clear"/>
        </w:rPr>
        <w:t xml:space="preserve"> </w:t>
      </w:r>
      <w:r>
        <w:rPr>
          <w:rFonts w:ascii="Times New Roman;serif" w:hAnsi="Times New Roman;serif"/>
          <w:b w:val="false"/>
          <w:color w:val="000000"/>
          <w:sz w:val="20"/>
          <w:shd w:fill="FFFFFF" w:val="clear"/>
        </w:rPr>
        <w:t>during the nine months ended September 30, 2024.</w:t>
      </w:r>
      <w:r>
        <w:rPr>
          <w:color w:val="000000"/>
        </w:rPr>
        <w:t xml:space="preserve"> </w:t>
      </w:r>
      <w:r>
        <w:rPr>
          <w:rFonts w:ascii="Times New Roman;serif" w:hAnsi="Times New Roman;serif"/>
          <w:b w:val="false"/>
          <w:color w:val="000000"/>
          <w:sz w:val="20"/>
        </w:rPr>
        <w:t>Changes in operating assets and liabilities which consist primarily of working capital balances for our projects may vary and are impacted by the stage of completion and contractual terms of projects. The primary components of our working capital accounts are trade accounts receivable, contract assets, accounts payable, and contract liabilities.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88" w:before="160" w:after="283"/>
        <w:jc w:val="both"/>
        <w:rPr/>
      </w:pPr>
      <w:r>
        <w:rPr>
          <w:rFonts w:ascii="Times New Roman;serif" w:hAnsi="Times New Roman;serif"/>
          <w:b w:val="false"/>
          <w:color w:val="000000"/>
          <w:sz w:val="20"/>
          <w:shd w:fill="FFFFFF" w:val="clear"/>
        </w:rPr>
        <w:t>During the nine months ended September 30, 2025, investing activi</w:t>
      </w:r>
      <w:r>
        <w:rPr>
          <w:rFonts w:ascii="Times New Roman;serif" w:hAnsi="Times New Roman;serif"/>
          <w:b w:val="false"/>
          <w:color w:val="000000"/>
          <w:sz w:val="20"/>
        </w:rPr>
        <w:t>ties used $26.0 million of net cash as compared to $5.2 million of net cash used during the nine months ended September 30, 2024. The $20.8 million increase in investing activities was driven by capital expenditures associated primarily with the fabrication and development of commercial communications satellites and navigation network, and capital expenditures related to our expansion to a new leased facility at Houston Spaceport to support the growth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60" w:after="283"/>
        <w:jc w:val="both"/>
        <w:rPr/>
      </w:pPr>
      <w:r>
        <w:rPr>
          <w:rFonts w:ascii="Times New Roman;serif" w:hAnsi="Times New Roman;serif"/>
          <w:b w:val="false"/>
          <w:color w:val="000000"/>
          <w:sz w:val="20"/>
          <w:shd w:fill="FFFFFF" w:val="clear"/>
        </w:rPr>
        <w:t>During the nine months ended September 30, 2025, financing activitie</w:t>
      </w:r>
      <w:r>
        <w:rPr>
          <w:rFonts w:ascii="Times New Roman;serif" w:hAnsi="Times New Roman;serif"/>
          <w:b w:val="false"/>
          <w:color w:val="000000"/>
          <w:sz w:val="20"/>
        </w:rPr>
        <w:t>s provided $447.4 million of net cash as compared to $147.9 million of net cash provided during the nine months ended September 30, 2024</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our financing activities primarily included </w:t>
      </w:r>
      <w:r>
        <w:rPr>
          <w:rFonts w:ascii="Times New Roman;serif" w:hAnsi="Times New Roman;serif"/>
          <w:b w:val="false"/>
          <w:color w:val="000000"/>
          <w:sz w:val="20"/>
        </w:rPr>
        <w:t xml:space="preserve">$334.6 million in net proceeds from the issuance Convertible Notes, $176.6 million in proceeds from the exercise of warrants, slightly offset by $36.8 million for the purchase of capped call transactions associated with the issuance of the Convertible Notes, $20.7 million for share repurchase, $4.8 million in net activity related to our share-based awards, and $1.5 million in distributions to noncontrolling interests.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our financing activities primarily included </w:t>
      </w:r>
      <w:r>
        <w:rPr>
          <w:rFonts w:ascii="Times New Roman;serif" w:hAnsi="Times New Roman;serif"/>
          <w:b w:val="false"/>
          <w:color w:val="000000"/>
          <w:sz w:val="20"/>
        </w:rPr>
        <w:t>$107.5 million in net proceeds from the issuance of securities, $51.4 million in proceeds from the exercise of warrants, $10.0 million in proceeds received in borrowings under the Bridge Loan offset by the repayment of $10.0 million, $8.0 million repayment on a loan under the Credit Mobilization Facility $2.0 million in net activity related to our share-based awards, and $1.0 million in distributions to noncontrolling interests.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significant contractual obligations and commitments as of September 30, 2025 (in thousands):</w:t>
      </w:r>
    </w:p>
    <w:tbl>
      <w:tblPr>
        <w:tblW w:w="10205" w:type="dxa"/>
        <w:jc w:val="left"/>
        <w:tblInd w:w="0" w:type="dxa"/>
        <w:tblLayout w:type="fixed"/>
        <w:tblCellMar>
          <w:top w:w="28" w:type="dxa"/>
          <w:left w:w="28" w:type="dxa"/>
          <w:bottom w:w="28" w:type="dxa"/>
          <w:right w:w="28" w:type="dxa"/>
        </w:tblCellMar>
      </w:tblPr>
      <w:tblGrid>
        <w:gridCol w:w="616"/>
        <w:gridCol w:w="453"/>
        <w:gridCol w:w="456"/>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661"/>
        <w:gridCol w:w="155"/>
      </w:tblGrid>
      <w:tr>
        <w:trPr/>
        <w:tc>
          <w:tcPr>
            <w:tcW w:w="6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obligations</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Finance lease obligations</w:t>
            </w:r>
            <w:r>
              <w:rPr>
                <w:rFonts w:ascii="Times New Roman;serif" w:hAnsi="Times New Roman;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Purchase commitments</w:t>
            </w:r>
            <w:r>
              <w:rPr>
                <w:rFonts w:ascii="Times New Roman;serif" w:hAnsi="Times New Roman;serif"/>
                <w:b w:val="false"/>
                <w:color w:val="000000"/>
                <w:sz w:val="12"/>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202,392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75,085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81,297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    Represents the undiscounted payments for lease arrangements for certain facilities and equipment with various expiration dates through 2048.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From time-to-time, we enter into long-term commitments with vendors to purchase launch services and for the development of certain components in conjunction with our obligations under revenue contracts with our customers. This represents our significant remaining purchase obligations under non-cancelable commitments.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Lunar Production and Operations Center Expansion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July 2025, we executed an amendment to our ground lease agreement to expand our Lunar Production and Operations Center (“LPOC”) at the Houston Spaceport at Ellington Airport. The expansion calls for an additional investment of approximately $12.6 million by the Company for the construction of new production and testing facilities, plus support infrastructure, to scale our lunar lander assembly, Earth-reentry systems, Lunar Terrain Vehicle development, and NASA’s Near Space Network Services. The amendment expands the total leased project site by an additional tract of approximately 3.0 acres. The amendment extends the lease term from 20 years to 25 years (ending October 2048), with three optional renewal periods of 5 years each, and reduces the right-of-use assets and liabilities by approximately $7.1 million. The Company accounted for this amendment as a lease modification by remeasuring the right-of-use assets and liabilities as of the effective date. Should construction costs exceed the estimated expansion investment, the Company will consider and account for the excess as variable lease payments or, if the excess costs is significant, the Company will remeasure the lease liability and right-of-use asset. Furthermore, the amendment includes lease components that have not yet commenced. The Company expects to recognize additional lease liabilities of approximately $7.9 million as the expansion phases are completed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Spaceport Facility Lease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Also in July 2025, we executed a sublease for additional office and production space at the Houston Spaceport at Ellington Airport totaling approximately 116,000 square feet. The leased production space includes turn-key production equipment, including test facilities, that allow for an efficient and cost-effective expansion of our manufacturing capabilities. The lease agreement has a remaining term of 7 years. As of September 30, 2025, the Company recorded operating right-of-use assets of $6.5 million and operating lease liabilities of $6.7 million.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See Note 7 of the condensed consolidated financial statements for information regarding our tax receivable agreement.</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disclosures regarding the Convertible Notes and Stifel Loan Agreement, refer to Note 6 - Debt of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jc w:val="both"/>
        <w:rPr/>
      </w:pPr>
      <w:r>
        <w:rPr>
          <w:rFonts w:ascii="Times New Roman;serif" w:hAnsi="Times New Roman;serif"/>
          <w:b w:val="false"/>
          <w:color w:val="000000"/>
          <w:sz w:val="20"/>
        </w:rPr>
        <w:t xml:space="preserve">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condensed consolidated financial statements included elsewhere in this Quarterly Report and our audited consolidated financial statements as of and for the years ended December 31, 2024 and 2023 </w:t>
      </w:r>
      <w:r>
        <w:rPr>
          <w:rFonts w:ascii="Times New Roman;serif" w:hAnsi="Times New Roman;serif"/>
          <w:b w:val="false"/>
          <w:color w:val="000000"/>
          <w:sz w:val="20"/>
          <w:shd w:fill="FFFFFF" w:val="clear"/>
        </w:rPr>
        <w:t xml:space="preserve">contained in our Annual Report on Form 10-K, filed with the SEC on </w:t>
      </w:r>
      <w:r>
        <w:rPr>
          <w:rFonts w:ascii="Times New Roman;serif" w:hAnsi="Times New Roman;serif"/>
          <w:b w:val="false"/>
          <w:color w:val="000000"/>
          <w:sz w:val="20"/>
        </w:rPr>
        <w:t>March 25, 2025</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(“EGC”),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Loss of EGC and Smaller Reporting Company Status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continue to qualify as an “emerging growth company” and a “smaller reporting company” as defined under Rule 12b-2 of the Exchange Act. As such, we are permitted to take advantage of certain reduced disclosure and reporting requirements applicable to such companies in this and future filings. However, we will cease to qualify as an emerging growth company and a smaller reporting company as of December 31, 2025. This change in status is due to our classification as a large accelerated filer, as our public float exceeded $700 million as of June 30, 2025, and we will have been subject to the reporting requirements of Section 13(a) or 15(d) of the Exchange Act for at least 12 calendar months and have filed at least one annual report as of December 31, 2025. Beginning with the fiscal year ended December 31, 2025, we will be subject to increased disclosure and compliance obligations, including the requirement to obtain an auditor attestation of our internal control over financial reporting pursuant to Section 404(b) of the Sarbanes-Oxley Act of 2002. As a result, we will incur additional expenses in connection with compliance with these regulations and our management will need to devote additional time and effort to implement and comply with such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are not required to provide the information otherwise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September 30, 2025, to provide reasonable assurance that information required to be disclosed in our reports filed or submitted under the Exchange Act is recorded, processed</w:t>
      </w:r>
      <w:r>
        <w:rPr>
          <w:rFonts w:ascii="Times New Roman;serif" w:hAnsi="Times New Roman;serif"/>
          <w:b w:val="false"/>
          <w:color w:val="000000"/>
          <w:sz w:val="20"/>
          <w:shd w:fill="FFFFFF" w:val="clear"/>
        </w:rPr>
        <w:t xml:space="preserve">, summarized and reported within the time periods specified in the SEC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 Management recognizes that any controls and procedures, no matter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how well designed and operated, can provide only reasonable, not absolute, assurance of achieving their desired control objectives.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changes in the Company’s internal control over financial reporting during the three months ended September 30, 2025 that have materially affected, or that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The i</w:t>
      </w:r>
      <w:r>
        <w:rPr>
          <w:rFonts w:ascii="Times New Roman;serif" w:hAnsi="Times New Roman;serif"/>
          <w:b w:val="false"/>
          <w:color w:val="000000"/>
          <w:sz w:val="20"/>
        </w:rPr>
        <w:t>nformation required with respect to this item is disclosed under Note 13 - Commitments and Contingencies to our condensed consolidated financial statements in Part I, Item 1 of this Quarterly Report and is incorporated by reference 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could cause our actual results to differ materially from those in this report include the risk factors described in our 2024 Annual Report on Form 10-K. As of the date of this Quarterly Report, there have been no material changes to the risk factors disclosed in the 2024 Annual Report on Form 10-K except as disclosed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are subject to risks from the continuation of the ongoing U.S. federal government shutdown.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exposed to operational and financial disruptions caused by the U.S. federal government shutdown that began on October 1, 2025. The ongoing U.S. federal government shutdown may result in us experiencing delays or decreases in task orders with NASA or other governmental agencies or potentially the suspension of work on contracts in progress or in payment delays related to the funding status of different programs. Given the indefinite nature of the current shutdown and the absence of a clear resolution timeline, we anticipate continued volatility in the federal contracting environment. If the shutdown persists for an extended timeframe, it could materially and adversely affect our results of operations and financial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As part of growing our business, we have made and may continue to make acquisitions. Any acquisitions, partnerships or joint ventures into which we enter could disrupt our operations and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evaluate potential strategic acquisitions of businesses, including partnerships or joint ventures with third parties, to add new products and technologies, acquire talent, grow new sales channels or enter into new markets or sales territories. For example, on November 3, 2025, the Company entered into a Membership Interest Purchase Agreement, to acquire Lanteris Space Systems. Pursuant to the Purchase Agreement, and upon the terms and subject to the conditions therein, the Company will purchase from Advent 100% of the issued and outstanding membership interests of Lanteris The aggregate consideration for the acquisition is $800 million, consisting of $450 million in cash and $350 million in the Company’s Class A Common Stock, subject to adjustments as set forth in the Purchase Agreement. The transaction is expected to close in the first quarter of 2026, subject to customary regulatory approvals and closing conditions.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be able to continue the operational success of the businesses we acquire or successfully finance or integrate such businesses or the businesses with which we form a partnership or joint venture.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the Company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possible shareholder approval, we may need approvals and licenses from relevant government authorities for the acquisitions to comply with applicable laws and regulations, and a failure to obtain such approvals and licenses could result in delays in completing an acquisition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potential exposure to unknown liabilities of the acquired business. Moreover, the costs of identifying and consummating acquisitions may be significant.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will no longer qualify as an “emerging growth company” nor a “smaller reporting company” as of December 31, 2025, and, as a result, we will have to comply with increased disclosure and compliance requirements.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an “emerging growth company” (“EGC”) as defined in the Jumpstart Our Business Startups Act and a “smaller reporting company” (“SRC”) under the Securities and Exchange Commission (“SEC”) rules. However, because (i) the market value of our common stock held by non-affiliates exceeded $700 million as of June 30, 2025, (ii) we have been a public company for more than one year, and (iii) we have filed at least one annual report, we will no longer qualify as an EGC or a SRC as of December 31, 2025 and will be a large accelerated filer beginning January 1, 2026 for future filings.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large accelerated filer, we will be subject to certain disclosure and compliance requirements that apply to other public companies but that did not previously apply to us due to our status as an EGC and a SRC. These requirements include, but are not limited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requirement that our independent registered public accounting firm attest to the effectiveness of our internal control over financial reporting under Section 404(b) of the Sarbanes-Oxley Act of 2002;</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the requirement that we provide more detailed disclosures regarding executive compensation; and the requirement that we hold a non-binding advisory vote on executive compensation and obtain stockholder approval of any golden parachute payments not previously approved. We expect that the loss of EGC and SRC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Securities 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certain of our officers or directors listed below adopted or terminated trading arrangements for the purchase or sale of shares of our Class A Common Stock in amounts and prices determined in accordance with a formula set forth in each such plan:</w:t>
      </w:r>
    </w:p>
    <w:tbl>
      <w:tblPr>
        <w:tblW w:w="10205" w:type="dxa"/>
        <w:jc w:val="left"/>
        <w:tblInd w:w="0" w:type="dxa"/>
        <w:tblLayout w:type="fixed"/>
        <w:tblCellMar>
          <w:top w:w="28" w:type="dxa"/>
          <w:left w:w="28" w:type="dxa"/>
          <w:bottom w:w="28" w:type="dxa"/>
          <w:right w:w="28" w:type="dxa"/>
        </w:tblCellMar>
      </w:tblPr>
      <w:tblGrid>
        <w:gridCol w:w="313"/>
        <w:gridCol w:w="274"/>
        <w:gridCol w:w="277"/>
        <w:gridCol w:w="109"/>
        <w:gridCol w:w="109"/>
        <w:gridCol w:w="109"/>
        <w:gridCol w:w="560"/>
        <w:gridCol w:w="560"/>
        <w:gridCol w:w="568"/>
        <w:gridCol w:w="109"/>
        <w:gridCol w:w="109"/>
        <w:gridCol w:w="109"/>
        <w:gridCol w:w="405"/>
        <w:gridCol w:w="353"/>
        <w:gridCol w:w="321"/>
        <w:gridCol w:w="109"/>
        <w:gridCol w:w="109"/>
        <w:gridCol w:w="109"/>
        <w:gridCol w:w="395"/>
        <w:gridCol w:w="343"/>
        <w:gridCol w:w="311"/>
        <w:gridCol w:w="109"/>
        <w:gridCol w:w="109"/>
        <w:gridCol w:w="109"/>
        <w:gridCol w:w="1227"/>
        <w:gridCol w:w="1227"/>
        <w:gridCol w:w="1763"/>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Entered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Crain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Growth Officer and Senior Vice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sale of up to 1,000,000 shares and contains pricing conditions that preclude or limit the sale of shares below predetermined minimum pricing</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Quarterly Report.</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280"/>
        <w:gridCol w:w="247"/>
        <w:gridCol w:w="248"/>
        <w:gridCol w:w="109"/>
        <w:gridCol w:w="109"/>
        <w:gridCol w:w="109"/>
        <w:gridCol w:w="2374"/>
        <w:gridCol w:w="2183"/>
        <w:gridCol w:w="2191"/>
        <w:gridCol w:w="223"/>
        <w:gridCol w:w="190"/>
        <w:gridCol w:w="159"/>
        <w:gridCol w:w="223"/>
        <w:gridCol w:w="223"/>
        <w:gridCol w:w="200"/>
        <w:gridCol w:w="410"/>
        <w:gridCol w:w="377"/>
        <w:gridCol w:w="350"/>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5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11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Stock Purchase Agreement, dated August 6, 2025, by and between Intuitive Machines, Inc. and KinetX, Inc.</w:t>
              </w:r>
            </w:hyperlink>
          </w:p>
        </w:tc>
        <w:tc>
          <w:tcPr>
            <w:tcW w:w="5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8-K/A</w:t>
            </w:r>
          </w:p>
        </w:tc>
        <w:tc>
          <w:tcPr>
            <w:tcW w:w="6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11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11, 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Membership Interest Purchase Agreement, dated November 3, 2025, by and among Intuitive Machines, Inc., Intuitive Machines, LLC, Vantor Holdings Inc., Galileo Topco, Inc., and Lanteris Space Holdings LLC</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4, 2025</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Indenture, dated as of August 18, 2025, by and between Intuitive Machines, Inc. and U.S. Bank Trust Company, National Association, as Trustee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13, 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Form of Global Note, representing Intuitive Machine, Inc.’s 2.500% Convertible Senior Notes due 2030 (included as Exhibit A to the Indenture filed as Exhibit 4.1)</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13, 2025</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Form of Confirmation for Capped Call Transactions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13, 2025</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Form of Registration Rights Agreement, by and among Intuitive Machines, Inc. and the other parties thereto</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4, 2025</w:t>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1certification-302q320.htm">
              <w:r>
                <w:rPr>
                  <w:rStyle w:val="InternetLink"/>
                  <w:rFonts w:ascii="Times New Roman;serif" w:hAnsi="Times New Roman;serif"/>
                  <w:b w:val="false"/>
                  <w:color w:val="0000FF"/>
                  <w:sz w:val="18"/>
                  <w:u w:val="single"/>
                </w:rPr>
                <w:t>Certification of Chief Executive Officer pursuant to Rules 13a-14 and 15d-14 promulgated under the Securities Exchange Act of 1934</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2certification-302q320.htm">
              <w:r>
                <w:rPr>
                  <w:rStyle w:val="InternetLink"/>
                  <w:rFonts w:ascii="Times New Roman;serif" w:hAnsi="Times New Roman;serif"/>
                  <w:b w:val="false"/>
                  <w:color w:val="0000FF"/>
                  <w:sz w:val="18"/>
                  <w:u w:val="single"/>
                </w:rPr>
                <w:t>Certification of Chief Financial Officer pursuant to Rules 13a-14 and 15d-14 promulgated under the Securities Exchange Act of 1934</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1certification-906q320.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2certification-906q320.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101.INS</w:t>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4fcc4dee590470e913faab2a25cf4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573"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330"/>
        <w:gridCol w:w="330"/>
        <w:gridCol w:w="330"/>
        <w:gridCol w:w="1252"/>
        <w:gridCol w:w="1252"/>
        <w:gridCol w:w="18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Intuitive Machines,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Accounting Officer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RULE 13a-14 AND 15d-14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I, Stephen Altemus,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1.I have reviewed this Quarterly Report on Form 10-Q for the quarter ended September 30, 2025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50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34"/>
        <w:gridCol w:w="734"/>
        <w:gridCol w:w="10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RULE 13a-14 AND 15d-14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I, Peter McGrath,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1.I have reviewed this Quarterly Report on Form 10-Q for the quarter ended September 30, 2025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515"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38"/>
        <w:gridCol w:w="738"/>
        <w:gridCol w:w="10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Intuitive Machines, Inc. (the “Company”) for the quarter ended September 30, 2025, as filed with the Securities and Exchange Commission on the date hereof (the “Report”), I, Stephen Altemus,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713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1212"/>
        <w:gridCol w:w="1212"/>
        <w:gridCol w:w="17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Intuitive Machines, Inc. (the “Company”) for the quarter ended September 30, 2025, as filed with the Securities and Exchange Commission on the date hereof (the “Report”), I, Peter McGrath,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731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1265"/>
        <w:gridCol w:w="1265"/>
        <w:gridCol w:w="17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452/000184445225000056/ex21stockpurchaseagreeme.htm" TargetMode="External"/><Relationship Id="rId3" Type="http://schemas.openxmlformats.org/officeDocument/2006/relationships/hyperlink" Target="https://www.sec.gov/Archives/edgar/data/1844452/000119312525263400/d17822dex21.htm" TargetMode="External"/><Relationship Id="rId4" Type="http://schemas.openxmlformats.org/officeDocument/2006/relationships/hyperlink" Target="https://www.sec.gov/Archives/edgar/data/1844452/000119312525182718/d73480dex41.htm" TargetMode="External"/><Relationship Id="rId5" Type="http://schemas.openxmlformats.org/officeDocument/2006/relationships/hyperlink" Target="https://www.sec.gov/Archives/edgar/data/1844452/000119312525182718/d73480dex41.htm" TargetMode="External"/><Relationship Id="rId6" Type="http://schemas.openxmlformats.org/officeDocument/2006/relationships/hyperlink" Target="https://www.sec.gov/Archives/edgar/data/1844452/000119312525182718/d73480dex101.htm" TargetMode="External"/><Relationship Id="rId7" Type="http://schemas.openxmlformats.org/officeDocument/2006/relationships/hyperlink" Target="https://www.sec.gov/Archives/edgar/data/1844452/000119312525263400/d17822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35629</Words>
  <Characters>198379</Characters>
  <CharactersWithSpaces>232296</CharactersWithSpaces>
  <Paragraphs>3402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